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ED" w:rsidRDefault="008173FA" w:rsidP="008173FA">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54A9FA7-CE17-4E0F-888C-43215BFD571F" style="width:450.6pt;height:422.05pt">
            <v:imagedata r:id="rId9" o:title=""/>
          </v:shape>
        </w:pict>
      </w:r>
    </w:p>
    <w:bookmarkEnd w:id="0"/>
    <w:p w:rsidR="009E10ED" w:rsidRDefault="009E10ED">
      <w:pPr>
        <w:rPr>
          <w:rFonts w:ascii="Tahoma" w:hAnsi="Tahoma" w:cs="Tahoma"/>
          <w:noProof/>
          <w:sz w:val="20"/>
          <w:szCs w:val="20"/>
        </w:rPr>
        <w:sectPr w:rsidR="009E10ED" w:rsidSect="008173F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9E10ED">
        <w:tc>
          <w:tcPr>
            <w:tcW w:w="10188" w:type="dxa"/>
            <w:tcBorders>
              <w:bottom w:val="single" w:sz="4" w:space="0" w:color="auto"/>
            </w:tcBorders>
            <w:shd w:val="clear" w:color="auto" w:fill="CCCCCC"/>
          </w:tcPr>
          <w:p w:rsidR="009E10ED" w:rsidRDefault="008173FA">
            <w:pPr>
              <w:tabs>
                <w:tab w:val="left" w:pos="2309"/>
              </w:tabs>
              <w:spacing w:before="60" w:after="60"/>
              <w:jc w:val="center"/>
              <w:rPr>
                <w:rFonts w:ascii="Tahoma" w:hAnsi="Tahoma" w:cs="Tahoma"/>
                <w:b/>
                <w:noProof/>
                <w:sz w:val="20"/>
                <w:szCs w:val="20"/>
              </w:rPr>
            </w:pPr>
            <w:r>
              <w:rPr>
                <w:rFonts w:ascii="Tahoma" w:hAnsi="Tahoma" w:cs="Tahoma"/>
                <w:b/>
                <w:noProof/>
                <w:sz w:val="20"/>
                <w:szCs w:val="20"/>
              </w:rPr>
              <w:lastRenderedPageBreak/>
              <w:t>Ficha resumen</w:t>
            </w:r>
          </w:p>
        </w:tc>
      </w:tr>
      <w:tr w:rsidR="009E10ED">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9E10ED" w:rsidRDefault="008173FA">
            <w:pPr>
              <w:jc w:val="both"/>
              <w:rPr>
                <w:rFonts w:ascii="Tahoma" w:hAnsi="Tahoma" w:cs="Tahoma"/>
                <w:noProof/>
                <w:sz w:val="20"/>
                <w:szCs w:val="20"/>
              </w:rPr>
            </w:pPr>
            <w:r>
              <w:rPr>
                <w:rFonts w:ascii="Tahoma" w:hAnsi="Tahoma" w:cs="Tahoma"/>
                <w:noProof/>
                <w:sz w:val="20"/>
                <w:szCs w:val="20"/>
              </w:rPr>
              <w:t xml:space="preserve">Evaluación de impacto sobre la facilitación del uso de información financiera y de otros tipos para la prevención, detección, </w:t>
            </w:r>
            <w:r>
              <w:rPr>
                <w:rFonts w:ascii="Tahoma" w:hAnsi="Tahoma" w:cs="Tahoma"/>
                <w:noProof/>
                <w:sz w:val="20"/>
                <w:szCs w:val="20"/>
              </w:rPr>
              <w:t>investigación o enjuiciamiento de determinadas infracciones penales.</w:t>
            </w:r>
          </w:p>
        </w:tc>
      </w:tr>
      <w:tr w:rsidR="009E10ED">
        <w:tc>
          <w:tcPr>
            <w:tcW w:w="10188" w:type="dxa"/>
            <w:tcBorders>
              <w:bottom w:val="single" w:sz="4" w:space="0" w:color="auto"/>
            </w:tcBorders>
            <w:shd w:val="clear" w:color="auto" w:fill="CCCCCC"/>
          </w:tcPr>
          <w:p w:rsidR="009E10ED" w:rsidRDefault="008173FA">
            <w:pPr>
              <w:tabs>
                <w:tab w:val="left" w:pos="2309"/>
              </w:tabs>
              <w:spacing w:before="60" w:after="60"/>
              <w:jc w:val="center"/>
              <w:rPr>
                <w:rFonts w:ascii="Tahoma" w:hAnsi="Tahoma" w:cs="Tahoma"/>
                <w:b/>
                <w:noProof/>
                <w:sz w:val="20"/>
                <w:szCs w:val="20"/>
              </w:rPr>
            </w:pPr>
            <w:r>
              <w:rPr>
                <w:rFonts w:ascii="Tahoma" w:hAnsi="Tahoma" w:cs="Tahoma"/>
                <w:b/>
                <w:noProof/>
                <w:sz w:val="20"/>
                <w:szCs w:val="20"/>
              </w:rPr>
              <w:t>A. Necesidad de actuar</w:t>
            </w:r>
          </w:p>
        </w:tc>
      </w:tr>
      <w:tr w:rsidR="009E10ED">
        <w:tc>
          <w:tcPr>
            <w:tcW w:w="10188" w:type="dxa"/>
            <w:tcBorders>
              <w:bottom w:val="single" w:sz="4" w:space="0" w:color="auto"/>
            </w:tcBorders>
            <w:shd w:val="clear" w:color="auto" w:fill="E0E0E0"/>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 xml:space="preserve">¿Por qué? ¿Cuál es el problema que se afronta? </w:t>
            </w:r>
          </w:p>
        </w:tc>
      </w:tr>
      <w:tr w:rsidR="009E10ED">
        <w:trPr>
          <w:trHeight w:val="1132"/>
        </w:trPr>
        <w:tc>
          <w:tcPr>
            <w:tcW w:w="10188" w:type="dxa"/>
            <w:tcBorders>
              <w:bottom w:val="single" w:sz="4" w:space="0" w:color="auto"/>
            </w:tcBorders>
            <w:shd w:val="clear" w:color="auto" w:fill="auto"/>
          </w:tcPr>
          <w:p w:rsidR="009E10ED" w:rsidRDefault="008173FA">
            <w:pPr>
              <w:autoSpaceDE w:val="0"/>
              <w:autoSpaceDN w:val="0"/>
              <w:adjustRightInd w:val="0"/>
              <w:rPr>
                <w:rFonts w:ascii="Tahoma" w:hAnsi="Tahoma" w:cs="Tahoma"/>
                <w:i/>
                <w:iCs/>
                <w:noProof/>
                <w:sz w:val="20"/>
                <w:szCs w:val="20"/>
              </w:rPr>
            </w:pPr>
            <w:r>
              <w:rPr>
                <w:rFonts w:ascii="Tahoma" w:hAnsi="Tahoma" w:cs="Tahoma"/>
                <w:noProof/>
                <w:sz w:val="20"/>
                <w:szCs w:val="20"/>
              </w:rPr>
              <w:t xml:space="preserve">Los grupos delictivos y los terroristas operan a menudo en diferentes Estados miembros y sus activos, incluidas </w:t>
            </w:r>
            <w:r>
              <w:rPr>
                <w:rFonts w:ascii="Tahoma" w:hAnsi="Tahoma" w:cs="Tahoma"/>
                <w:noProof/>
                <w:sz w:val="20"/>
                <w:szCs w:val="20"/>
              </w:rPr>
              <w:t>sus cuentas bancarias, están generalmente diseminados por distintos países del territorio de la UE, e incluso fuera de él. Sus actividades financieras dejan a veces en otros Estados miembros una pista de información que puede resultar crucial para los inve</w:t>
            </w:r>
            <w:r>
              <w:rPr>
                <w:rFonts w:ascii="Tahoma" w:hAnsi="Tahoma" w:cs="Tahoma"/>
                <w:noProof/>
                <w:sz w:val="20"/>
                <w:szCs w:val="20"/>
              </w:rPr>
              <w:t>stigadores. La falta de acceso o el acceso retardado a la información financiera y a la relativa a las cuentas bancarias entorpece la detección de los flujos financieros vinculados a actividades delictivas. Los ingresos procedentes de la delincuencia puede</w:t>
            </w:r>
            <w:r>
              <w:rPr>
                <w:rFonts w:ascii="Tahoma" w:hAnsi="Tahoma" w:cs="Tahoma"/>
                <w:noProof/>
                <w:sz w:val="20"/>
                <w:szCs w:val="20"/>
              </w:rPr>
              <w:t>n pasar inadvertidos o escapar a la inmovilización. Además, las Unidades de Información Financiera (UIF) se enfrentan a obstáculos a la hora de cooperar entre sí, así como a la hora de acceder a la información de los servicios de seguridad necesaria para e</w:t>
            </w:r>
            <w:r>
              <w:rPr>
                <w:rFonts w:ascii="Tahoma" w:hAnsi="Tahoma" w:cs="Tahoma"/>
                <w:noProof/>
                <w:sz w:val="20"/>
                <w:szCs w:val="20"/>
              </w:rPr>
              <w:t>l desempeño de sus tareas con arreglo a la cuarta Directiva antiblanqueo UE(2015) 849 (en lo sucesivo, «la cuarta Directiva antiblanqueo»).</w:t>
            </w:r>
          </w:p>
        </w:tc>
      </w:tr>
      <w:tr w:rsidR="009E10ED">
        <w:tc>
          <w:tcPr>
            <w:tcW w:w="10188" w:type="dxa"/>
            <w:tcBorders>
              <w:bottom w:val="single" w:sz="4" w:space="0" w:color="auto"/>
            </w:tcBorders>
            <w:shd w:val="clear" w:color="auto" w:fill="E6E6E6"/>
          </w:tcPr>
          <w:p w:rsidR="009E10ED" w:rsidRDefault="008173FA">
            <w:pPr>
              <w:pStyle w:val="Default"/>
              <w:keepNext/>
              <w:jc w:val="both"/>
              <w:rPr>
                <w:rFonts w:ascii="Tahoma" w:hAnsi="Tahoma" w:cs="Tahoma"/>
                <w:noProof/>
                <w:color w:val="auto"/>
                <w:sz w:val="20"/>
                <w:szCs w:val="20"/>
              </w:rPr>
            </w:pPr>
            <w:r>
              <w:rPr>
                <w:rFonts w:ascii="Tahoma" w:hAnsi="Tahoma" w:cs="Tahoma"/>
                <w:b/>
                <w:noProof/>
                <w:color w:val="auto"/>
                <w:sz w:val="20"/>
                <w:szCs w:val="20"/>
              </w:rPr>
              <w:t xml:space="preserve">¿Cuál es el objetivo que se espera alcanzar con esta iniciativa? </w:t>
            </w:r>
          </w:p>
        </w:tc>
      </w:tr>
      <w:tr w:rsidR="009E10ED">
        <w:trPr>
          <w:trHeight w:val="727"/>
        </w:trPr>
        <w:tc>
          <w:tcPr>
            <w:tcW w:w="10188" w:type="dxa"/>
            <w:tcBorders>
              <w:bottom w:val="single" w:sz="4" w:space="0" w:color="auto"/>
            </w:tcBorders>
            <w:shd w:val="clear" w:color="auto" w:fill="auto"/>
          </w:tcPr>
          <w:p w:rsidR="009E10ED" w:rsidRDefault="008173FA">
            <w:pPr>
              <w:jc w:val="both"/>
              <w:rPr>
                <w:rFonts w:ascii="Tahoma" w:hAnsi="Tahoma" w:cs="Tahoma"/>
                <w:noProof/>
                <w:sz w:val="20"/>
                <w:szCs w:val="20"/>
              </w:rPr>
            </w:pPr>
            <w:r>
              <w:rPr>
                <w:rFonts w:ascii="Tahoma" w:hAnsi="Tahoma" w:cs="Tahoma"/>
                <w:noProof/>
                <w:sz w:val="20"/>
                <w:szCs w:val="20"/>
              </w:rPr>
              <w:t>La presente iniciativa tiene por objeto aumentar</w:t>
            </w:r>
            <w:r>
              <w:rPr>
                <w:rFonts w:ascii="Tahoma" w:hAnsi="Tahoma" w:cs="Tahoma"/>
                <w:noProof/>
                <w:sz w:val="20"/>
                <w:szCs w:val="20"/>
              </w:rPr>
              <w:t xml:space="preserve"> la seguridad en los Estados miembros de la UE y en el conjunto de la UE mejorando el acceso a la información financiera, incluida la información relativa a las cuentas bancarias, de las autoridades competentes y los organismos encargados de la prevención,</w:t>
            </w:r>
            <w:r>
              <w:rPr>
                <w:rFonts w:ascii="Tahoma" w:hAnsi="Tahoma" w:cs="Tahoma"/>
                <w:noProof/>
                <w:sz w:val="20"/>
                <w:szCs w:val="20"/>
              </w:rPr>
              <w:t xml:space="preserve"> investigación y enjuiciamiento de las formas graves de delitos, reforzando su capacidad para llevar a cabo investigaciones y análisis financieros, y potenciando su cooperación. Además, la iniciativa tiene por objeto mejorar la capacidad de las UIF para ll</w:t>
            </w:r>
            <w:r>
              <w:rPr>
                <w:rFonts w:ascii="Tahoma" w:hAnsi="Tahoma" w:cs="Tahoma"/>
                <w:noProof/>
                <w:sz w:val="20"/>
                <w:szCs w:val="20"/>
              </w:rPr>
              <w:t>evar a cabo sus tareas con arreglo a la cuarta Directiva antiblanqueo.</w:t>
            </w:r>
          </w:p>
        </w:tc>
      </w:tr>
      <w:tr w:rsidR="009E10ED">
        <w:tc>
          <w:tcPr>
            <w:tcW w:w="10188" w:type="dxa"/>
            <w:tcBorders>
              <w:bottom w:val="single" w:sz="4" w:space="0" w:color="auto"/>
            </w:tcBorders>
            <w:shd w:val="clear" w:color="auto" w:fill="E6E6E6"/>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 xml:space="preserve">¿Cuál es el valor añadido de la actuación a nivel de la UE? </w:t>
            </w:r>
          </w:p>
        </w:tc>
      </w:tr>
      <w:tr w:rsidR="009E10ED">
        <w:trPr>
          <w:trHeight w:val="443"/>
        </w:trPr>
        <w:tc>
          <w:tcPr>
            <w:tcW w:w="10188" w:type="dxa"/>
            <w:tcBorders>
              <w:bottom w:val="single" w:sz="4" w:space="0" w:color="auto"/>
            </w:tcBorders>
            <w:shd w:val="clear" w:color="auto" w:fill="auto"/>
          </w:tcPr>
          <w:p w:rsidR="009E10ED" w:rsidRDefault="008173FA">
            <w:pPr>
              <w:jc w:val="both"/>
              <w:rPr>
                <w:rFonts w:ascii="Tahoma" w:hAnsi="Tahoma" w:cs="Tahoma"/>
                <w:noProof/>
                <w:sz w:val="20"/>
                <w:szCs w:val="20"/>
              </w:rPr>
            </w:pPr>
            <w:r>
              <w:rPr>
                <w:rFonts w:ascii="Tahoma" w:hAnsi="Tahoma" w:cs="Tahoma"/>
                <w:noProof/>
                <w:sz w:val="20"/>
                <w:szCs w:val="20"/>
              </w:rPr>
              <w:t xml:space="preserve">La intervención de la UE aportaría un enfoque armonizado para facilitar a las autoridades y organismos competentes el </w:t>
            </w:r>
            <w:r>
              <w:rPr>
                <w:rFonts w:ascii="Tahoma" w:hAnsi="Tahoma" w:cs="Tahoma"/>
                <w:noProof/>
                <w:sz w:val="20"/>
                <w:szCs w:val="20"/>
              </w:rPr>
              <w:t>acceso a la información financiera a efectos de la lucha contra la delincuencia grave, así como para reforzar las capacidades de las UIF a la hora de luchar contra el blanqueo de capitales, los delitos subyacentes y la financiación del terrorismo. Teniendo</w:t>
            </w:r>
            <w:r>
              <w:rPr>
                <w:rFonts w:ascii="Tahoma" w:hAnsi="Tahoma" w:cs="Tahoma"/>
                <w:noProof/>
                <w:sz w:val="20"/>
                <w:szCs w:val="20"/>
              </w:rPr>
              <w:t xml:space="preserve"> en cuenta la dimensión transfronteriza de estos delitos y la consiguiente necesidad de que las autoridades competentes dispongan de un acceso más ágil a la información para sus análisis e investigaciones y puedan cooperar de manera más eficaz y eficiente </w:t>
            </w:r>
            <w:r>
              <w:rPr>
                <w:rFonts w:ascii="Tahoma" w:hAnsi="Tahoma" w:cs="Tahoma"/>
                <w:noProof/>
                <w:sz w:val="20"/>
                <w:szCs w:val="20"/>
              </w:rPr>
              <w:t>a escala tanto nacional como transfronteriza, la acción a nivel de la UE es necesaria para facilitar una fluida cooperación entre las autoridades y permitirles acceder la información pertinente e intercambiarla.</w:t>
            </w:r>
          </w:p>
        </w:tc>
      </w:tr>
      <w:tr w:rsidR="009E10ED">
        <w:tc>
          <w:tcPr>
            <w:tcW w:w="10188" w:type="dxa"/>
            <w:tcBorders>
              <w:bottom w:val="single" w:sz="4" w:space="0" w:color="auto"/>
            </w:tcBorders>
            <w:shd w:val="clear" w:color="auto" w:fill="CCCCCC"/>
          </w:tcPr>
          <w:p w:rsidR="009E10ED" w:rsidRDefault="008173FA">
            <w:pPr>
              <w:spacing w:before="60" w:after="60"/>
              <w:jc w:val="center"/>
              <w:rPr>
                <w:rFonts w:ascii="Tahoma" w:hAnsi="Tahoma" w:cs="Tahoma"/>
                <w:b/>
                <w:noProof/>
                <w:sz w:val="20"/>
                <w:szCs w:val="20"/>
              </w:rPr>
            </w:pPr>
            <w:r>
              <w:rPr>
                <w:rFonts w:ascii="Tahoma" w:hAnsi="Tahoma" w:cs="Tahoma"/>
                <w:b/>
                <w:noProof/>
                <w:sz w:val="20"/>
                <w:szCs w:val="20"/>
              </w:rPr>
              <w:t>B. Soluciones</w:t>
            </w:r>
          </w:p>
        </w:tc>
      </w:tr>
      <w:tr w:rsidR="009E10ED">
        <w:tc>
          <w:tcPr>
            <w:tcW w:w="10188" w:type="dxa"/>
            <w:tcBorders>
              <w:bottom w:val="single" w:sz="4" w:space="0" w:color="auto"/>
            </w:tcBorders>
            <w:shd w:val="clear" w:color="auto" w:fill="E6E6E6"/>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¿Qué opciones legislativas y</w:t>
            </w:r>
            <w:r>
              <w:rPr>
                <w:rFonts w:ascii="Tahoma" w:hAnsi="Tahoma" w:cs="Tahoma"/>
                <w:b/>
                <w:noProof/>
                <w:color w:val="auto"/>
                <w:sz w:val="20"/>
                <w:szCs w:val="20"/>
              </w:rPr>
              <w:t xml:space="preserve"> no legislativas se han estudiado? ¿Existe o no una opción preferida? ¿Por qué? </w:t>
            </w:r>
          </w:p>
        </w:tc>
      </w:tr>
      <w:tr w:rsidR="009E10ED">
        <w:trPr>
          <w:trHeight w:val="4278"/>
        </w:trPr>
        <w:tc>
          <w:tcPr>
            <w:tcW w:w="10188" w:type="dxa"/>
            <w:tcBorders>
              <w:bottom w:val="single" w:sz="4" w:space="0" w:color="auto"/>
            </w:tcBorders>
            <w:shd w:val="clear" w:color="auto" w:fill="auto"/>
          </w:tcPr>
          <w:p w:rsidR="009E10ED" w:rsidRDefault="008173FA">
            <w:pPr>
              <w:pStyle w:val="Heading3"/>
              <w:numPr>
                <w:ilvl w:val="0"/>
                <w:numId w:val="0"/>
              </w:numPr>
              <w:outlineLvl w:val="2"/>
              <w:rPr>
                <w:rFonts w:ascii="Tahoma" w:hAnsi="Tahoma" w:cs="Tahoma"/>
                <w:i w:val="0"/>
                <w:noProof/>
                <w:sz w:val="20"/>
                <w:szCs w:val="20"/>
              </w:rPr>
            </w:pPr>
            <w:bookmarkStart w:id="2" w:name="_Toc485620419"/>
            <w:r>
              <w:rPr>
                <w:rFonts w:ascii="Tahoma" w:hAnsi="Tahoma" w:cs="Tahoma"/>
                <w:i w:val="0"/>
                <w:noProof/>
                <w:sz w:val="20"/>
                <w:szCs w:val="20"/>
              </w:rPr>
              <w:lastRenderedPageBreak/>
              <w:t xml:space="preserve">Se consideraron una </w:t>
            </w:r>
            <w:r>
              <w:rPr>
                <w:rFonts w:ascii="Tahoma" w:hAnsi="Tahoma" w:cs="Tahoma"/>
                <w:b/>
                <w:i w:val="0"/>
                <w:noProof/>
                <w:sz w:val="20"/>
                <w:szCs w:val="20"/>
              </w:rPr>
              <w:t>opción política no legislativa</w:t>
            </w:r>
            <w:r>
              <w:rPr>
                <w:rFonts w:ascii="Tahoma" w:hAnsi="Tahoma" w:cs="Tahoma"/>
                <w:i w:val="0"/>
                <w:noProof/>
                <w:sz w:val="20"/>
                <w:szCs w:val="20"/>
              </w:rPr>
              <w:t xml:space="preserve"> </w:t>
            </w:r>
            <w:r>
              <w:rPr>
                <w:rFonts w:ascii="Tahoma" w:hAnsi="Tahoma" w:cs="Tahoma"/>
                <w:b/>
                <w:i w:val="0"/>
                <w:noProof/>
                <w:sz w:val="20"/>
                <w:szCs w:val="20"/>
              </w:rPr>
              <w:t>O</w:t>
            </w:r>
            <w:r>
              <w:rPr>
                <w:rFonts w:ascii="Tahoma" w:hAnsi="Tahoma" w:cs="Tahoma"/>
                <w:i w:val="0"/>
                <w:noProof/>
                <w:sz w:val="20"/>
                <w:szCs w:val="20"/>
              </w:rPr>
              <w:t xml:space="preserve"> y </w:t>
            </w:r>
            <w:r>
              <w:rPr>
                <w:rFonts w:ascii="Tahoma" w:hAnsi="Tahoma" w:cs="Tahoma"/>
                <w:b/>
                <w:i w:val="0"/>
                <w:noProof/>
                <w:sz w:val="20"/>
                <w:szCs w:val="20"/>
              </w:rPr>
              <w:t>13 opciones políticas legislativas</w:t>
            </w:r>
            <w:r>
              <w:rPr>
                <w:rFonts w:ascii="Tahoma" w:hAnsi="Tahoma" w:cs="Tahoma"/>
                <w:i w:val="0"/>
                <w:noProof/>
                <w:sz w:val="20"/>
                <w:szCs w:val="20"/>
              </w:rPr>
              <w:t xml:space="preserve">, agrupadas en: </w:t>
            </w:r>
          </w:p>
          <w:p w:rsidR="009E10ED" w:rsidRDefault="008173FA">
            <w:pPr>
              <w:rPr>
                <w:rFonts w:ascii="Tahoma" w:hAnsi="Tahoma" w:cs="Tahoma"/>
                <w:noProof/>
                <w:sz w:val="20"/>
                <w:szCs w:val="20"/>
              </w:rPr>
            </w:pPr>
            <w:r>
              <w:rPr>
                <w:rFonts w:ascii="Tahoma" w:hAnsi="Tahoma" w:cs="Tahoma"/>
                <w:noProof/>
                <w:sz w:val="20"/>
                <w:szCs w:val="20"/>
              </w:rPr>
              <w:t>•</w:t>
            </w:r>
            <w:r>
              <w:rPr>
                <w:rFonts w:ascii="Tahoma" w:hAnsi="Tahoma" w:cs="Tahoma"/>
                <w:noProof/>
                <w:sz w:val="20"/>
                <w:szCs w:val="20"/>
              </w:rPr>
              <w:tab/>
            </w:r>
            <w:r>
              <w:rPr>
                <w:rFonts w:ascii="Tahoma" w:hAnsi="Tahoma" w:cs="Tahoma"/>
                <w:b/>
                <w:noProof/>
                <w:sz w:val="20"/>
                <w:szCs w:val="20"/>
              </w:rPr>
              <w:t>Bloque A ¿«POR QUÉ»</w:t>
            </w:r>
            <w:r>
              <w:rPr>
                <w:rFonts w:ascii="Tahoma" w:hAnsi="Tahoma" w:cs="Tahoma"/>
                <w:noProof/>
                <w:sz w:val="20"/>
                <w:szCs w:val="20"/>
              </w:rPr>
              <w:t xml:space="preserve"> d</w:t>
            </w:r>
            <w:r>
              <w:rPr>
                <w:rFonts w:ascii="Tahoma" w:hAnsi="Tahoma" w:cs="Tahoma"/>
                <w:noProof/>
                <w:sz w:val="20"/>
                <w:szCs w:val="20"/>
                <w:lang w:val="es-ES_tradnl" w:eastAsia="en-GB" w:bidi="ar-SA"/>
              </w:rPr>
              <w:t>e</w:t>
            </w:r>
            <w:r>
              <w:rPr>
                <w:rFonts w:ascii="Tahoma" w:hAnsi="Tahoma" w:cs="Tahoma"/>
                <w:noProof/>
                <w:sz w:val="20"/>
                <w:szCs w:val="20"/>
              </w:rPr>
              <w:t xml:space="preserve">berían las autoridades competentes tener </w:t>
            </w:r>
            <w:r>
              <w:rPr>
                <w:rFonts w:ascii="Tahoma" w:hAnsi="Tahoma" w:cs="Tahoma"/>
                <w:noProof/>
                <w:sz w:val="20"/>
                <w:szCs w:val="20"/>
              </w:rPr>
              <w:t>acceso a la información financiera o intercambiarla?</w:t>
            </w:r>
          </w:p>
          <w:p w:rsidR="009E10ED" w:rsidRDefault="008173FA">
            <w:pPr>
              <w:rPr>
                <w:rFonts w:ascii="Tahoma" w:hAnsi="Tahoma" w:cs="Tahoma"/>
                <w:noProof/>
                <w:sz w:val="20"/>
                <w:szCs w:val="20"/>
              </w:rPr>
            </w:pPr>
            <w:r>
              <w:rPr>
                <w:rFonts w:ascii="Tahoma" w:hAnsi="Tahoma" w:cs="Tahoma"/>
                <w:b/>
                <w:noProof/>
                <w:sz w:val="20"/>
                <w:szCs w:val="20"/>
              </w:rPr>
              <w:t>OPCIÓN A.1:</w:t>
            </w:r>
            <w:r>
              <w:rPr>
                <w:rFonts w:ascii="Tahoma" w:hAnsi="Tahoma" w:cs="Tahoma"/>
                <w:noProof/>
                <w:sz w:val="20"/>
                <w:szCs w:val="20"/>
              </w:rPr>
              <w:t xml:space="preserve"> solo para prevenir y combatir el blanqueo de capitales, los delitos subyacentes y la financiación del terrorismo.</w:t>
            </w:r>
          </w:p>
          <w:p w:rsidR="009E10ED" w:rsidRDefault="008173FA">
            <w:pPr>
              <w:rPr>
                <w:rFonts w:ascii="Tahoma" w:hAnsi="Tahoma" w:cs="Tahoma"/>
                <w:noProof/>
                <w:sz w:val="20"/>
                <w:szCs w:val="20"/>
              </w:rPr>
            </w:pPr>
            <w:r>
              <w:rPr>
                <w:rFonts w:ascii="Tahoma" w:hAnsi="Tahoma" w:cs="Tahoma"/>
                <w:b/>
                <w:noProof/>
                <w:sz w:val="20"/>
                <w:szCs w:val="20"/>
              </w:rPr>
              <w:t>OPCIÓN A.2:</w:t>
            </w:r>
            <w:r>
              <w:rPr>
                <w:rFonts w:ascii="Tahoma" w:hAnsi="Tahoma" w:cs="Tahoma"/>
                <w:noProof/>
                <w:sz w:val="20"/>
                <w:szCs w:val="20"/>
              </w:rPr>
              <w:t xml:space="preserve"> únicamente en relación con los «eurodelitos» contemplados en el a</w:t>
            </w:r>
            <w:r>
              <w:rPr>
                <w:rFonts w:ascii="Tahoma" w:hAnsi="Tahoma" w:cs="Tahoma"/>
                <w:noProof/>
                <w:sz w:val="20"/>
                <w:szCs w:val="20"/>
              </w:rPr>
              <w:t>rtículo 83, apartado 1.</w:t>
            </w:r>
          </w:p>
          <w:p w:rsidR="009E10ED" w:rsidRDefault="008173FA">
            <w:pPr>
              <w:rPr>
                <w:rFonts w:ascii="Tahoma" w:hAnsi="Tahoma" w:cs="Tahoma"/>
                <w:noProof/>
                <w:sz w:val="20"/>
                <w:szCs w:val="20"/>
              </w:rPr>
            </w:pPr>
            <w:r>
              <w:rPr>
                <w:rFonts w:ascii="Tahoma" w:hAnsi="Tahoma" w:cs="Tahoma"/>
                <w:b/>
                <w:noProof/>
                <w:sz w:val="20"/>
                <w:szCs w:val="20"/>
              </w:rPr>
              <w:t>OPCIÓN A.3:</w:t>
            </w:r>
            <w:r>
              <w:rPr>
                <w:rFonts w:ascii="Tahoma" w:hAnsi="Tahoma" w:cs="Tahoma"/>
                <w:noProof/>
                <w:sz w:val="20"/>
                <w:szCs w:val="20"/>
              </w:rPr>
              <w:t xml:space="preserve"> en relación con las formas de delito contempladas en el anexo I del Reglamento de Europol.</w:t>
            </w:r>
          </w:p>
          <w:p w:rsidR="009E10ED" w:rsidRDefault="008173FA">
            <w:pPr>
              <w:rPr>
                <w:rFonts w:ascii="Tahoma" w:hAnsi="Tahoma" w:cs="Tahoma"/>
                <w:noProof/>
                <w:sz w:val="20"/>
                <w:szCs w:val="20"/>
              </w:rPr>
            </w:pPr>
            <w:r>
              <w:rPr>
                <w:rFonts w:ascii="Tahoma" w:hAnsi="Tahoma" w:cs="Tahoma"/>
                <w:noProof/>
                <w:sz w:val="20"/>
                <w:szCs w:val="20"/>
              </w:rPr>
              <w:t>•</w:t>
            </w:r>
            <w:r>
              <w:rPr>
                <w:rFonts w:ascii="Tahoma" w:hAnsi="Tahoma" w:cs="Tahoma"/>
                <w:noProof/>
                <w:sz w:val="20"/>
                <w:szCs w:val="20"/>
              </w:rPr>
              <w:tab/>
            </w:r>
            <w:r>
              <w:rPr>
                <w:rFonts w:ascii="Tahoma" w:hAnsi="Tahoma" w:cs="Tahoma"/>
                <w:b/>
                <w:noProof/>
                <w:sz w:val="20"/>
                <w:szCs w:val="20"/>
              </w:rPr>
              <w:t xml:space="preserve">Bloque B: «¿CÓMO» </w:t>
            </w:r>
            <w:r>
              <w:rPr>
                <w:rFonts w:ascii="Tahoma" w:hAnsi="Tahoma" w:cs="Tahoma"/>
                <w:noProof/>
                <w:sz w:val="20"/>
                <w:szCs w:val="20"/>
              </w:rPr>
              <w:t>deberían las autoridades públicas tener acceso a la información financiera e intercambiarla?</w:t>
            </w:r>
          </w:p>
          <w:p w:rsidR="009E10ED" w:rsidRDefault="008173FA">
            <w:pPr>
              <w:rPr>
                <w:rFonts w:ascii="Tahoma" w:hAnsi="Tahoma" w:cs="Tahoma"/>
                <w:noProof/>
                <w:sz w:val="20"/>
                <w:szCs w:val="20"/>
              </w:rPr>
            </w:pPr>
            <w:r>
              <w:rPr>
                <w:rFonts w:ascii="Tahoma" w:hAnsi="Tahoma" w:cs="Tahoma"/>
                <w:b/>
                <w:noProof/>
                <w:sz w:val="20"/>
                <w:szCs w:val="20"/>
              </w:rPr>
              <w:t>OPCIÓN B.1</w:t>
            </w:r>
            <w:r>
              <w:rPr>
                <w:rFonts w:ascii="Tahoma" w:hAnsi="Tahoma" w:cs="Tahoma"/>
                <w:noProof/>
                <w:sz w:val="20"/>
                <w:szCs w:val="20"/>
              </w:rPr>
              <w:t>: faci</w:t>
            </w:r>
            <w:r>
              <w:rPr>
                <w:rFonts w:ascii="Tahoma" w:hAnsi="Tahoma" w:cs="Tahoma"/>
                <w:noProof/>
                <w:sz w:val="20"/>
                <w:szCs w:val="20"/>
              </w:rPr>
              <w:t xml:space="preserve">litando a las autoridades competentes acceso a los registros nacionales centralizados de cuentas bancarias, de acuerdo con el punto 1) </w:t>
            </w:r>
            <w:r>
              <w:rPr>
                <w:rFonts w:ascii="Tahoma" w:hAnsi="Tahoma" w:cs="Tahoma"/>
                <w:b/>
                <w:noProof/>
                <w:sz w:val="20"/>
                <w:szCs w:val="20"/>
              </w:rPr>
              <w:t>Subopción B.1.a</w:t>
            </w:r>
            <w:r>
              <w:rPr>
                <w:rFonts w:ascii="Tahoma" w:hAnsi="Tahoma" w:cs="Tahoma"/>
                <w:noProof/>
                <w:sz w:val="20"/>
                <w:szCs w:val="20"/>
              </w:rPr>
              <w:t xml:space="preserve">: acceso directo; o 2) </w:t>
            </w:r>
            <w:r>
              <w:rPr>
                <w:rFonts w:ascii="Tahoma" w:hAnsi="Tahoma" w:cs="Tahoma"/>
                <w:b/>
                <w:noProof/>
                <w:sz w:val="20"/>
                <w:szCs w:val="20"/>
              </w:rPr>
              <w:t>Subopción B.1.b</w:t>
            </w:r>
            <w:r>
              <w:rPr>
                <w:rFonts w:ascii="Tahoma" w:hAnsi="Tahoma" w:cs="Tahoma"/>
                <w:noProof/>
                <w:sz w:val="20"/>
                <w:szCs w:val="20"/>
              </w:rPr>
              <w:t>: acceso indirecto.</w:t>
            </w:r>
          </w:p>
          <w:p w:rsidR="009E10ED" w:rsidRDefault="008173FA">
            <w:pPr>
              <w:rPr>
                <w:rFonts w:ascii="Tahoma" w:hAnsi="Tahoma" w:cs="Tahoma"/>
                <w:noProof/>
                <w:sz w:val="20"/>
                <w:szCs w:val="20"/>
              </w:rPr>
            </w:pPr>
            <w:r>
              <w:rPr>
                <w:rFonts w:ascii="Tahoma" w:hAnsi="Tahoma" w:cs="Tahoma"/>
                <w:b/>
                <w:noProof/>
                <w:sz w:val="20"/>
                <w:szCs w:val="20"/>
              </w:rPr>
              <w:t>OPCIÓN B.2</w:t>
            </w:r>
            <w:r>
              <w:rPr>
                <w:rFonts w:ascii="Tahoma" w:hAnsi="Tahoma" w:cs="Tahoma"/>
                <w:noProof/>
                <w:sz w:val="20"/>
                <w:szCs w:val="20"/>
              </w:rPr>
              <w:t>: proporcionando a las autoridades com</w:t>
            </w:r>
            <w:r>
              <w:rPr>
                <w:rFonts w:ascii="Tahoma" w:hAnsi="Tahoma" w:cs="Tahoma"/>
                <w:noProof/>
                <w:sz w:val="20"/>
                <w:szCs w:val="20"/>
              </w:rPr>
              <w:t xml:space="preserve">petentes acceso a toda la información financiera, de acuerdo con el punto 1) </w:t>
            </w:r>
            <w:r>
              <w:rPr>
                <w:rFonts w:ascii="Tahoma" w:hAnsi="Tahoma" w:cs="Tahoma"/>
                <w:b/>
                <w:noProof/>
                <w:sz w:val="20"/>
                <w:szCs w:val="20"/>
              </w:rPr>
              <w:t>Subopción B.2.a</w:t>
            </w:r>
            <w:r>
              <w:rPr>
                <w:rFonts w:ascii="Tahoma" w:hAnsi="Tahoma" w:cs="Tahoma"/>
                <w:noProof/>
                <w:sz w:val="20"/>
                <w:szCs w:val="20"/>
              </w:rPr>
              <w:t xml:space="preserve">: acceso directo; o 2) </w:t>
            </w:r>
            <w:r>
              <w:rPr>
                <w:rFonts w:ascii="Tahoma" w:hAnsi="Tahoma" w:cs="Tahoma"/>
                <w:b/>
                <w:noProof/>
                <w:sz w:val="20"/>
                <w:szCs w:val="20"/>
              </w:rPr>
              <w:t>Subopción B.2.b</w:t>
            </w:r>
            <w:r>
              <w:rPr>
                <w:rFonts w:ascii="Tahoma" w:hAnsi="Tahoma" w:cs="Tahoma"/>
                <w:noProof/>
                <w:sz w:val="20"/>
                <w:szCs w:val="20"/>
              </w:rPr>
              <w:t>: a través de las UIF.</w:t>
            </w:r>
          </w:p>
          <w:p w:rsidR="009E10ED" w:rsidRDefault="008173FA">
            <w:pPr>
              <w:rPr>
                <w:rFonts w:ascii="Tahoma" w:hAnsi="Tahoma" w:cs="Tahoma"/>
                <w:noProof/>
                <w:sz w:val="20"/>
                <w:szCs w:val="20"/>
              </w:rPr>
            </w:pPr>
            <w:r>
              <w:rPr>
                <w:rFonts w:ascii="Tahoma" w:hAnsi="Tahoma" w:cs="Tahoma"/>
                <w:b/>
                <w:noProof/>
                <w:sz w:val="20"/>
                <w:szCs w:val="20"/>
              </w:rPr>
              <w:t>OPCIÓN B.3</w:t>
            </w:r>
            <w:r>
              <w:rPr>
                <w:rFonts w:ascii="Tahoma" w:hAnsi="Tahoma" w:cs="Tahoma"/>
                <w:noProof/>
                <w:sz w:val="20"/>
                <w:szCs w:val="20"/>
              </w:rPr>
              <w:t xml:space="preserve">: adoptando medidas para facilitar el intercambio de información entre las UIF y permitirles </w:t>
            </w:r>
            <w:r>
              <w:rPr>
                <w:rFonts w:ascii="Tahoma" w:hAnsi="Tahoma" w:cs="Tahoma"/>
                <w:noProof/>
                <w:sz w:val="20"/>
                <w:szCs w:val="20"/>
              </w:rPr>
              <w:t xml:space="preserve">acceder e intercambiar la información que las autoridades competentes posean de acuerdo con el punto 1) </w:t>
            </w:r>
            <w:r>
              <w:rPr>
                <w:rFonts w:ascii="Tahoma" w:hAnsi="Tahoma" w:cs="Tahoma"/>
                <w:b/>
                <w:noProof/>
                <w:sz w:val="20"/>
                <w:szCs w:val="20"/>
              </w:rPr>
              <w:t xml:space="preserve">Subopción B.3.a: </w:t>
            </w:r>
            <w:r>
              <w:rPr>
                <w:rFonts w:ascii="Tahoma" w:hAnsi="Tahoma" w:cs="Tahoma"/>
                <w:noProof/>
                <w:sz w:val="20"/>
                <w:szCs w:val="20"/>
              </w:rPr>
              <w:t xml:space="preserve">cooperación directa entre las UIF; o 2) </w:t>
            </w:r>
            <w:r>
              <w:rPr>
                <w:rFonts w:ascii="Tahoma" w:hAnsi="Tahoma" w:cs="Tahoma"/>
                <w:b/>
                <w:noProof/>
                <w:sz w:val="20"/>
                <w:szCs w:val="20"/>
              </w:rPr>
              <w:t xml:space="preserve">Subopción B.3.b: </w:t>
            </w:r>
            <w:r>
              <w:rPr>
                <w:rFonts w:ascii="Tahoma" w:hAnsi="Tahoma" w:cs="Tahoma"/>
                <w:noProof/>
                <w:sz w:val="20"/>
                <w:szCs w:val="20"/>
              </w:rPr>
              <w:t>creación de una UIF central.</w:t>
            </w:r>
          </w:p>
          <w:p w:rsidR="009E10ED" w:rsidRDefault="008173FA">
            <w:pPr>
              <w:rPr>
                <w:rFonts w:ascii="Tahoma" w:hAnsi="Tahoma" w:cs="Tahoma"/>
                <w:i/>
                <w:noProof/>
                <w:sz w:val="20"/>
                <w:szCs w:val="20"/>
              </w:rPr>
            </w:pPr>
            <w:r>
              <w:rPr>
                <w:rFonts w:ascii="Tahoma" w:hAnsi="Tahoma" w:cs="Tahoma"/>
                <w:noProof/>
                <w:sz w:val="20"/>
                <w:szCs w:val="20"/>
              </w:rPr>
              <w:t>•</w:t>
            </w:r>
            <w:r>
              <w:rPr>
                <w:rFonts w:ascii="Tahoma" w:hAnsi="Tahoma" w:cs="Tahoma"/>
                <w:noProof/>
                <w:sz w:val="20"/>
                <w:szCs w:val="20"/>
              </w:rPr>
              <w:tab/>
            </w:r>
            <w:r>
              <w:rPr>
                <w:rFonts w:ascii="Tahoma" w:hAnsi="Tahoma" w:cs="Tahoma"/>
                <w:b/>
                <w:noProof/>
                <w:sz w:val="20"/>
                <w:szCs w:val="20"/>
              </w:rPr>
              <w:t>Bloque C «QUIÉN»,</w:t>
            </w:r>
            <w:r>
              <w:rPr>
                <w:rFonts w:ascii="Tahoma" w:hAnsi="Tahoma" w:cs="Tahoma"/>
                <w:noProof/>
                <w:sz w:val="20"/>
                <w:szCs w:val="20"/>
              </w:rPr>
              <w:t xml:space="preserve"> es decir, ¿a qué autoridades </w:t>
            </w:r>
            <w:r>
              <w:rPr>
                <w:rFonts w:ascii="Tahoma" w:hAnsi="Tahoma" w:cs="Tahoma"/>
                <w:noProof/>
                <w:sz w:val="20"/>
                <w:szCs w:val="20"/>
              </w:rPr>
              <w:t>públicas se aplican las condiciones?</w:t>
            </w:r>
          </w:p>
          <w:p w:rsidR="009E10ED" w:rsidRDefault="008173FA">
            <w:pPr>
              <w:rPr>
                <w:rFonts w:ascii="Tahoma" w:hAnsi="Tahoma" w:cs="Tahoma"/>
                <w:noProof/>
                <w:sz w:val="20"/>
                <w:szCs w:val="20"/>
              </w:rPr>
            </w:pPr>
            <w:r>
              <w:rPr>
                <w:rFonts w:ascii="Tahoma" w:hAnsi="Tahoma" w:cs="Tahoma"/>
                <w:b/>
                <w:noProof/>
                <w:sz w:val="20"/>
                <w:szCs w:val="20"/>
              </w:rPr>
              <w:t>OPCIÓN C.1:</w:t>
            </w:r>
            <w:r>
              <w:rPr>
                <w:rFonts w:ascii="Tahoma" w:hAnsi="Tahoma" w:cs="Tahoma"/>
                <w:noProof/>
                <w:sz w:val="20"/>
                <w:szCs w:val="20"/>
              </w:rPr>
              <w:t xml:space="preserve"> a las autoridades públicas responsables de prevenir, investigar y enjuiciar las infracciones penales </w:t>
            </w:r>
          </w:p>
          <w:p w:rsidR="009E10ED" w:rsidRDefault="008173FA">
            <w:pPr>
              <w:rPr>
                <w:rFonts w:ascii="Tahoma" w:hAnsi="Tahoma" w:cs="Tahoma"/>
                <w:noProof/>
                <w:sz w:val="20"/>
                <w:szCs w:val="20"/>
              </w:rPr>
            </w:pPr>
            <w:r>
              <w:rPr>
                <w:rFonts w:ascii="Tahoma" w:hAnsi="Tahoma" w:cs="Tahoma"/>
                <w:b/>
                <w:noProof/>
                <w:sz w:val="20"/>
                <w:szCs w:val="20"/>
              </w:rPr>
              <w:t>OPCIÓN C.2:</w:t>
            </w:r>
            <w:r>
              <w:rPr>
                <w:rFonts w:ascii="Tahoma" w:hAnsi="Tahoma" w:cs="Tahoma"/>
                <w:noProof/>
                <w:sz w:val="20"/>
                <w:szCs w:val="20"/>
              </w:rPr>
              <w:t xml:space="preserve"> a las autoridades públicas contempladas en la opción C.1 y, adicionalmente, en el punto 1) </w:t>
            </w:r>
            <w:r>
              <w:rPr>
                <w:rFonts w:ascii="Tahoma" w:hAnsi="Tahoma" w:cs="Tahoma"/>
                <w:b/>
                <w:noProof/>
                <w:sz w:val="20"/>
                <w:szCs w:val="20"/>
              </w:rPr>
              <w:t>Su</w:t>
            </w:r>
            <w:r>
              <w:rPr>
                <w:rFonts w:ascii="Tahoma" w:hAnsi="Tahoma" w:cs="Tahoma"/>
                <w:b/>
                <w:noProof/>
                <w:sz w:val="20"/>
                <w:szCs w:val="20"/>
              </w:rPr>
              <w:t>bopción C.2.a</w:t>
            </w:r>
            <w:r>
              <w:rPr>
                <w:rFonts w:ascii="Tahoma" w:hAnsi="Tahoma" w:cs="Tahoma"/>
                <w:noProof/>
                <w:sz w:val="20"/>
                <w:szCs w:val="20"/>
              </w:rPr>
              <w:t xml:space="preserve">: los Organismos de Recuperación de Activos 2) </w:t>
            </w:r>
            <w:r>
              <w:rPr>
                <w:rFonts w:ascii="Tahoma" w:hAnsi="Tahoma" w:cs="Tahoma"/>
                <w:b/>
                <w:noProof/>
                <w:sz w:val="20"/>
                <w:szCs w:val="20"/>
              </w:rPr>
              <w:t>Subopción C.2.b</w:t>
            </w:r>
            <w:r>
              <w:rPr>
                <w:rFonts w:ascii="Tahoma" w:hAnsi="Tahoma" w:cs="Tahoma"/>
                <w:noProof/>
                <w:sz w:val="20"/>
                <w:szCs w:val="20"/>
              </w:rPr>
              <w:t xml:space="preserve">: Europol, 3) </w:t>
            </w:r>
            <w:r>
              <w:rPr>
                <w:rFonts w:ascii="Tahoma" w:hAnsi="Tahoma" w:cs="Tahoma"/>
                <w:b/>
                <w:noProof/>
                <w:sz w:val="20"/>
                <w:szCs w:val="20"/>
              </w:rPr>
              <w:t>Subopción C.2.c</w:t>
            </w:r>
            <w:r>
              <w:rPr>
                <w:rFonts w:ascii="Tahoma" w:hAnsi="Tahoma" w:cs="Tahoma"/>
                <w:noProof/>
                <w:sz w:val="20"/>
                <w:szCs w:val="20"/>
              </w:rPr>
              <w:t>: OLAF.</w:t>
            </w:r>
          </w:p>
          <w:bookmarkEnd w:id="2"/>
          <w:p w:rsidR="009E10ED" w:rsidRDefault="008173FA">
            <w:pPr>
              <w:rPr>
                <w:rFonts w:ascii="Tahoma" w:hAnsi="Tahoma" w:cs="Tahoma"/>
                <w:b/>
                <w:noProof/>
                <w:sz w:val="20"/>
                <w:szCs w:val="20"/>
              </w:rPr>
            </w:pPr>
            <w:r>
              <w:rPr>
                <w:rFonts w:ascii="Tahoma" w:hAnsi="Tahoma" w:cs="Tahoma"/>
                <w:noProof/>
                <w:sz w:val="20"/>
                <w:szCs w:val="20"/>
              </w:rPr>
              <w:t xml:space="preserve">Con respecto al </w:t>
            </w:r>
            <w:r>
              <w:rPr>
                <w:rFonts w:ascii="Tahoma" w:hAnsi="Tahoma" w:cs="Tahoma"/>
                <w:b/>
                <w:noProof/>
                <w:sz w:val="20"/>
                <w:szCs w:val="20"/>
              </w:rPr>
              <w:t>acceso de las autoridades competentes a la información que figura en los registros de cuentas bancarias</w:t>
            </w:r>
            <w:r>
              <w:rPr>
                <w:rFonts w:ascii="Tahoma" w:hAnsi="Tahoma" w:cs="Tahoma"/>
                <w:noProof/>
                <w:sz w:val="20"/>
                <w:szCs w:val="20"/>
              </w:rPr>
              <w:t>, la</w:t>
            </w:r>
            <w:r>
              <w:rPr>
                <w:rFonts w:ascii="Tahoma" w:hAnsi="Tahoma" w:cs="Tahoma"/>
                <w:b/>
                <w:noProof/>
                <w:sz w:val="20"/>
                <w:szCs w:val="20"/>
              </w:rPr>
              <w:t xml:space="preserve"> opción preferida </w:t>
            </w:r>
            <w:r>
              <w:rPr>
                <w:rFonts w:ascii="Tahoma" w:hAnsi="Tahoma" w:cs="Tahoma"/>
                <w:noProof/>
                <w:sz w:val="20"/>
                <w:szCs w:val="20"/>
              </w:rPr>
              <w:t xml:space="preserve">es </w:t>
            </w:r>
            <w:r>
              <w:rPr>
                <w:rFonts w:ascii="Tahoma" w:hAnsi="Tahoma" w:cs="Tahoma"/>
                <w:noProof/>
                <w:sz w:val="20"/>
                <w:szCs w:val="20"/>
              </w:rPr>
              <w:t xml:space="preserve">una combinación de las opciones </w:t>
            </w:r>
            <w:r>
              <w:rPr>
                <w:rFonts w:ascii="Tahoma" w:hAnsi="Tahoma" w:cs="Tahoma"/>
                <w:b/>
                <w:noProof/>
                <w:sz w:val="20"/>
                <w:szCs w:val="20"/>
              </w:rPr>
              <w:t xml:space="preserve">A.3, B.1.a, C.2.a </w:t>
            </w:r>
            <w:r>
              <w:rPr>
                <w:rFonts w:ascii="Tahoma" w:hAnsi="Tahoma" w:cs="Tahoma"/>
                <w:noProof/>
                <w:sz w:val="20"/>
                <w:szCs w:val="20"/>
              </w:rPr>
              <w:t xml:space="preserve">y </w:t>
            </w:r>
            <w:r>
              <w:rPr>
                <w:rFonts w:ascii="Tahoma" w:hAnsi="Tahoma" w:cs="Tahoma"/>
                <w:b/>
                <w:noProof/>
                <w:sz w:val="20"/>
                <w:szCs w:val="20"/>
              </w:rPr>
              <w:t>C.2.b.</w:t>
            </w:r>
          </w:p>
          <w:p w:rsidR="009E10ED" w:rsidRDefault="008173FA">
            <w:pPr>
              <w:rPr>
                <w:rFonts w:ascii="Tahoma" w:hAnsi="Tahoma" w:cs="Tahoma"/>
                <w:b/>
                <w:noProof/>
                <w:sz w:val="20"/>
                <w:szCs w:val="20"/>
              </w:rPr>
            </w:pPr>
            <w:r>
              <w:rPr>
                <w:rFonts w:ascii="Tahoma" w:hAnsi="Tahoma" w:cs="Tahoma"/>
                <w:noProof/>
                <w:sz w:val="20"/>
                <w:szCs w:val="20"/>
              </w:rPr>
              <w:t xml:space="preserve">Con respecto al </w:t>
            </w:r>
            <w:r>
              <w:rPr>
                <w:rFonts w:ascii="Tahoma" w:hAnsi="Tahoma" w:cs="Tahoma"/>
                <w:b/>
                <w:noProof/>
                <w:sz w:val="20"/>
                <w:szCs w:val="20"/>
              </w:rPr>
              <w:t xml:space="preserve">acceso de las autoridades competentes a la información financiera adicional, </w:t>
            </w:r>
            <w:r>
              <w:rPr>
                <w:rFonts w:ascii="Tahoma" w:hAnsi="Tahoma" w:cs="Tahoma"/>
                <w:noProof/>
                <w:sz w:val="20"/>
                <w:szCs w:val="20"/>
              </w:rPr>
              <w:t xml:space="preserve">la </w:t>
            </w:r>
            <w:r>
              <w:rPr>
                <w:rFonts w:ascii="Tahoma" w:hAnsi="Tahoma" w:cs="Tahoma"/>
                <w:b/>
                <w:noProof/>
                <w:sz w:val="20"/>
                <w:szCs w:val="20"/>
              </w:rPr>
              <w:t xml:space="preserve">opción preferida </w:t>
            </w:r>
            <w:r>
              <w:rPr>
                <w:rFonts w:ascii="Tahoma" w:hAnsi="Tahoma" w:cs="Tahoma"/>
                <w:noProof/>
                <w:sz w:val="20"/>
                <w:szCs w:val="20"/>
              </w:rPr>
              <w:t xml:space="preserve">es una combinación de las opciones </w:t>
            </w:r>
            <w:r>
              <w:rPr>
                <w:rFonts w:ascii="Tahoma" w:hAnsi="Tahoma" w:cs="Tahoma"/>
                <w:b/>
                <w:noProof/>
                <w:sz w:val="20"/>
                <w:szCs w:val="20"/>
              </w:rPr>
              <w:t xml:space="preserve">A.3, B.2.b </w:t>
            </w:r>
            <w:r>
              <w:rPr>
                <w:rFonts w:ascii="Tahoma" w:hAnsi="Tahoma" w:cs="Tahoma"/>
                <w:noProof/>
                <w:sz w:val="20"/>
                <w:szCs w:val="20"/>
              </w:rPr>
              <w:t xml:space="preserve">y </w:t>
            </w:r>
            <w:r>
              <w:rPr>
                <w:rFonts w:ascii="Tahoma" w:hAnsi="Tahoma" w:cs="Tahoma"/>
                <w:b/>
                <w:noProof/>
                <w:sz w:val="20"/>
                <w:szCs w:val="20"/>
              </w:rPr>
              <w:t>C.2.b.</w:t>
            </w:r>
          </w:p>
          <w:p w:rsidR="009E10ED" w:rsidRDefault="008173FA">
            <w:pPr>
              <w:rPr>
                <w:rFonts w:ascii="Tahoma" w:hAnsi="Tahoma" w:cs="Tahoma"/>
                <w:b/>
                <w:noProof/>
                <w:sz w:val="20"/>
                <w:szCs w:val="20"/>
              </w:rPr>
            </w:pPr>
            <w:r>
              <w:rPr>
                <w:rFonts w:ascii="Tahoma" w:hAnsi="Tahoma" w:cs="Tahoma"/>
                <w:noProof/>
                <w:sz w:val="20"/>
                <w:szCs w:val="20"/>
              </w:rPr>
              <w:t xml:space="preserve">Con el fin de </w:t>
            </w:r>
            <w:r>
              <w:rPr>
                <w:rFonts w:ascii="Tahoma" w:hAnsi="Tahoma" w:cs="Tahoma"/>
                <w:b/>
                <w:noProof/>
                <w:sz w:val="20"/>
                <w:szCs w:val="20"/>
              </w:rPr>
              <w:t xml:space="preserve">hacer frente a los obstáculos que entorpecen la cooperación transfronteriza entre las UIF y a las dificultades que estas encuentran a la hora de cooperar con los servicios de seguridad nacionales, </w:t>
            </w:r>
            <w:r>
              <w:rPr>
                <w:rFonts w:ascii="Tahoma" w:hAnsi="Tahoma" w:cs="Tahoma"/>
                <w:noProof/>
                <w:sz w:val="20"/>
                <w:szCs w:val="20"/>
              </w:rPr>
              <w:t xml:space="preserve">la opción preferida es una combinación de las opciones </w:t>
            </w:r>
            <w:r>
              <w:rPr>
                <w:rFonts w:ascii="Tahoma" w:hAnsi="Tahoma" w:cs="Tahoma"/>
                <w:b/>
                <w:noProof/>
                <w:sz w:val="20"/>
                <w:szCs w:val="20"/>
              </w:rPr>
              <w:t>A.1</w:t>
            </w:r>
            <w:r>
              <w:rPr>
                <w:rFonts w:ascii="Tahoma" w:hAnsi="Tahoma" w:cs="Tahoma"/>
                <w:noProof/>
                <w:sz w:val="20"/>
                <w:szCs w:val="20"/>
              </w:rPr>
              <w:t>,</w:t>
            </w:r>
            <w:r>
              <w:rPr>
                <w:rFonts w:ascii="Tahoma" w:hAnsi="Tahoma" w:cs="Tahoma"/>
                <w:noProof/>
                <w:sz w:val="20"/>
                <w:szCs w:val="20"/>
              </w:rPr>
              <w:t xml:space="preserve"> </w:t>
            </w:r>
            <w:r>
              <w:rPr>
                <w:rFonts w:ascii="Tahoma" w:hAnsi="Tahoma" w:cs="Tahoma"/>
                <w:b/>
                <w:noProof/>
                <w:sz w:val="20"/>
                <w:szCs w:val="20"/>
              </w:rPr>
              <w:t xml:space="preserve">B.2.b, B.3.a </w:t>
            </w:r>
            <w:r>
              <w:rPr>
                <w:rFonts w:ascii="Tahoma" w:hAnsi="Tahoma" w:cs="Tahoma"/>
                <w:noProof/>
                <w:sz w:val="20"/>
                <w:szCs w:val="20"/>
              </w:rPr>
              <w:t xml:space="preserve">y </w:t>
            </w:r>
            <w:r>
              <w:rPr>
                <w:rFonts w:ascii="Tahoma" w:hAnsi="Tahoma" w:cs="Tahoma"/>
                <w:b/>
                <w:noProof/>
                <w:sz w:val="20"/>
                <w:szCs w:val="20"/>
              </w:rPr>
              <w:t>C.2.b.</w:t>
            </w:r>
            <w:r>
              <w:rPr>
                <w:rFonts w:ascii="Tahoma" w:hAnsi="Tahoma" w:cs="Tahoma"/>
                <w:noProof/>
                <w:sz w:val="20"/>
                <w:szCs w:val="20"/>
              </w:rPr>
              <w:t xml:space="preserve"> </w:t>
            </w:r>
          </w:p>
        </w:tc>
      </w:tr>
    </w:tbl>
    <w:p w:rsidR="009E10ED" w:rsidRDefault="009E10ED">
      <w:pPr>
        <w:rPr>
          <w:rFonts w:ascii="Tahoma" w:hAnsi="Tahoma" w:cs="Tahoma"/>
          <w:noProof/>
          <w:sz w:val="20"/>
          <w:szCs w:val="20"/>
        </w:rPr>
      </w:pPr>
    </w:p>
    <w:tbl>
      <w:tblPr>
        <w:tblStyle w:val="TableGrid"/>
        <w:tblW w:w="10188" w:type="dxa"/>
        <w:tblLook w:val="01E0" w:firstRow="1" w:lastRow="1" w:firstColumn="1" w:lastColumn="1" w:noHBand="0" w:noVBand="0"/>
      </w:tblPr>
      <w:tblGrid>
        <w:gridCol w:w="10188"/>
      </w:tblGrid>
      <w:tr w:rsidR="009E10ED">
        <w:tc>
          <w:tcPr>
            <w:tcW w:w="10188" w:type="dxa"/>
            <w:shd w:val="clear" w:color="auto" w:fill="E6E6E6"/>
          </w:tcPr>
          <w:p w:rsidR="009E10ED" w:rsidRDefault="008173FA">
            <w:pPr>
              <w:pStyle w:val="Default"/>
              <w:jc w:val="both"/>
              <w:rPr>
                <w:rFonts w:ascii="Tahoma" w:hAnsi="Tahoma" w:cs="Tahoma"/>
                <w:b/>
                <w:bCs/>
                <w:noProof/>
                <w:color w:val="auto"/>
                <w:sz w:val="20"/>
                <w:szCs w:val="20"/>
              </w:rPr>
            </w:pPr>
            <w:r>
              <w:rPr>
                <w:rFonts w:ascii="Tahoma" w:hAnsi="Tahoma" w:cs="Tahoma"/>
                <w:b/>
                <w:noProof/>
                <w:color w:val="auto"/>
                <w:sz w:val="20"/>
                <w:szCs w:val="20"/>
              </w:rPr>
              <w:t xml:space="preserve">¿Quién apoya la opción preferida? </w:t>
            </w:r>
          </w:p>
        </w:tc>
      </w:tr>
      <w:tr w:rsidR="009E10ED">
        <w:trPr>
          <w:trHeight w:val="1592"/>
        </w:trPr>
        <w:tc>
          <w:tcPr>
            <w:tcW w:w="10188" w:type="dxa"/>
            <w:shd w:val="clear" w:color="auto" w:fill="auto"/>
          </w:tcPr>
          <w:p w:rsidR="009E10ED" w:rsidRDefault="008173FA">
            <w:pPr>
              <w:jc w:val="both"/>
              <w:rPr>
                <w:rFonts w:ascii="Tahoma" w:hAnsi="Tahoma" w:cs="Tahoma"/>
                <w:noProof/>
                <w:sz w:val="20"/>
                <w:szCs w:val="20"/>
              </w:rPr>
            </w:pPr>
            <w:r>
              <w:rPr>
                <w:rFonts w:ascii="Tahoma" w:hAnsi="Tahoma" w:cs="Tahoma"/>
                <w:noProof/>
                <w:sz w:val="20"/>
                <w:szCs w:val="20"/>
              </w:rPr>
              <w:t>Las partes interesadas están de acuerdo en que el acceso a los registros centralizados de cuentas bancarias potenciaría la eficacia de las investigaciones de los servicios de seguridad y contribuiría a evitar los costes y las cargas administrativa que se d</w:t>
            </w:r>
            <w:r>
              <w:rPr>
                <w:rFonts w:ascii="Tahoma" w:hAnsi="Tahoma" w:cs="Tahoma"/>
                <w:noProof/>
                <w:sz w:val="20"/>
                <w:szCs w:val="20"/>
              </w:rPr>
              <w:t>erivan para los bancos de las solicitudes indiscriminadas. La mayoría de los participantes en la consulta pública se mostraron de acuerdo en conceder acceso a las autoridades competentes, incluidos los Organismos de Recuperación de Activos. Los Estados mie</w:t>
            </w:r>
            <w:r>
              <w:rPr>
                <w:rFonts w:ascii="Tahoma" w:hAnsi="Tahoma" w:cs="Tahoma"/>
                <w:noProof/>
                <w:sz w:val="20"/>
                <w:szCs w:val="20"/>
              </w:rPr>
              <w:t>mbros convienen en facilitar la cooperación entre las UIF y el intercambio de información entre estas y las autoridades competentes. En una reciente encuesta del Eurobarómetro, el 92 % de los encuestados se mostró de acuerdo en que las autoridades nacional</w:t>
            </w:r>
            <w:r>
              <w:rPr>
                <w:rFonts w:ascii="Tahoma" w:hAnsi="Tahoma" w:cs="Tahoma"/>
                <w:noProof/>
                <w:sz w:val="20"/>
                <w:szCs w:val="20"/>
              </w:rPr>
              <w:t xml:space="preserve">es deben intercambiar información con las autoridades de los demás Estados miembros de la UE, a fin de mejorar la prevención y la lucha contra la delincuencia y el terrorismo. </w:t>
            </w:r>
          </w:p>
        </w:tc>
      </w:tr>
      <w:tr w:rsidR="009E10ED">
        <w:tc>
          <w:tcPr>
            <w:tcW w:w="10188" w:type="dxa"/>
            <w:tcBorders>
              <w:bottom w:val="single" w:sz="4" w:space="0" w:color="auto"/>
            </w:tcBorders>
            <w:shd w:val="clear" w:color="auto" w:fill="CCCCCC"/>
          </w:tcPr>
          <w:p w:rsidR="009E10ED" w:rsidRDefault="008173FA">
            <w:pPr>
              <w:spacing w:before="60" w:after="60"/>
              <w:jc w:val="center"/>
              <w:rPr>
                <w:rFonts w:ascii="Tahoma" w:hAnsi="Tahoma" w:cs="Tahoma"/>
                <w:b/>
                <w:noProof/>
                <w:sz w:val="20"/>
                <w:szCs w:val="20"/>
              </w:rPr>
            </w:pPr>
            <w:r>
              <w:rPr>
                <w:rFonts w:ascii="Tahoma" w:hAnsi="Tahoma" w:cs="Tahoma"/>
                <w:b/>
                <w:noProof/>
                <w:sz w:val="20"/>
                <w:szCs w:val="20"/>
              </w:rPr>
              <w:t>C. Repercusiones de la opción preferida</w:t>
            </w:r>
          </w:p>
        </w:tc>
      </w:tr>
      <w:tr w:rsidR="009E10ED">
        <w:tc>
          <w:tcPr>
            <w:tcW w:w="10188" w:type="dxa"/>
            <w:tcBorders>
              <w:bottom w:val="single" w:sz="4" w:space="0" w:color="auto"/>
            </w:tcBorders>
            <w:shd w:val="clear" w:color="auto" w:fill="E6E6E6"/>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¿Cuáles son las ventajas de la opción</w:t>
            </w:r>
            <w:r>
              <w:rPr>
                <w:rFonts w:ascii="Tahoma" w:hAnsi="Tahoma" w:cs="Tahoma"/>
                <w:b/>
                <w:noProof/>
                <w:color w:val="auto"/>
                <w:sz w:val="20"/>
                <w:szCs w:val="20"/>
              </w:rPr>
              <w:t xml:space="preserve"> preferida (si existe, o bien de las principales)? </w:t>
            </w:r>
          </w:p>
        </w:tc>
      </w:tr>
      <w:tr w:rsidR="009E10ED">
        <w:trPr>
          <w:trHeight w:val="1743"/>
        </w:trPr>
        <w:tc>
          <w:tcPr>
            <w:tcW w:w="10188" w:type="dxa"/>
            <w:tcBorders>
              <w:bottom w:val="single" w:sz="4" w:space="0" w:color="auto"/>
            </w:tcBorders>
            <w:shd w:val="clear" w:color="auto" w:fill="auto"/>
          </w:tcPr>
          <w:p w:rsidR="009E10ED" w:rsidRDefault="008173FA">
            <w:pPr>
              <w:jc w:val="both"/>
              <w:rPr>
                <w:rFonts w:ascii="Tahoma" w:hAnsi="Tahoma" w:cs="Tahoma"/>
                <w:i/>
                <w:noProof/>
                <w:sz w:val="20"/>
                <w:szCs w:val="20"/>
              </w:rPr>
            </w:pPr>
            <w:r>
              <w:rPr>
                <w:rFonts w:ascii="Tahoma" w:hAnsi="Tahoma" w:cs="Tahoma"/>
                <w:noProof/>
                <w:sz w:val="20"/>
                <w:szCs w:val="20"/>
              </w:rPr>
              <w:t>Se cree que la opción preferida constituye la mejor forma de aumentar la seguridad y combatir la delincuencia en la UE. Proporcionaría un acceso más rápido a una información financiera claramente definida y garantizaría una cooperación más efectiva y efici</w:t>
            </w:r>
            <w:r>
              <w:rPr>
                <w:rFonts w:ascii="Tahoma" w:hAnsi="Tahoma" w:cs="Tahoma"/>
                <w:noProof/>
                <w:sz w:val="20"/>
                <w:szCs w:val="20"/>
              </w:rPr>
              <w:t>ente entre las UIF y las autoridades competentes. De este modo, reforzaría la posibilidad de que las autoridades competentes, incluidos los Organismos de Recuperación de Activos y Europol, accedan rápidamente a la información financiera que resulte fundame</w:t>
            </w:r>
            <w:r>
              <w:rPr>
                <w:rFonts w:ascii="Tahoma" w:hAnsi="Tahoma" w:cs="Tahoma"/>
                <w:noProof/>
                <w:sz w:val="20"/>
                <w:szCs w:val="20"/>
              </w:rPr>
              <w:t>ntal para sus investigaciones financieras. La opción preferida también mejoraría sustancialmente la capacidad de las UIF para llevar a cabo análisis financieros destinados a prevenir el blanqueo de capitales y la financiación del terrorismo. La opción pref</w:t>
            </w:r>
            <w:r>
              <w:rPr>
                <w:rFonts w:ascii="Tahoma" w:hAnsi="Tahoma" w:cs="Tahoma"/>
                <w:noProof/>
                <w:sz w:val="20"/>
                <w:szCs w:val="20"/>
              </w:rPr>
              <w:t xml:space="preserve">erida reduciría los costes y cargas administrativas que se derivan de enviar y solicitudes «genéricas» y responder a ellas. </w:t>
            </w:r>
          </w:p>
        </w:tc>
      </w:tr>
      <w:tr w:rsidR="009E10ED">
        <w:tc>
          <w:tcPr>
            <w:tcW w:w="10188" w:type="dxa"/>
            <w:tcBorders>
              <w:bottom w:val="single" w:sz="4" w:space="0" w:color="auto"/>
            </w:tcBorders>
            <w:shd w:val="clear" w:color="auto" w:fill="E6E6E6"/>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 xml:space="preserve">¿Cuáles son los costes de la opción preferida (si existe, o bien de las principales)? </w:t>
            </w:r>
          </w:p>
        </w:tc>
      </w:tr>
      <w:tr w:rsidR="009E10ED">
        <w:trPr>
          <w:trHeight w:val="800"/>
        </w:trPr>
        <w:tc>
          <w:tcPr>
            <w:tcW w:w="10188" w:type="dxa"/>
            <w:tcBorders>
              <w:bottom w:val="single" w:sz="4" w:space="0" w:color="auto"/>
            </w:tcBorders>
            <w:shd w:val="clear" w:color="auto" w:fill="auto"/>
          </w:tcPr>
          <w:p w:rsidR="009E10ED" w:rsidRDefault="008173FA">
            <w:pPr>
              <w:jc w:val="both"/>
              <w:rPr>
                <w:rFonts w:ascii="Tahoma" w:hAnsi="Tahoma" w:cs="Tahoma"/>
                <w:i/>
                <w:noProof/>
                <w:sz w:val="20"/>
                <w:szCs w:val="20"/>
              </w:rPr>
            </w:pPr>
            <w:r>
              <w:rPr>
                <w:rFonts w:ascii="Tahoma" w:hAnsi="Tahoma" w:cs="Tahoma"/>
                <w:noProof/>
                <w:sz w:val="20"/>
                <w:szCs w:val="20"/>
              </w:rPr>
              <w:t xml:space="preserve">Los costes puntuales de la aplicación de la opción preferida, que permite acceder directamente a los registros centralizados de cuentas bancarias y a los sistemas de recuperación de datos, se sitúa, según las estimaciones, entre los 5 000 EUR y los 30 000 </w:t>
            </w:r>
            <w:r>
              <w:rPr>
                <w:rFonts w:ascii="Tahoma" w:hAnsi="Tahoma" w:cs="Tahoma"/>
                <w:noProof/>
                <w:sz w:val="20"/>
                <w:szCs w:val="20"/>
              </w:rPr>
              <w:t>EUR (cifra que debe multiplicarse por el número de autoridades que estén conectadas a los registros centralizados de cuentas bancarias y a los sistemas de recuperación de datos). Los costes del acceso a la información financiera a través de las UIF recaerá</w:t>
            </w:r>
            <w:r>
              <w:rPr>
                <w:rFonts w:ascii="Tahoma" w:hAnsi="Tahoma" w:cs="Tahoma"/>
                <w:noProof/>
                <w:sz w:val="20"/>
                <w:szCs w:val="20"/>
              </w:rPr>
              <w:t xml:space="preserve">n principalmente en las propias UIF. </w:t>
            </w:r>
          </w:p>
        </w:tc>
      </w:tr>
      <w:tr w:rsidR="009E10ED">
        <w:tc>
          <w:tcPr>
            <w:tcW w:w="10188" w:type="dxa"/>
            <w:tcBorders>
              <w:bottom w:val="single" w:sz="4" w:space="0" w:color="auto"/>
            </w:tcBorders>
            <w:shd w:val="clear" w:color="auto" w:fill="E6E6E6"/>
          </w:tcPr>
          <w:p w:rsidR="009E10ED" w:rsidRDefault="008173FA">
            <w:pPr>
              <w:pStyle w:val="Default"/>
              <w:keepNext/>
              <w:jc w:val="both"/>
              <w:rPr>
                <w:rFonts w:ascii="Tahoma" w:hAnsi="Tahoma" w:cs="Tahoma"/>
                <w:noProof/>
                <w:color w:val="auto"/>
                <w:sz w:val="20"/>
                <w:szCs w:val="20"/>
              </w:rPr>
            </w:pPr>
            <w:r>
              <w:rPr>
                <w:rFonts w:ascii="Tahoma" w:hAnsi="Tahoma" w:cs="Tahoma"/>
                <w:b/>
                <w:noProof/>
                <w:color w:val="auto"/>
                <w:sz w:val="20"/>
                <w:szCs w:val="20"/>
              </w:rPr>
              <w:t xml:space="preserve">¿Cómo se verán afectadas las empresas, las pymes y las microempresas? </w:t>
            </w:r>
          </w:p>
        </w:tc>
      </w:tr>
      <w:tr w:rsidR="009E10ED">
        <w:trPr>
          <w:trHeight w:val="683"/>
        </w:trPr>
        <w:tc>
          <w:tcPr>
            <w:tcW w:w="10188" w:type="dxa"/>
            <w:tcBorders>
              <w:bottom w:val="single" w:sz="4" w:space="0" w:color="auto"/>
            </w:tcBorders>
            <w:shd w:val="clear" w:color="auto" w:fill="auto"/>
          </w:tcPr>
          <w:p w:rsidR="009E10ED" w:rsidRDefault="008173FA">
            <w:pPr>
              <w:jc w:val="both"/>
              <w:rPr>
                <w:rFonts w:ascii="Tahoma" w:hAnsi="Tahoma" w:cs="Tahoma"/>
                <w:noProof/>
                <w:sz w:val="20"/>
                <w:szCs w:val="20"/>
              </w:rPr>
            </w:pPr>
            <w:r>
              <w:rPr>
                <w:rFonts w:ascii="Tahoma" w:hAnsi="Tahoma" w:cs="Tahoma"/>
                <w:noProof/>
                <w:sz w:val="20"/>
                <w:szCs w:val="20"/>
              </w:rPr>
              <w:t>No se prevén costes adicionales para el sector bancario. Por el contrario, la presente iniciativa conduce a un importante ahorro financiero para los bancos, dado que estos ya no tendrían que tratar y responder a solicitudes genéricas procedentes de las aut</w:t>
            </w:r>
            <w:r>
              <w:rPr>
                <w:rFonts w:ascii="Tahoma" w:hAnsi="Tahoma" w:cs="Tahoma"/>
                <w:noProof/>
                <w:sz w:val="20"/>
                <w:szCs w:val="20"/>
              </w:rPr>
              <w:t xml:space="preserve">oridades competentes. No se esperan repercusiones específicas para las pymes o las microempresas. </w:t>
            </w:r>
          </w:p>
        </w:tc>
      </w:tr>
      <w:tr w:rsidR="009E10ED">
        <w:tc>
          <w:tcPr>
            <w:tcW w:w="10188" w:type="dxa"/>
            <w:tcBorders>
              <w:bottom w:val="single" w:sz="4" w:space="0" w:color="auto"/>
            </w:tcBorders>
            <w:shd w:val="clear" w:color="auto" w:fill="E6E6E6"/>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 xml:space="preserve">¿Habrá repercusiones significativas en los presupuestos y las administraciones nacionales? </w:t>
            </w:r>
          </w:p>
        </w:tc>
      </w:tr>
      <w:tr w:rsidR="009E10ED">
        <w:trPr>
          <w:trHeight w:val="1004"/>
        </w:trPr>
        <w:tc>
          <w:tcPr>
            <w:tcW w:w="10188" w:type="dxa"/>
            <w:shd w:val="clear" w:color="auto" w:fill="auto"/>
          </w:tcPr>
          <w:p w:rsidR="009E10ED" w:rsidRDefault="008173FA">
            <w:pPr>
              <w:jc w:val="both"/>
              <w:rPr>
                <w:rFonts w:ascii="Tahoma" w:hAnsi="Tahoma" w:cs="Tahoma"/>
                <w:noProof/>
                <w:sz w:val="20"/>
                <w:szCs w:val="20"/>
              </w:rPr>
            </w:pPr>
            <w:r>
              <w:rPr>
                <w:rFonts w:ascii="Tahoma" w:hAnsi="Tahoma" w:cs="Tahoma"/>
                <w:noProof/>
                <w:sz w:val="20"/>
                <w:szCs w:val="20"/>
              </w:rPr>
              <w:t>Los costes de poner en marcha el acceso directo a los registros</w:t>
            </w:r>
            <w:r>
              <w:rPr>
                <w:rFonts w:ascii="Tahoma" w:hAnsi="Tahoma" w:cs="Tahoma"/>
                <w:noProof/>
                <w:sz w:val="20"/>
                <w:szCs w:val="20"/>
              </w:rPr>
              <w:t xml:space="preserve"> centralizados de cuentas bancarias y a los sistemas de recuperación de datos, así como el acceso a la información financiera a través de las UIF tendrán un impacto en los presupuestos y las administraciones nacionales. Sin embargo, estos costes deberían v</w:t>
            </w:r>
            <w:r>
              <w:rPr>
                <w:rFonts w:ascii="Tahoma" w:hAnsi="Tahoma" w:cs="Tahoma"/>
                <w:noProof/>
                <w:sz w:val="20"/>
                <w:szCs w:val="20"/>
              </w:rPr>
              <w:t>erse compensados por una reducción de los actuales costes administrativos y financieros de las autoridades competentes, así como por el ahorro de costes resultante de una cooperación más eficaz entre las UIF y de estas con las autoridades competentes.</w:t>
            </w:r>
          </w:p>
        </w:tc>
      </w:tr>
      <w:tr w:rsidR="009E10ED">
        <w:tc>
          <w:tcPr>
            <w:tcW w:w="10188" w:type="dxa"/>
            <w:tcBorders>
              <w:bottom w:val="single" w:sz="4" w:space="0" w:color="auto"/>
            </w:tcBorders>
            <w:shd w:val="clear" w:color="auto" w:fill="E6E6E6"/>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¿Ha</w:t>
            </w:r>
            <w:r>
              <w:rPr>
                <w:rFonts w:ascii="Tahoma" w:hAnsi="Tahoma" w:cs="Tahoma"/>
                <w:b/>
                <w:noProof/>
                <w:color w:val="auto"/>
                <w:sz w:val="20"/>
                <w:szCs w:val="20"/>
              </w:rPr>
              <w:t xml:space="preserve">brá otras repercusiones significativas? </w:t>
            </w:r>
          </w:p>
        </w:tc>
      </w:tr>
      <w:tr w:rsidR="009E10ED">
        <w:trPr>
          <w:trHeight w:val="553"/>
        </w:trPr>
        <w:tc>
          <w:tcPr>
            <w:tcW w:w="10188" w:type="dxa"/>
            <w:tcBorders>
              <w:bottom w:val="single" w:sz="4" w:space="0" w:color="auto"/>
            </w:tcBorders>
            <w:shd w:val="clear" w:color="auto" w:fill="auto"/>
          </w:tcPr>
          <w:p w:rsidR="009E10ED" w:rsidRDefault="008173FA">
            <w:pPr>
              <w:jc w:val="both"/>
              <w:rPr>
                <w:rFonts w:ascii="Tahoma" w:hAnsi="Tahoma" w:cs="Tahoma"/>
                <w:noProof/>
                <w:sz w:val="20"/>
                <w:szCs w:val="20"/>
              </w:rPr>
            </w:pPr>
            <w:r>
              <w:rPr>
                <w:rFonts w:ascii="Tahoma" w:hAnsi="Tahoma" w:cs="Tahoma"/>
                <w:noProof/>
                <w:sz w:val="20"/>
                <w:szCs w:val="20"/>
              </w:rPr>
              <w:t>Las medidas propuestas tendrían una repercusión sobre los derechos fundamentales; las restricciones del derecho a la protección de los datos de carácter personal se mantendría al mínimo, puesto que el acceso está l</w:t>
            </w:r>
            <w:r>
              <w:rPr>
                <w:rFonts w:ascii="Tahoma" w:hAnsi="Tahoma" w:cs="Tahoma"/>
                <w:noProof/>
                <w:sz w:val="20"/>
                <w:szCs w:val="20"/>
              </w:rPr>
              <w:t xml:space="preserve">imitado y abierto únicamente a las autoridades competentes, lo que garantiza la necesaria proporcionalidad. Se permitirá un acceso directo a los registros centralizados de cuentas bancarias y a los sistemas de recuperación de datos, ya que estos contienen </w:t>
            </w:r>
            <w:r>
              <w:rPr>
                <w:rFonts w:ascii="Tahoma" w:hAnsi="Tahoma" w:cs="Tahoma"/>
                <w:noProof/>
                <w:sz w:val="20"/>
                <w:szCs w:val="20"/>
              </w:rPr>
              <w:t>información limitada. Será posible el acceso a otros tipos de información financiera a través de las UIF. Las opciones preferidas no van más allá de lo necesario para alcanzar los objetivos perseguidos, y se consideran los instrumentos legislativos a escal</w:t>
            </w:r>
            <w:r>
              <w:rPr>
                <w:rFonts w:ascii="Tahoma" w:hAnsi="Tahoma" w:cs="Tahoma"/>
                <w:noProof/>
                <w:sz w:val="20"/>
                <w:szCs w:val="20"/>
              </w:rPr>
              <w:t xml:space="preserve">a de la Unión menos intrusivos, en consonancia con los requisitos establecidos por el Tribunal de Justicia. Una futura propuesta jurídica no afectaría a ninguna de las garantías procesales establecidas en la legislación nacional y proporcionaría garantías </w:t>
            </w:r>
            <w:r>
              <w:rPr>
                <w:rFonts w:ascii="Tahoma" w:hAnsi="Tahoma" w:cs="Tahoma"/>
                <w:noProof/>
                <w:sz w:val="20"/>
                <w:szCs w:val="20"/>
              </w:rPr>
              <w:t xml:space="preserve">estrictas, lo que a su vez mitigaría cualquier posible impacto negativo en los derechos fundamentales. </w:t>
            </w:r>
          </w:p>
        </w:tc>
      </w:tr>
      <w:tr w:rsidR="009E10ED">
        <w:tc>
          <w:tcPr>
            <w:tcW w:w="10188" w:type="dxa"/>
            <w:tcBorders>
              <w:bottom w:val="single" w:sz="4" w:space="0" w:color="auto"/>
            </w:tcBorders>
            <w:shd w:val="clear" w:color="auto" w:fill="C0C0C0"/>
          </w:tcPr>
          <w:p w:rsidR="009E10ED" w:rsidRDefault="008173FA">
            <w:pPr>
              <w:spacing w:before="60" w:after="60"/>
              <w:jc w:val="center"/>
              <w:rPr>
                <w:rFonts w:ascii="Tahoma" w:hAnsi="Tahoma" w:cs="Tahoma"/>
                <w:b/>
                <w:noProof/>
                <w:sz w:val="20"/>
                <w:szCs w:val="20"/>
              </w:rPr>
            </w:pPr>
            <w:r>
              <w:rPr>
                <w:rFonts w:ascii="Tahoma" w:hAnsi="Tahoma" w:cs="Tahoma"/>
                <w:b/>
                <w:noProof/>
                <w:sz w:val="20"/>
                <w:szCs w:val="20"/>
              </w:rPr>
              <w:t>D. Seguimiento</w:t>
            </w:r>
          </w:p>
        </w:tc>
      </w:tr>
      <w:tr w:rsidR="009E10ED">
        <w:tc>
          <w:tcPr>
            <w:tcW w:w="10188" w:type="dxa"/>
            <w:tcBorders>
              <w:bottom w:val="single" w:sz="4" w:space="0" w:color="auto"/>
            </w:tcBorders>
            <w:shd w:val="clear" w:color="auto" w:fill="E6E6E6"/>
          </w:tcPr>
          <w:p w:rsidR="009E10ED" w:rsidRDefault="008173FA">
            <w:pPr>
              <w:pStyle w:val="Default"/>
              <w:jc w:val="both"/>
              <w:rPr>
                <w:rFonts w:ascii="Tahoma" w:hAnsi="Tahoma" w:cs="Tahoma"/>
                <w:noProof/>
                <w:color w:val="auto"/>
                <w:sz w:val="20"/>
                <w:szCs w:val="20"/>
              </w:rPr>
            </w:pPr>
            <w:r>
              <w:rPr>
                <w:rFonts w:ascii="Tahoma" w:hAnsi="Tahoma" w:cs="Tahoma"/>
                <w:b/>
                <w:noProof/>
                <w:color w:val="auto"/>
                <w:sz w:val="20"/>
                <w:szCs w:val="20"/>
              </w:rPr>
              <w:t xml:space="preserve">¿Cuándo se revisará la política? </w:t>
            </w:r>
          </w:p>
        </w:tc>
      </w:tr>
      <w:tr w:rsidR="009E10ED">
        <w:trPr>
          <w:trHeight w:val="850"/>
        </w:trPr>
        <w:tc>
          <w:tcPr>
            <w:tcW w:w="10188" w:type="dxa"/>
            <w:tcBorders>
              <w:bottom w:val="single" w:sz="4" w:space="0" w:color="auto"/>
            </w:tcBorders>
            <w:shd w:val="clear" w:color="auto" w:fill="auto"/>
          </w:tcPr>
          <w:p w:rsidR="009E10ED" w:rsidRDefault="008173FA">
            <w:pPr>
              <w:jc w:val="both"/>
              <w:rPr>
                <w:rFonts w:ascii="Tahoma" w:hAnsi="Tahoma" w:cs="Tahoma"/>
                <w:noProof/>
                <w:sz w:val="20"/>
                <w:szCs w:val="20"/>
              </w:rPr>
            </w:pPr>
            <w:r>
              <w:rPr>
                <w:rFonts w:ascii="Tahoma" w:hAnsi="Tahoma" w:cs="Tahoma"/>
                <w:noProof/>
                <w:sz w:val="20"/>
                <w:szCs w:val="20"/>
              </w:rPr>
              <w:t>La Comisión supervisará la aplicación efectiva de los instrumentos legislativos propuestos y, sobre la base de las consultas con los Estados miembros y las partes interesadas, evaluará sus logros en relación con sus objetivos y los problemas que deban solu</w:t>
            </w:r>
            <w:r>
              <w:rPr>
                <w:rFonts w:ascii="Tahoma" w:hAnsi="Tahoma" w:cs="Tahoma"/>
                <w:noProof/>
                <w:sz w:val="20"/>
                <w:szCs w:val="20"/>
              </w:rPr>
              <w:t xml:space="preserve">cionarse dentro de los 3 años siguientes a la adopción de las medidas propuestas. </w:t>
            </w:r>
          </w:p>
        </w:tc>
      </w:tr>
    </w:tbl>
    <w:p w:rsidR="009E10ED" w:rsidRPr="008173FA" w:rsidRDefault="009E10ED">
      <w:pPr>
        <w:rPr>
          <w:rFonts w:ascii="Tahoma" w:hAnsi="Tahoma" w:cs="Tahoma"/>
          <w:noProof/>
          <w:sz w:val="20"/>
          <w:szCs w:val="20"/>
        </w:rPr>
      </w:pPr>
    </w:p>
    <w:sectPr w:rsidR="009E10ED" w:rsidRPr="008173FA">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ED" w:rsidRDefault="008173FA">
      <w:r>
        <w:separator/>
      </w:r>
    </w:p>
  </w:endnote>
  <w:endnote w:type="continuationSeparator" w:id="0">
    <w:p w:rsidR="009E10ED" w:rsidRDefault="0081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FA" w:rsidRPr="008173FA" w:rsidRDefault="008173FA" w:rsidP="00817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FA" w:rsidRPr="008173FA" w:rsidRDefault="008173FA" w:rsidP="008173FA">
    <w:pPr>
      <w:pStyle w:val="FooterCoverPage"/>
      <w:rPr>
        <w:rFonts w:ascii="Arial" w:hAnsi="Arial" w:cs="Arial"/>
        <w:b/>
        <w:sz w:val="48"/>
      </w:rPr>
    </w:pPr>
    <w:r w:rsidRPr="008173FA">
      <w:rPr>
        <w:rFonts w:ascii="Arial" w:hAnsi="Arial" w:cs="Arial"/>
        <w:b/>
        <w:sz w:val="48"/>
      </w:rPr>
      <w:t>ES</w:t>
    </w:r>
    <w:r w:rsidRPr="008173FA">
      <w:rPr>
        <w:rFonts w:ascii="Arial" w:hAnsi="Arial" w:cs="Arial"/>
        <w:b/>
        <w:sz w:val="48"/>
      </w:rPr>
      <w:tab/>
    </w:r>
    <w:r w:rsidRPr="008173FA">
      <w:rPr>
        <w:rFonts w:ascii="Arial" w:hAnsi="Arial" w:cs="Arial"/>
        <w:b/>
        <w:sz w:val="48"/>
      </w:rPr>
      <w:tab/>
    </w:r>
    <w:r w:rsidRPr="008173FA">
      <w:tab/>
    </w:r>
    <w:r w:rsidRPr="008173FA">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FA" w:rsidRPr="008173FA" w:rsidRDefault="008173FA" w:rsidP="008173F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ED" w:rsidRDefault="009E10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rsidR="009E10ED" w:rsidRDefault="008173F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E10ED" w:rsidRDefault="009E10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681"/>
      <w:docPartObj>
        <w:docPartGallery w:val="Page Numbers (Bottom of Page)"/>
        <w:docPartUnique/>
      </w:docPartObj>
    </w:sdtPr>
    <w:sdtEndPr>
      <w:rPr>
        <w:noProof/>
      </w:rPr>
    </w:sdtEndPr>
    <w:sdtContent>
      <w:p w:rsidR="009E10ED" w:rsidRDefault="008173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E10ED" w:rsidRDefault="009E10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ED" w:rsidRDefault="008173FA">
      <w:r>
        <w:separator/>
      </w:r>
    </w:p>
  </w:footnote>
  <w:footnote w:type="continuationSeparator" w:id="0">
    <w:p w:rsidR="009E10ED" w:rsidRDefault="00817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FA" w:rsidRPr="008173FA" w:rsidRDefault="008173FA" w:rsidP="00817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FA" w:rsidRPr="008173FA" w:rsidRDefault="008173FA" w:rsidP="008173F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FA" w:rsidRPr="008173FA" w:rsidRDefault="008173FA" w:rsidP="008173F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ED" w:rsidRDefault="009E10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ED" w:rsidRDefault="009E10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ED" w:rsidRDefault="009E10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A54A9FA7-CE17-4E0F-888C-43215BFD571F"/>
    <w:docVar w:name="LW_COVERPAGE_TYPE" w:val="1"/>
    <w:docVar w:name="LW_CROSSREFERENCE" w:val="{COM(2018) 213 final}_x000d__x000a_{SWD(2018) 114 final}"/>
    <w:docVar w:name="LW_DocType" w:val="NORMAL"/>
    <w:docVar w:name="LW_EMISSION" w:val="17.4.2018"/>
    <w:docVar w:name="LW_EMISSION_ISODATE" w:val="2018-04-17"/>
    <w:docVar w:name="LW_EMISSION_LOCATION" w:val="BRX"/>
    <w:docVar w:name="LW_EMISSION_PREFIX" w:val="Estrasburgo,"/>
    <w:docVar w:name="LW_EMISSION_SUFFIX" w:val="&lt;EMPTY&gt;"/>
    <w:docVar w:name="LW_ID_DOCTYPE_NONLW" w:val="CP-027"/>
    <w:docVar w:name="LW_LANGUE" w:val="ES"/>
    <w:docVar w:name="LW_LEVEL_OF_SENSITIVITY" w:val="Standard treatment"/>
    <w:docVar w:name="LW_NOM.INST" w:val="COMISIÓN EUROPEA"/>
    <w:docVar w:name="LW_NOM.INST_JOINTDOC" w:val="&lt;EMPTY&gt;"/>
    <w:docVar w:name="LW_OBJETACTEPRINCIPAL.CP" w:val="por el que se establecen normas destinadas a facilitar el uso de información financiera y de otros tipos para la prevención, detección, investigación o enjuiciamiento de determinados delitos y por la que se deroga la Decisión 2000/642/JAI del Consejo_x000b_"/>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JO DE LOS SERVICIOS DE LA COMISIÓN_x000b__x000b_RESUMEN DE LA EVALUACIÓN DE IMPACTO_x000b_"/>
    <w:docVar w:name="LW_TYPEACTEPRINCIPAL.CP" w:val="Propuesta de Directiva del Parlamento Europeo y del Consejo"/>
  </w:docVars>
  <w:rsids>
    <w:rsidRoot w:val="009E10ED"/>
    <w:rsid w:val="008173FA"/>
    <w:rsid w:val="009E10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s-E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s-ES"/>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s-ES"/>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s-E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es-ES"/>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s-ES"/>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s-E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s-E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s-ES"/>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s-ES"/>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s-E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es-ES"/>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s-ES"/>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s-E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2F17-B7C6-4145-B157-DABC2454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1647</Words>
  <Characters>9083</Characters>
  <Application>Microsoft Office Word</Application>
  <DocSecurity>0</DocSecurity>
  <Lines>121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2018-04-24T15:54:00Z</cp:lastPrinted>
  <dcterms:created xsi:type="dcterms:W3CDTF">2018-05-03T14:26:00Z</dcterms:created>
  <dcterms:modified xsi:type="dcterms:W3CDTF">2018-05-16T09:18:00Z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