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D3" w:rsidRDefault="00BF7287" w:rsidP="00BF7287">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65190B3-283D-4AB5-B809-786786CB8A7A" style="width:450.6pt;height:422.05pt">
            <v:imagedata r:id="rId9" o:title=""/>
          </v:shape>
        </w:pict>
      </w:r>
    </w:p>
    <w:bookmarkEnd w:id="0"/>
    <w:p w:rsidR="00DB21D3" w:rsidRDefault="00DB21D3">
      <w:pPr>
        <w:rPr>
          <w:noProof/>
        </w:rPr>
        <w:sectPr w:rsidR="00DB21D3" w:rsidSect="00BF7287">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DB21D3">
        <w:tc>
          <w:tcPr>
            <w:tcW w:w="10188" w:type="dxa"/>
            <w:tcBorders>
              <w:bottom w:val="single" w:sz="4" w:space="0" w:color="auto"/>
            </w:tcBorders>
            <w:shd w:val="clear" w:color="auto" w:fill="CCCCCC"/>
          </w:tcPr>
          <w:p w:rsidR="00DB21D3" w:rsidRDefault="00BF7287">
            <w:pPr>
              <w:tabs>
                <w:tab w:val="left" w:pos="2309"/>
              </w:tabs>
              <w:spacing w:before="60" w:after="60"/>
              <w:jc w:val="center"/>
              <w:rPr>
                <w:rFonts w:ascii="Tahoma" w:hAnsi="Tahoma" w:cs="Tahoma"/>
                <w:b/>
                <w:noProof/>
                <w:sz w:val="20"/>
                <w:szCs w:val="20"/>
              </w:rPr>
            </w:pPr>
            <w:r>
              <w:rPr>
                <w:rFonts w:ascii="Tahoma" w:hAnsi="Tahoma"/>
                <w:b/>
                <w:noProof/>
                <w:sz w:val="20"/>
              </w:rPr>
              <w:lastRenderedPageBreak/>
              <w:t>Skeda tas-Sommarju Eżekuttiv</w:t>
            </w:r>
          </w:p>
        </w:tc>
      </w:tr>
      <w:tr w:rsidR="00DB21D3">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DB21D3" w:rsidRDefault="00BF7287">
            <w:pPr>
              <w:jc w:val="both"/>
              <w:rPr>
                <w:rFonts w:ascii="Tahoma" w:hAnsi="Tahoma" w:cs="Tahoma"/>
                <w:noProof/>
                <w:sz w:val="20"/>
              </w:rPr>
            </w:pPr>
            <w:r>
              <w:rPr>
                <w:rFonts w:ascii="Tahoma" w:hAnsi="Tahoma"/>
                <w:noProof/>
                <w:sz w:val="20"/>
              </w:rPr>
              <w:t xml:space="preserve">Valutazzjoni tal-impatt dwar il-faċilitazzjoni tal-użu ta’ informazzjoni finanzjarja u informazzjoni oħra </w:t>
            </w:r>
            <w:r>
              <w:rPr>
                <w:rFonts w:ascii="Tahoma" w:hAnsi="Tahoma"/>
                <w:noProof/>
                <w:sz w:val="20"/>
              </w:rPr>
              <w:t>għall-prevenzjoni, l-identifikazzjoni, l-investigazzjoni jew il-prosekuzzjoni ta’ ċerti reati kriminali.</w:t>
            </w:r>
          </w:p>
        </w:tc>
      </w:tr>
      <w:tr w:rsidR="00DB21D3">
        <w:tc>
          <w:tcPr>
            <w:tcW w:w="10188" w:type="dxa"/>
            <w:tcBorders>
              <w:bottom w:val="single" w:sz="4" w:space="0" w:color="auto"/>
            </w:tcBorders>
            <w:shd w:val="clear" w:color="auto" w:fill="CCCCCC"/>
          </w:tcPr>
          <w:p w:rsidR="00DB21D3" w:rsidRDefault="00BF7287">
            <w:pPr>
              <w:tabs>
                <w:tab w:val="left" w:pos="2309"/>
              </w:tabs>
              <w:spacing w:before="60" w:after="60"/>
              <w:jc w:val="center"/>
              <w:rPr>
                <w:rFonts w:ascii="Tahoma" w:hAnsi="Tahoma" w:cs="Tahoma"/>
                <w:b/>
                <w:noProof/>
                <w:sz w:val="20"/>
                <w:szCs w:val="20"/>
              </w:rPr>
            </w:pPr>
            <w:r>
              <w:rPr>
                <w:rFonts w:ascii="Tahoma" w:hAnsi="Tahoma"/>
                <w:b/>
                <w:noProof/>
                <w:sz w:val="20"/>
              </w:rPr>
              <w:t>A. Ħtieġa li tittieħed azzjoni</w:t>
            </w:r>
          </w:p>
        </w:tc>
      </w:tr>
      <w:tr w:rsidR="00DB21D3">
        <w:tc>
          <w:tcPr>
            <w:tcW w:w="10188" w:type="dxa"/>
            <w:tcBorders>
              <w:bottom w:val="single" w:sz="4" w:space="0" w:color="auto"/>
            </w:tcBorders>
            <w:shd w:val="clear" w:color="auto" w:fill="E0E0E0"/>
          </w:tcPr>
          <w:p w:rsidR="00DB21D3" w:rsidRDefault="00BF7287">
            <w:pPr>
              <w:pStyle w:val="Default"/>
              <w:jc w:val="both"/>
              <w:rPr>
                <w:rFonts w:ascii="Tahoma" w:hAnsi="Tahoma" w:cs="Tahoma"/>
                <w:noProof/>
                <w:sz w:val="20"/>
                <w:szCs w:val="20"/>
              </w:rPr>
            </w:pPr>
            <w:r>
              <w:rPr>
                <w:rFonts w:ascii="Tahoma" w:hAnsi="Tahoma"/>
                <w:b/>
                <w:noProof/>
                <w:sz w:val="20"/>
              </w:rPr>
              <w:t xml:space="preserve">Għaliex? X’inhi l-problema li qed tiġi indirizzata? </w:t>
            </w:r>
          </w:p>
        </w:tc>
      </w:tr>
      <w:tr w:rsidR="00DB21D3">
        <w:trPr>
          <w:trHeight w:val="1132"/>
        </w:trPr>
        <w:tc>
          <w:tcPr>
            <w:tcW w:w="10188" w:type="dxa"/>
            <w:tcBorders>
              <w:bottom w:val="single" w:sz="4" w:space="0" w:color="auto"/>
            </w:tcBorders>
            <w:shd w:val="clear" w:color="auto" w:fill="auto"/>
          </w:tcPr>
          <w:p w:rsidR="00DB21D3" w:rsidRDefault="00BF7287">
            <w:pPr>
              <w:autoSpaceDE w:val="0"/>
              <w:autoSpaceDN w:val="0"/>
              <w:adjustRightInd w:val="0"/>
              <w:rPr>
                <w:rFonts w:ascii="Tahoma" w:hAnsi="Tahoma" w:cs="Tahoma"/>
                <w:i/>
                <w:iCs/>
                <w:noProof/>
                <w:color w:val="243F60" w:themeColor="accent1" w:themeShade="7F"/>
                <w:sz w:val="20"/>
                <w:szCs w:val="20"/>
              </w:rPr>
            </w:pPr>
            <w:r>
              <w:rPr>
                <w:rFonts w:ascii="Tahoma" w:hAnsi="Tahoma"/>
                <w:noProof/>
                <w:sz w:val="20"/>
              </w:rPr>
              <w:t>Il-gruppi kriminali u t-terroristi ħafna drabi joperaw f’diversi</w:t>
            </w:r>
            <w:r>
              <w:rPr>
                <w:rFonts w:ascii="Tahoma" w:hAnsi="Tahoma"/>
                <w:noProof/>
                <w:sz w:val="20"/>
              </w:rPr>
              <w:t xml:space="preserve"> Stati Membri u l-assi tagħhom, inkluż il-kontijiet bankarji, normalment jinsabu fl-UE jew barra minnha. L-attivitajiet finanzjarji tagħhom jistgħu jħallu rekord ta’ informazzjoni fi Stati Membri oħra li jistgħu jkunu importanti mmens għall-investigaturi. </w:t>
            </w:r>
            <w:r>
              <w:rPr>
                <w:rFonts w:ascii="Tahoma" w:hAnsi="Tahoma"/>
                <w:noProof/>
                <w:sz w:val="20"/>
              </w:rPr>
              <w:t>In-nuqqas ta’ aċċess jew l-aċċess tardiv għal informazzjoni finanzjarja u l-informazzjoni dwar il-kont bankarju jxekkel l-identifikazzjoni ta’ flussi finanzjarji li jirriżultaw minn attività kriminali. Ir-rikavati minn attività kriminali jistgħu jibqgħu mi</w:t>
            </w:r>
            <w:r>
              <w:rPr>
                <w:rFonts w:ascii="Tahoma" w:hAnsi="Tahoma"/>
                <w:noProof/>
                <w:sz w:val="20"/>
              </w:rPr>
              <w:t>stura jew ma jkunux jistgħu jiġu ffriżati. Barra minn hekk, l-Unitajiet ta’ Intelligence Finanzjarja (UIF) jaffaċċjaw ostakli fil-kooperazzjoni ta’ bejniethom, kif ukoll fl-aċċess għal informazzjoni tal-eżekuzzjoni tal-liġi li hija rilevanti fit-twettiq ta</w:t>
            </w:r>
            <w:r>
              <w:rPr>
                <w:rFonts w:ascii="Tahoma" w:hAnsi="Tahoma"/>
                <w:noProof/>
                <w:sz w:val="20"/>
              </w:rPr>
              <w:t>l-kompiti tagħhom skont ir-Raba’ Direttiva kontra l-Ħasil tal-Flus UE(2015)849 (4AMLD).</w:t>
            </w:r>
          </w:p>
        </w:tc>
      </w:tr>
      <w:tr w:rsidR="00DB21D3">
        <w:tc>
          <w:tcPr>
            <w:tcW w:w="10188" w:type="dxa"/>
            <w:tcBorders>
              <w:bottom w:val="single" w:sz="4" w:space="0" w:color="auto"/>
            </w:tcBorders>
            <w:shd w:val="clear" w:color="auto" w:fill="E6E6E6"/>
          </w:tcPr>
          <w:p w:rsidR="00DB21D3" w:rsidRDefault="00BF7287">
            <w:pPr>
              <w:pStyle w:val="Default"/>
              <w:keepNext/>
              <w:jc w:val="both"/>
              <w:rPr>
                <w:rFonts w:ascii="Tahoma" w:hAnsi="Tahoma" w:cs="Tahoma"/>
                <w:noProof/>
                <w:sz w:val="20"/>
                <w:szCs w:val="20"/>
              </w:rPr>
            </w:pPr>
            <w:r>
              <w:rPr>
                <w:rFonts w:ascii="Tahoma" w:hAnsi="Tahoma"/>
                <w:b/>
                <w:noProof/>
                <w:sz w:val="20"/>
              </w:rPr>
              <w:t xml:space="preserve">X’mistennija tikseb din l-inizjattiva? </w:t>
            </w:r>
          </w:p>
        </w:tc>
      </w:tr>
      <w:tr w:rsidR="00DB21D3">
        <w:trPr>
          <w:trHeight w:val="727"/>
        </w:trPr>
        <w:tc>
          <w:tcPr>
            <w:tcW w:w="10188" w:type="dxa"/>
            <w:tcBorders>
              <w:bottom w:val="single" w:sz="4" w:space="0" w:color="auto"/>
            </w:tcBorders>
            <w:shd w:val="clear" w:color="auto" w:fill="auto"/>
          </w:tcPr>
          <w:p w:rsidR="00DB21D3" w:rsidRDefault="00BF7287">
            <w:pPr>
              <w:jc w:val="both"/>
              <w:rPr>
                <w:rFonts w:ascii="Tahoma" w:hAnsi="Tahoma" w:cs="Tahoma"/>
                <w:noProof/>
                <w:sz w:val="20"/>
                <w:szCs w:val="20"/>
              </w:rPr>
            </w:pPr>
            <w:r>
              <w:rPr>
                <w:rFonts w:ascii="Tahoma" w:hAnsi="Tahoma"/>
                <w:noProof/>
                <w:sz w:val="20"/>
              </w:rPr>
              <w:t>Din l-inizjattiva għandha l-għan li żżid is-sigurtà fl-Istati Membri tal-UE u madwar l-Ewropa permezz ta’ titjib fl-aċċess għa</w:t>
            </w:r>
            <w:r>
              <w:rPr>
                <w:rFonts w:ascii="Tahoma" w:hAnsi="Tahoma"/>
                <w:noProof/>
                <w:sz w:val="20"/>
              </w:rPr>
              <w:t xml:space="preserve">ll-informazzjoni finanzjarja, inkluż l-informazzjoni dwar kontijiet bankarji għall-awtoritajiet u korpi kompetenti u l-korpi responsabbli għall-prevenzjoni, l-investigazzjoni u l-prosekuzzjoni ta’ forom serji ta’ delitti, li jtejjeb il-kapaċità tagħhom li </w:t>
            </w:r>
            <w:r>
              <w:rPr>
                <w:rFonts w:ascii="Tahoma" w:hAnsi="Tahoma"/>
                <w:noProof/>
                <w:sz w:val="20"/>
              </w:rPr>
              <w:t>jwettqu investigazzjonijiet u analiżi, u jtejbu l-kooperazzjoni.  Barra minn hekk, l-inizjattiva għandha l-għan li ttejjeb il-kapaċità tal-UIF biex iwettqu l-kompiti tagħhom skont ir-Raba’ Direttiva kontra l-Ħasil tal-Flus.</w:t>
            </w:r>
          </w:p>
        </w:tc>
      </w:tr>
      <w:tr w:rsidR="00DB21D3">
        <w:tc>
          <w:tcPr>
            <w:tcW w:w="10188" w:type="dxa"/>
            <w:tcBorders>
              <w:bottom w:val="single" w:sz="4" w:space="0" w:color="auto"/>
            </w:tcBorders>
            <w:shd w:val="clear" w:color="auto" w:fill="E6E6E6"/>
          </w:tcPr>
          <w:p w:rsidR="00DB21D3" w:rsidRDefault="00BF7287">
            <w:pPr>
              <w:pStyle w:val="Default"/>
              <w:jc w:val="both"/>
              <w:rPr>
                <w:rFonts w:ascii="Tahoma" w:hAnsi="Tahoma" w:cs="Tahoma"/>
                <w:noProof/>
                <w:sz w:val="20"/>
                <w:szCs w:val="20"/>
              </w:rPr>
            </w:pPr>
            <w:r>
              <w:rPr>
                <w:rFonts w:ascii="Tahoma" w:hAnsi="Tahoma"/>
                <w:b/>
                <w:noProof/>
                <w:sz w:val="20"/>
              </w:rPr>
              <w:t xml:space="preserve">X’inhu l-valur miżjud ta’ azzjoni fil-livell tal-UE? </w:t>
            </w:r>
          </w:p>
        </w:tc>
      </w:tr>
      <w:tr w:rsidR="00DB21D3">
        <w:trPr>
          <w:trHeight w:val="443"/>
        </w:trPr>
        <w:tc>
          <w:tcPr>
            <w:tcW w:w="10188" w:type="dxa"/>
            <w:tcBorders>
              <w:bottom w:val="single" w:sz="4" w:space="0" w:color="auto"/>
            </w:tcBorders>
            <w:shd w:val="clear" w:color="auto" w:fill="auto"/>
          </w:tcPr>
          <w:p w:rsidR="00DB21D3" w:rsidRDefault="00BF7287">
            <w:pPr>
              <w:jc w:val="both"/>
              <w:rPr>
                <w:rFonts w:ascii="Tahoma" w:hAnsi="Tahoma" w:cs="Tahoma"/>
                <w:noProof/>
                <w:sz w:val="20"/>
                <w:szCs w:val="20"/>
              </w:rPr>
            </w:pPr>
            <w:r>
              <w:rPr>
                <w:rFonts w:ascii="Tahoma" w:hAnsi="Tahoma"/>
                <w:noProof/>
                <w:sz w:val="20"/>
              </w:rPr>
              <w:t>L-azzjoni tal-UE tipprovdi approċċ armonizzat li jiffaċilita l-aċċess tal-awtoritajiet u l-korpi kompetenti għall-informazzjoni finanzjarja biex jiġġieldu l-kriminalità serja kif ukoll biex jissaħħu l-</w:t>
            </w:r>
            <w:r>
              <w:rPr>
                <w:rFonts w:ascii="Tahoma" w:hAnsi="Tahoma"/>
                <w:noProof/>
                <w:sz w:val="20"/>
              </w:rPr>
              <w:t>kapaċitajiet tal-UIF fil-ġlieda kontra l-ħasil tal-flus, ir-reati relattivi u l-finanzjament tat-terroriżmu. Minħabba d-dimensjoni transfruntiera ta’ dawn ir-reati, u l-bżonn tal-awtoritajiet kompetenti għal aċċess iktar rapidu għall-informazzjoni għall-an</w:t>
            </w:r>
            <w:r>
              <w:rPr>
                <w:rFonts w:ascii="Tahoma" w:hAnsi="Tahoma"/>
                <w:noProof/>
                <w:sz w:val="20"/>
              </w:rPr>
              <w:t>aliżi u l-investigazzjonijiet tagħhom u biex jikkooperaw b’mod aktar effettiv u effiċjenti kemm fil-livell nazzjonali u dak transfruntier, tenħtieġ azzjoni fuq livell tal-UE biex tiffaċilita kooperazzjoni bla xkiel bejn l-awtoritajiet u tippermettilhom l-a</w:t>
            </w:r>
            <w:r>
              <w:rPr>
                <w:rFonts w:ascii="Tahoma" w:hAnsi="Tahoma"/>
                <w:noProof/>
                <w:sz w:val="20"/>
              </w:rPr>
              <w:t>ċċess u l-iskambju ta’ informazzjoni rilevanti.</w:t>
            </w:r>
          </w:p>
        </w:tc>
      </w:tr>
      <w:tr w:rsidR="00DB21D3">
        <w:tc>
          <w:tcPr>
            <w:tcW w:w="10188" w:type="dxa"/>
            <w:tcBorders>
              <w:bottom w:val="single" w:sz="4" w:space="0" w:color="auto"/>
            </w:tcBorders>
            <w:shd w:val="clear" w:color="auto" w:fill="CCCCCC"/>
          </w:tcPr>
          <w:p w:rsidR="00DB21D3" w:rsidRDefault="00BF7287">
            <w:pPr>
              <w:spacing w:before="60" w:after="60"/>
              <w:jc w:val="center"/>
              <w:rPr>
                <w:rFonts w:ascii="Tahoma" w:hAnsi="Tahoma" w:cs="Tahoma"/>
                <w:b/>
                <w:noProof/>
                <w:sz w:val="20"/>
                <w:szCs w:val="20"/>
              </w:rPr>
            </w:pPr>
            <w:r>
              <w:rPr>
                <w:rFonts w:ascii="Tahoma" w:hAnsi="Tahoma"/>
                <w:b/>
                <w:noProof/>
                <w:sz w:val="20"/>
              </w:rPr>
              <w:t>B. Soluzzjonijiet</w:t>
            </w:r>
          </w:p>
        </w:tc>
      </w:tr>
      <w:tr w:rsidR="00DB21D3">
        <w:tc>
          <w:tcPr>
            <w:tcW w:w="10188" w:type="dxa"/>
            <w:tcBorders>
              <w:bottom w:val="single" w:sz="4" w:space="0" w:color="auto"/>
            </w:tcBorders>
            <w:shd w:val="clear" w:color="auto" w:fill="E6E6E6"/>
          </w:tcPr>
          <w:p w:rsidR="00DB21D3" w:rsidRDefault="00BF7287">
            <w:pPr>
              <w:pStyle w:val="Default"/>
              <w:jc w:val="both"/>
              <w:rPr>
                <w:rFonts w:ascii="Tahoma" w:hAnsi="Tahoma" w:cs="Tahoma"/>
                <w:noProof/>
                <w:sz w:val="20"/>
                <w:szCs w:val="20"/>
              </w:rPr>
            </w:pPr>
            <w:r>
              <w:rPr>
                <w:rFonts w:ascii="Tahoma" w:hAnsi="Tahoma"/>
                <w:b/>
                <w:noProof/>
                <w:sz w:val="20"/>
              </w:rPr>
              <w:t xml:space="preserve">X’għażliet ta’ politika leġiżlattivi u mhux leġiżlattivi ġew ikkunsidrati? Hemm għażla ppreferuta jew le? Għaliex? </w:t>
            </w:r>
          </w:p>
        </w:tc>
      </w:tr>
      <w:tr w:rsidR="00DB21D3">
        <w:trPr>
          <w:trHeight w:val="4278"/>
        </w:trPr>
        <w:tc>
          <w:tcPr>
            <w:tcW w:w="10188" w:type="dxa"/>
            <w:tcBorders>
              <w:bottom w:val="single" w:sz="4" w:space="0" w:color="auto"/>
            </w:tcBorders>
            <w:shd w:val="clear" w:color="auto" w:fill="auto"/>
          </w:tcPr>
          <w:p w:rsidR="00DB21D3" w:rsidRDefault="00BF7287">
            <w:pPr>
              <w:pStyle w:val="Heading3"/>
              <w:numPr>
                <w:ilvl w:val="0"/>
                <w:numId w:val="0"/>
              </w:numPr>
              <w:outlineLvl w:val="2"/>
              <w:rPr>
                <w:rFonts w:ascii="Tahoma" w:hAnsi="Tahoma" w:cs="Tahoma"/>
                <w:i w:val="0"/>
                <w:noProof/>
                <w:sz w:val="20"/>
                <w:szCs w:val="20"/>
              </w:rPr>
            </w:pPr>
            <w:bookmarkStart w:id="2" w:name="_Toc485620419"/>
            <w:r>
              <w:rPr>
                <w:rFonts w:ascii="Tahoma" w:hAnsi="Tahoma"/>
                <w:i w:val="0"/>
                <w:noProof/>
                <w:sz w:val="20"/>
              </w:rPr>
              <w:lastRenderedPageBreak/>
              <w:t xml:space="preserve">Ġew ikkunsidrati </w:t>
            </w:r>
            <w:r>
              <w:rPr>
                <w:rFonts w:ascii="Tahoma" w:hAnsi="Tahoma"/>
                <w:b/>
                <w:i w:val="0"/>
                <w:noProof/>
                <w:sz w:val="20"/>
              </w:rPr>
              <w:t>Għażla mhux leġiżlattiva ta’ politika O</w:t>
            </w:r>
            <w:r>
              <w:rPr>
                <w:rFonts w:ascii="Tahoma" w:hAnsi="Tahoma"/>
                <w:i w:val="0"/>
                <w:noProof/>
                <w:sz w:val="20"/>
              </w:rPr>
              <w:t xml:space="preserve"> u </w:t>
            </w:r>
            <w:r>
              <w:rPr>
                <w:rFonts w:ascii="Tahoma" w:hAnsi="Tahoma"/>
                <w:b/>
                <w:i w:val="0"/>
                <w:noProof/>
                <w:sz w:val="20"/>
              </w:rPr>
              <w:t>13-il għażla</w:t>
            </w:r>
            <w:r>
              <w:rPr>
                <w:rFonts w:ascii="Tahoma" w:hAnsi="Tahoma"/>
                <w:b/>
                <w:i w:val="0"/>
                <w:noProof/>
                <w:sz w:val="20"/>
              </w:rPr>
              <w:t xml:space="preserve"> leġiżlattiva ta’ politika</w:t>
            </w:r>
            <w:r>
              <w:rPr>
                <w:rFonts w:ascii="Tahoma" w:hAnsi="Tahoma"/>
                <w:i w:val="0"/>
                <w:noProof/>
                <w:sz w:val="20"/>
              </w:rPr>
              <w:t xml:space="preserve"> u miġbura fi: </w:t>
            </w:r>
          </w:p>
          <w:p w:rsidR="00DB21D3" w:rsidRDefault="00BF7287">
            <w:pPr>
              <w:rPr>
                <w:rFonts w:ascii="Tahoma" w:hAnsi="Tahoma" w:cs="Tahoma"/>
                <w:i/>
                <w:noProof/>
                <w:sz w:val="20"/>
                <w:szCs w:val="20"/>
              </w:rPr>
            </w:pPr>
            <w:r>
              <w:rPr>
                <w:rFonts w:ascii="Tahoma" w:hAnsi="Tahoma"/>
                <w:noProof/>
                <w:sz w:val="20"/>
              </w:rPr>
              <w:t>•</w:t>
            </w:r>
            <w:r>
              <w:rPr>
                <w:noProof/>
              </w:rPr>
              <w:tab/>
            </w:r>
            <w:r>
              <w:rPr>
                <w:rFonts w:ascii="Tahoma" w:hAnsi="Tahoma"/>
                <w:b/>
                <w:noProof/>
                <w:sz w:val="20"/>
              </w:rPr>
              <w:t xml:space="preserve">Blokk A: "GĦALIEX" </w:t>
            </w:r>
            <w:r>
              <w:rPr>
                <w:rFonts w:ascii="Tahoma" w:hAnsi="Tahoma"/>
                <w:noProof/>
                <w:sz w:val="20"/>
              </w:rPr>
              <w:t>jenħtieġ li jkollhom aċċess għal jew jiskambjaw informazzjoni finanzjarja l-awtoritajiet kompetenti?</w:t>
            </w:r>
          </w:p>
          <w:p w:rsidR="00DB21D3" w:rsidRDefault="00BF7287">
            <w:pPr>
              <w:rPr>
                <w:rFonts w:ascii="Tahoma" w:hAnsi="Tahoma" w:cs="Tahoma"/>
                <w:noProof/>
                <w:sz w:val="20"/>
              </w:rPr>
            </w:pPr>
            <w:r>
              <w:rPr>
                <w:rFonts w:ascii="Tahoma" w:hAnsi="Tahoma"/>
                <w:b/>
                <w:noProof/>
                <w:sz w:val="20"/>
              </w:rPr>
              <w:t>Għażla A.1:</w:t>
            </w:r>
            <w:r>
              <w:rPr>
                <w:rFonts w:ascii="Tahoma" w:hAnsi="Tahoma"/>
                <w:noProof/>
                <w:sz w:val="20"/>
              </w:rPr>
              <w:t xml:space="preserve"> biex jipprevjenu u jiġġieldu l-ħasil tal-flus, ir-reati relattivi u l-finanzjame</w:t>
            </w:r>
            <w:r>
              <w:rPr>
                <w:rFonts w:ascii="Tahoma" w:hAnsi="Tahoma"/>
                <w:noProof/>
                <w:sz w:val="20"/>
              </w:rPr>
              <w:t>nt tat-terroriżmu biss.</w:t>
            </w:r>
          </w:p>
          <w:p w:rsidR="00DB21D3" w:rsidRDefault="00BF7287">
            <w:pPr>
              <w:rPr>
                <w:rFonts w:ascii="Tahoma" w:hAnsi="Tahoma" w:cs="Tahoma"/>
                <w:noProof/>
                <w:sz w:val="20"/>
              </w:rPr>
            </w:pPr>
            <w:r>
              <w:rPr>
                <w:rFonts w:ascii="Tahoma" w:hAnsi="Tahoma"/>
                <w:b/>
                <w:noProof/>
                <w:sz w:val="20"/>
              </w:rPr>
              <w:t>Għażla A.2:</w:t>
            </w:r>
            <w:r>
              <w:rPr>
                <w:rFonts w:ascii="Tahoma" w:hAnsi="Tahoma"/>
                <w:noProof/>
                <w:sz w:val="20"/>
              </w:rPr>
              <w:t xml:space="preserve"> fir-rigward biss tal-”Eurocrimes” previsti mill-Artikolu 83(1) TFUE.</w:t>
            </w:r>
          </w:p>
          <w:p w:rsidR="00DB21D3" w:rsidRDefault="00BF7287">
            <w:pPr>
              <w:rPr>
                <w:rFonts w:ascii="Tahoma" w:hAnsi="Tahoma" w:cs="Tahoma"/>
                <w:noProof/>
                <w:sz w:val="20"/>
              </w:rPr>
            </w:pPr>
            <w:r>
              <w:rPr>
                <w:rFonts w:ascii="Tahoma" w:hAnsi="Tahoma"/>
                <w:b/>
                <w:noProof/>
                <w:sz w:val="20"/>
              </w:rPr>
              <w:t>Għażla A.3:</w:t>
            </w:r>
            <w:r>
              <w:rPr>
                <w:rFonts w:ascii="Tahoma" w:hAnsi="Tahoma"/>
                <w:noProof/>
                <w:sz w:val="20"/>
              </w:rPr>
              <w:t xml:space="preserve"> fir-rigward tal-forom ta’ reati kif stabbiliti fl-Anness I tar-Regolament dwar il-Europol. </w:t>
            </w:r>
          </w:p>
          <w:p w:rsidR="00DB21D3" w:rsidRDefault="00BF7287">
            <w:pPr>
              <w:rPr>
                <w:rFonts w:ascii="Tahoma" w:hAnsi="Tahoma" w:cs="Tahoma"/>
                <w:noProof/>
                <w:sz w:val="20"/>
                <w:szCs w:val="20"/>
              </w:rPr>
            </w:pPr>
            <w:r>
              <w:rPr>
                <w:rFonts w:ascii="Tahoma" w:hAnsi="Tahoma"/>
                <w:noProof/>
                <w:sz w:val="20"/>
              </w:rPr>
              <w:t>•</w:t>
            </w:r>
            <w:r>
              <w:rPr>
                <w:noProof/>
              </w:rPr>
              <w:tab/>
            </w:r>
            <w:r>
              <w:rPr>
                <w:rFonts w:ascii="Tahoma" w:hAnsi="Tahoma"/>
                <w:b/>
                <w:noProof/>
                <w:sz w:val="20"/>
              </w:rPr>
              <w:t xml:space="preserve">Blokk B: "KIF" </w:t>
            </w:r>
            <w:r>
              <w:rPr>
                <w:rFonts w:ascii="Tahoma" w:hAnsi="Tahoma"/>
                <w:noProof/>
                <w:sz w:val="20"/>
              </w:rPr>
              <w:t>jenħtieġ li jaċċessaw u jiskam</w:t>
            </w:r>
            <w:r>
              <w:rPr>
                <w:rFonts w:ascii="Tahoma" w:hAnsi="Tahoma"/>
                <w:noProof/>
                <w:sz w:val="20"/>
              </w:rPr>
              <w:t>bjaw l-informazzjoni finanzjarja l-awtoritajiet kompetenti?</w:t>
            </w:r>
          </w:p>
          <w:p w:rsidR="00DB21D3" w:rsidRDefault="00BF7287">
            <w:pPr>
              <w:rPr>
                <w:rFonts w:ascii="Tahoma" w:hAnsi="Tahoma" w:cs="Tahoma"/>
                <w:noProof/>
                <w:sz w:val="20"/>
              </w:rPr>
            </w:pPr>
            <w:r>
              <w:rPr>
                <w:rFonts w:ascii="Tahoma" w:hAnsi="Tahoma"/>
                <w:b/>
                <w:noProof/>
                <w:sz w:val="20"/>
              </w:rPr>
              <w:t>GĦAŻLA B.1</w:t>
            </w:r>
            <w:r>
              <w:rPr>
                <w:rFonts w:ascii="Tahoma" w:hAnsi="Tahoma"/>
                <w:noProof/>
                <w:sz w:val="20"/>
              </w:rPr>
              <w:t>: jingħata aċċess għar-reġistri nazzjonali ċentralizzati tal-kontijiet bankarji lill-awtoritajiet kompetenti skont 1) is-</w:t>
            </w:r>
            <w:r>
              <w:rPr>
                <w:rFonts w:ascii="Tahoma" w:hAnsi="Tahoma"/>
                <w:b/>
                <w:noProof/>
                <w:sz w:val="20"/>
              </w:rPr>
              <w:t>Subgħażla B.1.a</w:t>
            </w:r>
            <w:r>
              <w:rPr>
                <w:rFonts w:ascii="Tahoma" w:hAnsi="Tahoma"/>
                <w:noProof/>
                <w:sz w:val="20"/>
              </w:rPr>
              <w:t>: aċċess dirett; jew 2) is-</w:t>
            </w:r>
            <w:r>
              <w:rPr>
                <w:rFonts w:ascii="Tahoma" w:hAnsi="Tahoma"/>
                <w:b/>
                <w:noProof/>
                <w:sz w:val="20"/>
              </w:rPr>
              <w:t>Subgħażla B.1.b</w:t>
            </w:r>
            <w:r>
              <w:rPr>
                <w:rFonts w:ascii="Tahoma" w:hAnsi="Tahoma"/>
                <w:noProof/>
                <w:sz w:val="20"/>
              </w:rPr>
              <w:t>: aċċess</w:t>
            </w:r>
            <w:r>
              <w:rPr>
                <w:rFonts w:ascii="Tahoma" w:hAnsi="Tahoma"/>
                <w:noProof/>
                <w:sz w:val="20"/>
              </w:rPr>
              <w:t xml:space="preserve"> indirett.</w:t>
            </w:r>
          </w:p>
          <w:p w:rsidR="00DB21D3" w:rsidRDefault="00BF7287">
            <w:pPr>
              <w:rPr>
                <w:rFonts w:ascii="Tahoma" w:hAnsi="Tahoma" w:cs="Tahoma"/>
                <w:noProof/>
                <w:sz w:val="20"/>
              </w:rPr>
            </w:pPr>
            <w:r>
              <w:rPr>
                <w:rFonts w:ascii="Tahoma" w:hAnsi="Tahoma"/>
                <w:b/>
                <w:noProof/>
                <w:sz w:val="20"/>
              </w:rPr>
              <w:t>GĦAŻLA B.2</w:t>
            </w:r>
            <w:r>
              <w:rPr>
                <w:rFonts w:ascii="Tahoma" w:hAnsi="Tahoma"/>
                <w:noProof/>
                <w:sz w:val="20"/>
              </w:rPr>
              <w:t>: jingħata aċċess għall-informazzjoni finanzjarja kollha lill-awtoritajiet kompetenti skont 1) is-</w:t>
            </w:r>
            <w:r>
              <w:rPr>
                <w:rFonts w:ascii="Tahoma" w:hAnsi="Tahoma"/>
                <w:b/>
                <w:noProof/>
                <w:sz w:val="20"/>
              </w:rPr>
              <w:t>Subgħażla B.2.a</w:t>
            </w:r>
            <w:r>
              <w:rPr>
                <w:rFonts w:ascii="Tahoma" w:hAnsi="Tahoma"/>
                <w:noProof/>
                <w:sz w:val="20"/>
              </w:rPr>
              <w:t>: aċċess dirett; jew 2) is-</w:t>
            </w:r>
            <w:r>
              <w:rPr>
                <w:rFonts w:ascii="Tahoma" w:hAnsi="Tahoma"/>
                <w:b/>
                <w:noProof/>
                <w:sz w:val="20"/>
              </w:rPr>
              <w:t>Subgħażla B.2.b</w:t>
            </w:r>
            <w:r>
              <w:rPr>
                <w:rFonts w:ascii="Tahoma" w:hAnsi="Tahoma"/>
                <w:noProof/>
                <w:sz w:val="20"/>
              </w:rPr>
              <w:t>: permezz tal-UIF.</w:t>
            </w:r>
          </w:p>
          <w:p w:rsidR="00DB21D3" w:rsidRDefault="00BF7287">
            <w:pPr>
              <w:rPr>
                <w:rFonts w:ascii="Tahoma" w:hAnsi="Tahoma" w:cs="Tahoma"/>
                <w:noProof/>
                <w:sz w:val="20"/>
              </w:rPr>
            </w:pPr>
            <w:r>
              <w:rPr>
                <w:rFonts w:ascii="Tahoma" w:hAnsi="Tahoma"/>
                <w:b/>
                <w:noProof/>
                <w:sz w:val="20"/>
              </w:rPr>
              <w:t>GĦAŻLA B.3</w:t>
            </w:r>
            <w:r>
              <w:rPr>
                <w:rFonts w:ascii="Tahoma" w:hAnsi="Tahoma"/>
                <w:noProof/>
                <w:sz w:val="20"/>
              </w:rPr>
              <w:t xml:space="preserve">: hemm il-possibiltà ta’ miżuri għall-iskambju ta’ </w:t>
            </w:r>
            <w:r>
              <w:rPr>
                <w:rFonts w:ascii="Tahoma" w:hAnsi="Tahoma"/>
                <w:noProof/>
                <w:sz w:val="20"/>
              </w:rPr>
              <w:t>informazzjoni bejn l-UIF u sabiex l-UIF ikunu jistgħu jaċċessaw u jiskambjaw l-informazzjoni li għandhom l-awtoritajiet kompetenti skont 1) is-</w:t>
            </w:r>
            <w:r>
              <w:rPr>
                <w:rFonts w:ascii="Tahoma" w:hAnsi="Tahoma"/>
                <w:b/>
                <w:noProof/>
                <w:sz w:val="20"/>
              </w:rPr>
              <w:t>Subgħażla B.3.a</w:t>
            </w:r>
            <w:r>
              <w:rPr>
                <w:rFonts w:ascii="Tahoma" w:hAnsi="Tahoma"/>
                <w:noProof/>
                <w:sz w:val="20"/>
              </w:rPr>
              <w:t>:</w:t>
            </w:r>
            <w:r>
              <w:rPr>
                <w:rFonts w:ascii="Tahoma" w:hAnsi="Tahoma"/>
                <w:b/>
                <w:noProof/>
                <w:sz w:val="20"/>
              </w:rPr>
              <w:t xml:space="preserve"> </w:t>
            </w:r>
            <w:r>
              <w:rPr>
                <w:rFonts w:ascii="Tahoma" w:hAnsi="Tahoma"/>
                <w:noProof/>
                <w:sz w:val="20"/>
              </w:rPr>
              <w:t>kooperazzjoni diretta bejn l-UIF; jew 2) is-</w:t>
            </w:r>
            <w:r>
              <w:rPr>
                <w:rFonts w:ascii="Tahoma" w:hAnsi="Tahoma"/>
                <w:b/>
                <w:noProof/>
                <w:sz w:val="20"/>
              </w:rPr>
              <w:t>Subgħażla B.3.b</w:t>
            </w:r>
            <w:r>
              <w:rPr>
                <w:rFonts w:ascii="Tahoma" w:hAnsi="Tahoma"/>
                <w:noProof/>
                <w:sz w:val="20"/>
              </w:rPr>
              <w:t>:</w:t>
            </w:r>
            <w:r>
              <w:rPr>
                <w:rFonts w:ascii="Tahoma" w:hAnsi="Tahoma"/>
                <w:b/>
                <w:noProof/>
                <w:sz w:val="20"/>
              </w:rPr>
              <w:t xml:space="preserve"> </w:t>
            </w:r>
            <w:r>
              <w:rPr>
                <w:rFonts w:ascii="Tahoma" w:hAnsi="Tahoma"/>
                <w:noProof/>
                <w:sz w:val="20"/>
              </w:rPr>
              <w:t>it-twaqqif ta’ UIF ċentrali.</w:t>
            </w:r>
          </w:p>
          <w:p w:rsidR="00DB21D3" w:rsidRDefault="00BF7287">
            <w:pPr>
              <w:rPr>
                <w:rFonts w:ascii="Tahoma" w:hAnsi="Tahoma" w:cs="Tahoma"/>
                <w:i/>
                <w:noProof/>
                <w:sz w:val="20"/>
                <w:szCs w:val="20"/>
              </w:rPr>
            </w:pPr>
            <w:r>
              <w:rPr>
                <w:rFonts w:ascii="Tahoma" w:hAnsi="Tahoma"/>
                <w:noProof/>
                <w:sz w:val="20"/>
              </w:rPr>
              <w:t>•</w:t>
            </w:r>
            <w:r>
              <w:rPr>
                <w:noProof/>
              </w:rPr>
              <w:tab/>
            </w:r>
            <w:r>
              <w:rPr>
                <w:rFonts w:ascii="Tahoma" w:hAnsi="Tahoma"/>
                <w:b/>
                <w:noProof/>
                <w:sz w:val="20"/>
              </w:rPr>
              <w:t xml:space="preserve">Blokk C: “MIN", </w:t>
            </w:r>
            <w:r>
              <w:rPr>
                <w:rFonts w:ascii="Tahoma" w:hAnsi="Tahoma"/>
                <w:noProof/>
                <w:sz w:val="20"/>
              </w:rPr>
              <w:t>il-kundizzjonijiet għal liema awtoritajiet pubbliċi japplikaw?</w:t>
            </w:r>
          </w:p>
          <w:p w:rsidR="00DB21D3" w:rsidRDefault="00BF7287">
            <w:pPr>
              <w:rPr>
                <w:rFonts w:ascii="Tahoma" w:hAnsi="Tahoma" w:cs="Tahoma"/>
                <w:noProof/>
                <w:sz w:val="20"/>
              </w:rPr>
            </w:pPr>
            <w:r>
              <w:rPr>
                <w:rFonts w:ascii="Tahoma" w:hAnsi="Tahoma"/>
                <w:b/>
                <w:noProof/>
                <w:sz w:val="20"/>
              </w:rPr>
              <w:t>Għażla C.1:</w:t>
            </w:r>
            <w:r>
              <w:rPr>
                <w:rFonts w:ascii="Tahoma" w:hAnsi="Tahoma"/>
                <w:noProof/>
                <w:sz w:val="20"/>
              </w:rPr>
              <w:t xml:space="preserve"> għall-awtoritajiet pubbliċi responsabbli għall-prevenzjoni, l-investigazzjoni jew il-prosekuzzjoni ta’ reati kriminali </w:t>
            </w:r>
          </w:p>
          <w:p w:rsidR="00DB21D3" w:rsidRDefault="00BF7287">
            <w:pPr>
              <w:rPr>
                <w:rFonts w:ascii="Tahoma" w:hAnsi="Tahoma" w:cs="Tahoma"/>
                <w:noProof/>
                <w:sz w:val="20"/>
              </w:rPr>
            </w:pPr>
            <w:r>
              <w:rPr>
                <w:rFonts w:ascii="Tahoma" w:hAnsi="Tahoma"/>
                <w:b/>
                <w:noProof/>
                <w:sz w:val="20"/>
              </w:rPr>
              <w:t>Għażla C.2:</w:t>
            </w:r>
            <w:r>
              <w:rPr>
                <w:rFonts w:ascii="Tahoma" w:hAnsi="Tahoma"/>
                <w:noProof/>
                <w:sz w:val="20"/>
              </w:rPr>
              <w:t xml:space="preserve"> għall-awtoritajiet pubbliċi fis-S</w:t>
            </w:r>
            <w:r>
              <w:rPr>
                <w:rFonts w:ascii="Tahoma" w:hAnsi="Tahoma"/>
                <w:noProof/>
                <w:sz w:val="20"/>
              </w:rPr>
              <w:t>ub-għażla C.1. u addizzjonalment 1) is-</w:t>
            </w:r>
            <w:r>
              <w:rPr>
                <w:rFonts w:ascii="Tahoma" w:hAnsi="Tahoma"/>
                <w:b/>
                <w:noProof/>
                <w:sz w:val="20"/>
              </w:rPr>
              <w:t>Subgħażla C.2.a</w:t>
            </w:r>
            <w:r>
              <w:rPr>
                <w:rFonts w:ascii="Tahoma" w:hAnsi="Tahoma"/>
                <w:noProof/>
                <w:sz w:val="20"/>
              </w:rPr>
              <w:t>. l-Uffiċċji għall-Irkupru tal-Assi 2) is-</w:t>
            </w:r>
            <w:r>
              <w:rPr>
                <w:rFonts w:ascii="Tahoma" w:hAnsi="Tahoma"/>
                <w:b/>
                <w:noProof/>
                <w:sz w:val="20"/>
              </w:rPr>
              <w:t>Subgħażla C.2.b</w:t>
            </w:r>
            <w:r>
              <w:rPr>
                <w:rFonts w:ascii="Tahoma" w:hAnsi="Tahoma"/>
                <w:noProof/>
                <w:sz w:val="20"/>
              </w:rPr>
              <w:t>: il-Europol; 3) is-</w:t>
            </w:r>
            <w:r>
              <w:rPr>
                <w:rFonts w:ascii="Tahoma" w:hAnsi="Tahoma"/>
                <w:b/>
                <w:noProof/>
                <w:sz w:val="20"/>
              </w:rPr>
              <w:t>Subgħażla C.2.c</w:t>
            </w:r>
            <w:r>
              <w:rPr>
                <w:rFonts w:ascii="Tahoma" w:hAnsi="Tahoma"/>
                <w:noProof/>
                <w:sz w:val="20"/>
              </w:rPr>
              <w:t>: l-OLAF</w:t>
            </w:r>
          </w:p>
          <w:bookmarkEnd w:id="2"/>
          <w:p w:rsidR="00DB21D3" w:rsidRDefault="00BF7287">
            <w:pPr>
              <w:rPr>
                <w:rFonts w:ascii="Tahoma" w:hAnsi="Tahoma" w:cs="Tahoma"/>
                <w:b/>
                <w:noProof/>
                <w:sz w:val="20"/>
                <w:szCs w:val="20"/>
              </w:rPr>
            </w:pPr>
            <w:r>
              <w:rPr>
                <w:rFonts w:ascii="Tahoma" w:hAnsi="Tahoma"/>
                <w:noProof/>
                <w:sz w:val="20"/>
              </w:rPr>
              <w:t>Fir-rigward tal-</w:t>
            </w:r>
            <w:r>
              <w:rPr>
                <w:rFonts w:ascii="Tahoma" w:hAnsi="Tahoma"/>
                <w:b/>
                <w:noProof/>
                <w:sz w:val="20"/>
              </w:rPr>
              <w:t>aċċess tal-awtoritajiet kompetenti għall-informazzjoni, miżmuma fir-reġistri tal-kont</w:t>
            </w:r>
            <w:r>
              <w:rPr>
                <w:rFonts w:ascii="Tahoma" w:hAnsi="Tahoma"/>
                <w:b/>
                <w:noProof/>
                <w:sz w:val="20"/>
              </w:rPr>
              <w:t>ijiet tal-bank</w:t>
            </w:r>
            <w:r>
              <w:rPr>
                <w:rFonts w:ascii="Tahoma" w:hAnsi="Tahoma"/>
                <w:noProof/>
                <w:sz w:val="20"/>
              </w:rPr>
              <w:t>, l-</w:t>
            </w:r>
            <w:r>
              <w:rPr>
                <w:rFonts w:ascii="Tahoma" w:hAnsi="Tahoma"/>
                <w:b/>
                <w:noProof/>
                <w:sz w:val="20"/>
              </w:rPr>
              <w:t>għażla ta’ politika ppreferuta</w:t>
            </w:r>
            <w:r>
              <w:rPr>
                <w:rFonts w:ascii="Tahoma" w:hAnsi="Tahoma"/>
                <w:noProof/>
                <w:sz w:val="20"/>
              </w:rPr>
              <w:t xml:space="preserve"> hija taħlita tal-għażliet </w:t>
            </w:r>
            <w:r>
              <w:rPr>
                <w:rFonts w:ascii="Tahoma" w:hAnsi="Tahoma"/>
                <w:b/>
                <w:noProof/>
                <w:sz w:val="20"/>
              </w:rPr>
              <w:t xml:space="preserve">A.3, B.1.a, C.2.a </w:t>
            </w:r>
            <w:r>
              <w:rPr>
                <w:rFonts w:ascii="Tahoma" w:hAnsi="Tahoma"/>
                <w:noProof/>
                <w:sz w:val="20"/>
              </w:rPr>
              <w:t xml:space="preserve">u </w:t>
            </w:r>
            <w:r>
              <w:rPr>
                <w:rFonts w:ascii="Tahoma" w:hAnsi="Tahoma"/>
                <w:b/>
                <w:noProof/>
                <w:sz w:val="20"/>
              </w:rPr>
              <w:t>C.2.b.</w:t>
            </w:r>
          </w:p>
          <w:p w:rsidR="00DB21D3" w:rsidRDefault="00BF7287">
            <w:pPr>
              <w:rPr>
                <w:rFonts w:ascii="Tahoma" w:hAnsi="Tahoma" w:cs="Tahoma"/>
                <w:b/>
                <w:noProof/>
                <w:sz w:val="20"/>
                <w:szCs w:val="20"/>
              </w:rPr>
            </w:pPr>
            <w:r>
              <w:rPr>
                <w:rFonts w:ascii="Tahoma" w:hAnsi="Tahoma"/>
                <w:noProof/>
                <w:sz w:val="20"/>
              </w:rPr>
              <w:t>Fir-rigward tal-</w:t>
            </w:r>
            <w:r>
              <w:rPr>
                <w:rFonts w:ascii="Tahoma" w:hAnsi="Tahoma"/>
                <w:b/>
                <w:noProof/>
                <w:sz w:val="20"/>
              </w:rPr>
              <w:t>aċċess tal-awtoritajiet kompetenti għall-informazzjoni finanzjarja addizzjonali</w:t>
            </w:r>
            <w:r>
              <w:rPr>
                <w:rFonts w:ascii="Tahoma" w:hAnsi="Tahoma"/>
                <w:noProof/>
                <w:sz w:val="20"/>
              </w:rPr>
              <w:t>, l-</w:t>
            </w:r>
            <w:r>
              <w:rPr>
                <w:rFonts w:ascii="Tahoma" w:hAnsi="Tahoma"/>
                <w:b/>
                <w:noProof/>
                <w:sz w:val="20"/>
              </w:rPr>
              <w:t>għażla ta’ politika ppreferuta</w:t>
            </w:r>
            <w:r>
              <w:rPr>
                <w:rFonts w:ascii="Tahoma" w:hAnsi="Tahoma"/>
                <w:noProof/>
                <w:sz w:val="20"/>
              </w:rPr>
              <w:t xml:space="preserve"> hija taħlita tal-għażlie</w:t>
            </w:r>
            <w:r>
              <w:rPr>
                <w:rFonts w:ascii="Tahoma" w:hAnsi="Tahoma"/>
                <w:noProof/>
                <w:sz w:val="20"/>
              </w:rPr>
              <w:t xml:space="preserve">t </w:t>
            </w:r>
            <w:r>
              <w:rPr>
                <w:rFonts w:ascii="Tahoma" w:hAnsi="Tahoma"/>
                <w:b/>
                <w:noProof/>
                <w:sz w:val="20"/>
              </w:rPr>
              <w:t xml:space="preserve">A.3, B.2.b </w:t>
            </w:r>
            <w:r>
              <w:rPr>
                <w:rFonts w:ascii="Tahoma" w:hAnsi="Tahoma"/>
                <w:noProof/>
                <w:sz w:val="20"/>
              </w:rPr>
              <w:t xml:space="preserve">u </w:t>
            </w:r>
            <w:r>
              <w:rPr>
                <w:rFonts w:ascii="Tahoma" w:hAnsi="Tahoma"/>
                <w:b/>
                <w:noProof/>
                <w:sz w:val="20"/>
              </w:rPr>
              <w:t>C.2.b.</w:t>
            </w:r>
          </w:p>
          <w:p w:rsidR="00DB21D3" w:rsidRDefault="00BF7287">
            <w:pPr>
              <w:rPr>
                <w:rFonts w:ascii="Tahoma" w:hAnsi="Tahoma" w:cs="Tahoma"/>
                <w:b/>
                <w:noProof/>
                <w:sz w:val="20"/>
                <w:szCs w:val="20"/>
              </w:rPr>
            </w:pPr>
            <w:r>
              <w:rPr>
                <w:rFonts w:ascii="Tahoma" w:hAnsi="Tahoma"/>
                <w:noProof/>
                <w:sz w:val="20"/>
              </w:rPr>
              <w:t xml:space="preserve">Sabiex jiġu </w:t>
            </w:r>
            <w:r>
              <w:rPr>
                <w:rFonts w:ascii="Tahoma" w:hAnsi="Tahoma"/>
                <w:b/>
                <w:noProof/>
                <w:sz w:val="20"/>
              </w:rPr>
              <w:t>indirizzati ostakli fil-kooperazzjoni transfruntiera tal-UIF u d-diffikultajiet li jiltaqgħu magħhom l-UIF meta jikkooperaw mal-isħab LEA (awtorità tal-infurzar tal-liġi) nazzjonali tagħhom</w:t>
            </w:r>
            <w:r>
              <w:rPr>
                <w:rFonts w:ascii="Tahoma" w:hAnsi="Tahoma"/>
                <w:noProof/>
                <w:sz w:val="20"/>
              </w:rPr>
              <w:t xml:space="preserve"> l-għażla ta’ politika ppreferuta</w:t>
            </w:r>
            <w:r>
              <w:rPr>
                <w:rFonts w:ascii="Tahoma" w:hAnsi="Tahoma"/>
                <w:noProof/>
                <w:sz w:val="20"/>
              </w:rPr>
              <w:t xml:space="preserve"> hija taħlita tal-għażliet </w:t>
            </w:r>
            <w:r>
              <w:rPr>
                <w:rFonts w:ascii="Tahoma" w:hAnsi="Tahoma"/>
                <w:b/>
                <w:noProof/>
                <w:sz w:val="20"/>
              </w:rPr>
              <w:t>A.1</w:t>
            </w:r>
            <w:r>
              <w:rPr>
                <w:rFonts w:ascii="Tahoma" w:hAnsi="Tahoma"/>
                <w:noProof/>
                <w:sz w:val="20"/>
              </w:rPr>
              <w:t xml:space="preserve">, </w:t>
            </w:r>
            <w:r>
              <w:rPr>
                <w:rFonts w:ascii="Tahoma" w:hAnsi="Tahoma"/>
                <w:b/>
                <w:noProof/>
                <w:sz w:val="20"/>
              </w:rPr>
              <w:t xml:space="preserve">B.2.b, B.3.a </w:t>
            </w:r>
            <w:r>
              <w:rPr>
                <w:rFonts w:ascii="Tahoma" w:hAnsi="Tahoma"/>
                <w:noProof/>
                <w:sz w:val="20"/>
              </w:rPr>
              <w:t xml:space="preserve">u </w:t>
            </w:r>
            <w:r>
              <w:rPr>
                <w:rFonts w:ascii="Tahoma" w:hAnsi="Tahoma"/>
                <w:b/>
                <w:noProof/>
                <w:sz w:val="20"/>
              </w:rPr>
              <w:t>C.2.b.</w:t>
            </w:r>
            <w:r>
              <w:rPr>
                <w:rFonts w:ascii="Tahoma" w:hAnsi="Tahoma"/>
                <w:noProof/>
                <w:sz w:val="20"/>
              </w:rPr>
              <w:t xml:space="preserve"> </w:t>
            </w:r>
          </w:p>
        </w:tc>
      </w:tr>
    </w:tbl>
    <w:p w:rsidR="00DB21D3" w:rsidRDefault="00DB21D3">
      <w:pPr>
        <w:rPr>
          <w:noProof/>
        </w:rPr>
      </w:pPr>
    </w:p>
    <w:tbl>
      <w:tblPr>
        <w:tblStyle w:val="TableGrid"/>
        <w:tblW w:w="10188" w:type="dxa"/>
        <w:tblLook w:val="01E0" w:firstRow="1" w:lastRow="1" w:firstColumn="1" w:lastColumn="1" w:noHBand="0" w:noVBand="0"/>
      </w:tblPr>
      <w:tblGrid>
        <w:gridCol w:w="10188"/>
      </w:tblGrid>
      <w:tr w:rsidR="00DB21D3">
        <w:tc>
          <w:tcPr>
            <w:tcW w:w="10188" w:type="dxa"/>
            <w:shd w:val="clear" w:color="auto" w:fill="E6E6E6"/>
          </w:tcPr>
          <w:p w:rsidR="00DB21D3" w:rsidRDefault="00BF7287">
            <w:pPr>
              <w:pStyle w:val="Default"/>
              <w:jc w:val="both"/>
              <w:rPr>
                <w:rFonts w:ascii="Tahoma" w:hAnsi="Tahoma" w:cs="Tahoma"/>
                <w:b/>
                <w:bCs/>
                <w:noProof/>
                <w:sz w:val="20"/>
                <w:szCs w:val="20"/>
              </w:rPr>
            </w:pPr>
            <w:r>
              <w:rPr>
                <w:rFonts w:ascii="Tahoma" w:hAnsi="Tahoma"/>
                <w:b/>
                <w:noProof/>
                <w:sz w:val="20"/>
              </w:rPr>
              <w:t xml:space="preserve">Min jappoġġa l-għażla ppreferuta? </w:t>
            </w:r>
          </w:p>
        </w:tc>
      </w:tr>
      <w:tr w:rsidR="00DB21D3">
        <w:trPr>
          <w:trHeight w:val="1592"/>
        </w:trPr>
        <w:tc>
          <w:tcPr>
            <w:tcW w:w="10188" w:type="dxa"/>
            <w:shd w:val="clear" w:color="auto" w:fill="auto"/>
          </w:tcPr>
          <w:p w:rsidR="00DB21D3" w:rsidRDefault="00BF7287">
            <w:pPr>
              <w:jc w:val="both"/>
              <w:rPr>
                <w:rFonts w:ascii="Tahoma" w:hAnsi="Tahoma" w:cs="Tahoma"/>
                <w:noProof/>
                <w:sz w:val="20"/>
                <w:szCs w:val="20"/>
              </w:rPr>
            </w:pPr>
            <w:r>
              <w:rPr>
                <w:rFonts w:ascii="Tahoma" w:hAnsi="Tahoma"/>
                <w:noProof/>
                <w:sz w:val="20"/>
              </w:rPr>
              <w:t>Il-partijiet ikkonċernati qablu li l-aċċess għar-reġistri ċentralizzati tal-kontijiet tal-bank jiffaċilitaw l-effikaċja tal-investigazzjonijiet tal-awtoritajiet tal-infurzar tal-liġi u jevitaw l-ispejjeż u l-piż amministrattiv ta’ talbiet mhux speċifiċi li</w:t>
            </w:r>
            <w:r>
              <w:rPr>
                <w:rFonts w:ascii="Tahoma" w:hAnsi="Tahoma"/>
                <w:noProof/>
                <w:sz w:val="20"/>
              </w:rPr>
              <w:t>ll-banek. Il-parti l-kbira ta’ dawk li wieġbu fil-konsultazzjoni pubblika qablu li l-awtoritajiet kompetenti għandhom jingħataw aċċess, inklużi l-Uffiċċji għall-Irkupru tal-Assi. L-Istati Membri jaqblu li jiffaċilitaw il-kooperazzjoni bejn l-UIF u l-iskamb</w:t>
            </w:r>
            <w:r>
              <w:rPr>
                <w:rFonts w:ascii="Tahoma" w:hAnsi="Tahoma"/>
                <w:noProof/>
                <w:sz w:val="20"/>
              </w:rPr>
              <w:t>ju tal-informazzjoni bejn l-UIF u l-awtoritajiet kompetenti. Fi stħarriġ reċenti tal-Ewrobarometru 92 % ta’ dawk li wieġbu jaqblu li jenħtieġ li l-awtoritajiet nazzjonali jaqsmu l-informazzjoni mal-awtoritajiet fi Stati Membri oħra sabiex jipprevjenu u jiġ</w:t>
            </w:r>
            <w:r>
              <w:rPr>
                <w:rFonts w:ascii="Tahoma" w:hAnsi="Tahoma"/>
                <w:noProof/>
                <w:sz w:val="20"/>
              </w:rPr>
              <w:t xml:space="preserve">ġieldu aħjar il-kriminalità u t-terroriżmu. </w:t>
            </w:r>
          </w:p>
        </w:tc>
      </w:tr>
      <w:tr w:rsidR="00DB21D3">
        <w:tc>
          <w:tcPr>
            <w:tcW w:w="10188" w:type="dxa"/>
            <w:tcBorders>
              <w:bottom w:val="single" w:sz="4" w:space="0" w:color="auto"/>
            </w:tcBorders>
            <w:shd w:val="clear" w:color="auto" w:fill="CCCCCC"/>
          </w:tcPr>
          <w:p w:rsidR="00DB21D3" w:rsidRDefault="00BF7287">
            <w:pPr>
              <w:spacing w:before="60" w:after="60"/>
              <w:jc w:val="center"/>
              <w:rPr>
                <w:rFonts w:ascii="Tahoma" w:hAnsi="Tahoma" w:cs="Tahoma"/>
                <w:b/>
                <w:noProof/>
                <w:sz w:val="20"/>
                <w:szCs w:val="20"/>
              </w:rPr>
            </w:pPr>
            <w:r>
              <w:rPr>
                <w:rFonts w:ascii="Tahoma" w:hAnsi="Tahoma"/>
                <w:b/>
                <w:noProof/>
                <w:sz w:val="20"/>
              </w:rPr>
              <w:t>C. Impatti tal-għażla ppreferuta</w:t>
            </w:r>
          </w:p>
        </w:tc>
      </w:tr>
      <w:tr w:rsidR="00DB21D3">
        <w:tc>
          <w:tcPr>
            <w:tcW w:w="10188" w:type="dxa"/>
            <w:tcBorders>
              <w:bottom w:val="single" w:sz="4" w:space="0" w:color="auto"/>
            </w:tcBorders>
            <w:shd w:val="clear" w:color="auto" w:fill="E6E6E6"/>
          </w:tcPr>
          <w:p w:rsidR="00DB21D3" w:rsidRDefault="00BF7287">
            <w:pPr>
              <w:pStyle w:val="Default"/>
              <w:jc w:val="both"/>
              <w:rPr>
                <w:rFonts w:ascii="Tahoma" w:hAnsi="Tahoma" w:cs="Tahoma"/>
                <w:noProof/>
                <w:color w:val="auto"/>
                <w:sz w:val="20"/>
                <w:szCs w:val="20"/>
              </w:rPr>
            </w:pPr>
            <w:r>
              <w:rPr>
                <w:rFonts w:ascii="Tahoma" w:hAnsi="Tahoma"/>
                <w:b/>
                <w:noProof/>
                <w:color w:val="auto"/>
                <w:sz w:val="20"/>
              </w:rPr>
              <w:t xml:space="preserve">X’inhuma l-benefiċċji tal-għażla ppreferuta (jekk hemm, inkella x’inhuma dawk ewlenin)? </w:t>
            </w:r>
          </w:p>
        </w:tc>
      </w:tr>
      <w:tr w:rsidR="00DB21D3">
        <w:trPr>
          <w:trHeight w:val="1743"/>
        </w:trPr>
        <w:tc>
          <w:tcPr>
            <w:tcW w:w="10188" w:type="dxa"/>
            <w:tcBorders>
              <w:bottom w:val="single" w:sz="4" w:space="0" w:color="auto"/>
            </w:tcBorders>
            <w:shd w:val="clear" w:color="auto" w:fill="auto"/>
          </w:tcPr>
          <w:p w:rsidR="00DB21D3" w:rsidRDefault="00BF7287">
            <w:pPr>
              <w:jc w:val="both"/>
              <w:rPr>
                <w:rFonts w:ascii="Tahoma" w:hAnsi="Tahoma" w:cs="Tahoma"/>
                <w:i/>
                <w:noProof/>
                <w:sz w:val="20"/>
                <w:szCs w:val="20"/>
              </w:rPr>
            </w:pPr>
            <w:r>
              <w:rPr>
                <w:rFonts w:ascii="Tahoma" w:hAnsi="Tahoma"/>
                <w:noProof/>
                <w:sz w:val="20"/>
              </w:rPr>
              <w:t>L-għażla ppreferuta hija mistennija li tipprovdi mezzi aħjar biex tissaħħaħ is-sigurtà u tiġġieled il-kriminalità fl-UE. Hija tipprovdi aċċess aktar mgħaġġel għall-informazzjoni finanzjarja indikata b’mod ċar u kooperazzjoni aktar effettiva u effiċjenti be</w:t>
            </w:r>
            <w:r>
              <w:rPr>
                <w:rFonts w:ascii="Tahoma" w:hAnsi="Tahoma"/>
                <w:noProof/>
                <w:sz w:val="20"/>
              </w:rPr>
              <w:t>jn l-UIF u l-awtoritajiet kompetenti. Issaħħaħ ukoll il-possibbiltà għall-awtoritajiet kompetenti, inkluż l-Uffiċċji għall-Irkupru tal-Assi u l-Europol biex jaċċessaw malajr informazzjoni finanzjarja ewlenija li tkun kruċjali għal investigazzjonijiet finan</w:t>
            </w:r>
            <w:r>
              <w:rPr>
                <w:rFonts w:ascii="Tahoma" w:hAnsi="Tahoma"/>
                <w:noProof/>
                <w:sz w:val="20"/>
              </w:rPr>
              <w:t>zjarji. L-għażla ppreferuta ttejjeb sostanzjalment ukoll l-kapaċità tal-UIF li jwettaq analiżi finanzjarja biex jipprevjeni l-ħasil tal-flus u l-finanzjament tat-terroriżmu. L-għażla ppreferuta żżid l-ispejjeż u l-piż amministrattiv marbut mat-talba u t-tw</w:t>
            </w:r>
            <w:r>
              <w:rPr>
                <w:rFonts w:ascii="Tahoma" w:hAnsi="Tahoma"/>
                <w:noProof/>
                <w:sz w:val="20"/>
              </w:rPr>
              <w:t xml:space="preserve">eġiba għal rikjesti "ġenerali” u mhux speċifikati. </w:t>
            </w:r>
          </w:p>
        </w:tc>
      </w:tr>
      <w:tr w:rsidR="00DB21D3">
        <w:tc>
          <w:tcPr>
            <w:tcW w:w="10188" w:type="dxa"/>
            <w:tcBorders>
              <w:bottom w:val="single" w:sz="4" w:space="0" w:color="auto"/>
            </w:tcBorders>
            <w:shd w:val="clear" w:color="auto" w:fill="E6E6E6"/>
          </w:tcPr>
          <w:p w:rsidR="00DB21D3" w:rsidRDefault="00BF7287">
            <w:pPr>
              <w:pStyle w:val="Default"/>
              <w:jc w:val="both"/>
              <w:rPr>
                <w:rFonts w:ascii="Tahoma" w:hAnsi="Tahoma" w:cs="Tahoma"/>
                <w:noProof/>
                <w:sz w:val="20"/>
                <w:szCs w:val="20"/>
              </w:rPr>
            </w:pPr>
            <w:r>
              <w:rPr>
                <w:rFonts w:ascii="Tahoma" w:hAnsi="Tahoma"/>
                <w:b/>
                <w:noProof/>
                <w:sz w:val="20"/>
              </w:rPr>
              <w:t xml:space="preserve">X’inhuma l-kostijiet tal-għażla ppreferuta (jekk hemm, inkella x'inhuma dawk ewlenin)? </w:t>
            </w:r>
          </w:p>
        </w:tc>
      </w:tr>
      <w:tr w:rsidR="00DB21D3">
        <w:trPr>
          <w:trHeight w:val="800"/>
        </w:trPr>
        <w:tc>
          <w:tcPr>
            <w:tcW w:w="10188" w:type="dxa"/>
            <w:tcBorders>
              <w:bottom w:val="single" w:sz="4" w:space="0" w:color="auto"/>
            </w:tcBorders>
            <w:shd w:val="clear" w:color="auto" w:fill="auto"/>
          </w:tcPr>
          <w:p w:rsidR="00DB21D3" w:rsidRDefault="00BF7287">
            <w:pPr>
              <w:jc w:val="both"/>
              <w:rPr>
                <w:rFonts w:ascii="Tahoma" w:hAnsi="Tahoma" w:cs="Tahoma"/>
                <w:i/>
                <w:noProof/>
                <w:sz w:val="20"/>
                <w:szCs w:val="20"/>
              </w:rPr>
            </w:pPr>
            <w:r>
              <w:rPr>
                <w:rFonts w:ascii="Tahoma" w:hAnsi="Tahoma"/>
                <w:noProof/>
                <w:sz w:val="20"/>
              </w:rPr>
              <w:t>L-ispejjeż ta’ darba tal-implimentazzjoni tal-għażla ppreferuta li tipprovdi aċċess dirett għal reġistri ċentraliz</w:t>
            </w:r>
            <w:r>
              <w:rPr>
                <w:rFonts w:ascii="Tahoma" w:hAnsi="Tahoma"/>
                <w:noProof/>
                <w:sz w:val="20"/>
              </w:rPr>
              <w:t>zati tal-kontijiet tal-bank u s-sistemi għall-irkupru tad-dejta huma stmati għal bejn EUR 5 000 u EUR 30 000 (dawn jridu jkunu mmultiplikati bin-numru ta’ awtoritajiet li jridu jiġu kkonnessi għar-reġistri ċentralizzati tal-kontijiet tal-bank u s-sistemi g</w:t>
            </w:r>
            <w:r>
              <w:rPr>
                <w:rFonts w:ascii="Tahoma" w:hAnsi="Tahoma"/>
                <w:noProof/>
                <w:sz w:val="20"/>
              </w:rPr>
              <w:t xml:space="preserve">ħall-irkupru tad-dejta). L-ispejjeż ta’ aċċess għall-informazzjoni finanzjarja permezz tal-UIF iridu jitħallsu prinċipalment mill-UIF. </w:t>
            </w:r>
          </w:p>
        </w:tc>
      </w:tr>
      <w:tr w:rsidR="00DB21D3">
        <w:tc>
          <w:tcPr>
            <w:tcW w:w="10188" w:type="dxa"/>
            <w:tcBorders>
              <w:bottom w:val="single" w:sz="4" w:space="0" w:color="auto"/>
            </w:tcBorders>
            <w:shd w:val="clear" w:color="auto" w:fill="E6E6E6"/>
          </w:tcPr>
          <w:p w:rsidR="00DB21D3" w:rsidRDefault="00BF7287">
            <w:pPr>
              <w:pStyle w:val="Default"/>
              <w:keepNext/>
              <w:jc w:val="both"/>
              <w:rPr>
                <w:rFonts w:ascii="Tahoma" w:hAnsi="Tahoma" w:cs="Tahoma"/>
                <w:noProof/>
                <w:sz w:val="20"/>
                <w:szCs w:val="20"/>
              </w:rPr>
            </w:pPr>
            <w:r>
              <w:rPr>
                <w:rFonts w:ascii="Tahoma" w:hAnsi="Tahoma"/>
                <w:b/>
                <w:noProof/>
                <w:sz w:val="20"/>
              </w:rPr>
              <w:t xml:space="preserve">Kif se jintlaqtu n-negozji, l-SMEs u l-mikrointrapriżi? </w:t>
            </w:r>
          </w:p>
        </w:tc>
      </w:tr>
      <w:tr w:rsidR="00DB21D3">
        <w:trPr>
          <w:trHeight w:val="683"/>
        </w:trPr>
        <w:tc>
          <w:tcPr>
            <w:tcW w:w="10188" w:type="dxa"/>
            <w:tcBorders>
              <w:bottom w:val="single" w:sz="4" w:space="0" w:color="auto"/>
            </w:tcBorders>
            <w:shd w:val="clear" w:color="auto" w:fill="auto"/>
          </w:tcPr>
          <w:p w:rsidR="00DB21D3" w:rsidRDefault="00BF7287">
            <w:pPr>
              <w:jc w:val="both"/>
              <w:rPr>
                <w:rFonts w:ascii="Tahoma" w:hAnsi="Tahoma" w:cs="Tahoma"/>
                <w:noProof/>
                <w:sz w:val="20"/>
                <w:szCs w:val="20"/>
              </w:rPr>
            </w:pPr>
            <w:r>
              <w:rPr>
                <w:rFonts w:ascii="Tahoma" w:hAnsi="Tahoma"/>
                <w:noProof/>
                <w:sz w:val="20"/>
              </w:rPr>
              <w:t>Mhumiex previsti spejjeż addizzjonali għas-settur bankarju. Bil-maqlub, din l-inizjattiva twassal għal iffrankar finanzjarju sinifikanti għall-banek, għaliex ma jkollhomx għalfejn jipproċessaw u jwieġbu t-talbiet ġenerali tal-awtoritajiet kompetenti. Mhuma</w:t>
            </w:r>
            <w:r>
              <w:rPr>
                <w:rFonts w:ascii="Tahoma" w:hAnsi="Tahoma"/>
                <w:noProof/>
                <w:sz w:val="20"/>
              </w:rPr>
              <w:t xml:space="preserve"> mistennija l-ebda impatti sinifikanti fuq l-SMEs u l-mikrointrapriżi. </w:t>
            </w:r>
          </w:p>
        </w:tc>
      </w:tr>
      <w:tr w:rsidR="00DB21D3">
        <w:tc>
          <w:tcPr>
            <w:tcW w:w="10188" w:type="dxa"/>
            <w:tcBorders>
              <w:bottom w:val="single" w:sz="4" w:space="0" w:color="auto"/>
            </w:tcBorders>
            <w:shd w:val="clear" w:color="auto" w:fill="E6E6E6"/>
          </w:tcPr>
          <w:p w:rsidR="00DB21D3" w:rsidRDefault="00BF7287">
            <w:pPr>
              <w:pStyle w:val="Default"/>
              <w:jc w:val="both"/>
              <w:rPr>
                <w:rFonts w:ascii="Tahoma" w:hAnsi="Tahoma" w:cs="Tahoma"/>
                <w:noProof/>
                <w:sz w:val="20"/>
                <w:szCs w:val="20"/>
              </w:rPr>
            </w:pPr>
            <w:r>
              <w:rPr>
                <w:rFonts w:ascii="Tahoma" w:hAnsi="Tahoma"/>
                <w:b/>
                <w:noProof/>
                <w:sz w:val="20"/>
              </w:rPr>
              <w:t xml:space="preserve">Se jkun hemm impatti sinifikanti fuq il-baġits u l-amministrazzjonijiet nazzjonali? </w:t>
            </w:r>
          </w:p>
        </w:tc>
      </w:tr>
      <w:tr w:rsidR="00DB21D3">
        <w:trPr>
          <w:trHeight w:val="1004"/>
        </w:trPr>
        <w:tc>
          <w:tcPr>
            <w:tcW w:w="10188" w:type="dxa"/>
            <w:shd w:val="clear" w:color="auto" w:fill="auto"/>
          </w:tcPr>
          <w:p w:rsidR="00DB21D3" w:rsidRDefault="00BF7287">
            <w:pPr>
              <w:jc w:val="both"/>
              <w:rPr>
                <w:rFonts w:ascii="Tahoma" w:hAnsi="Tahoma" w:cs="Tahoma"/>
                <w:noProof/>
                <w:color w:val="FF0000"/>
                <w:sz w:val="20"/>
                <w:szCs w:val="20"/>
              </w:rPr>
            </w:pPr>
            <w:r>
              <w:rPr>
                <w:rFonts w:ascii="Tahoma" w:hAnsi="Tahoma"/>
                <w:noProof/>
                <w:sz w:val="20"/>
              </w:rPr>
              <w:t>L-ispejjeż tal-implimentazzjoni tal-aċċess dirett għar-reġistri ċentralizzati tal-kontijiet tal-b</w:t>
            </w:r>
            <w:r>
              <w:rPr>
                <w:rFonts w:ascii="Tahoma" w:hAnsi="Tahoma"/>
                <w:noProof/>
                <w:sz w:val="20"/>
              </w:rPr>
              <w:t>ank u s-sistemi għall-irkupru tad-dejta u tal-aċċess għall-informazzjoni finanzjarja permezz tal-UIF se jkollhom impatt fuq il-baġits u l-amministrazzjonijiet nazzjonali. Madankollu, jenħtieġ li dawn l-ispejjeż jiġu bbilanċjati minn tnaqqis fl-i spejjeż am</w:t>
            </w:r>
            <w:r>
              <w:rPr>
                <w:rFonts w:ascii="Tahoma" w:hAnsi="Tahoma"/>
                <w:noProof/>
                <w:sz w:val="20"/>
              </w:rPr>
              <w:t>ministrattivi u finanzjarji attwali tal-awtoritajiet kompetenti, kif ukoll minn tnaqqis fl-ispejjeż minħabba kooperazzjoni iktar effiċjenti bejn l-UIF u mal-awtoritajiet kompetenti.</w:t>
            </w:r>
          </w:p>
        </w:tc>
      </w:tr>
      <w:tr w:rsidR="00DB21D3">
        <w:tc>
          <w:tcPr>
            <w:tcW w:w="10188" w:type="dxa"/>
            <w:tcBorders>
              <w:bottom w:val="single" w:sz="4" w:space="0" w:color="auto"/>
            </w:tcBorders>
            <w:shd w:val="clear" w:color="auto" w:fill="E6E6E6"/>
          </w:tcPr>
          <w:p w:rsidR="00DB21D3" w:rsidRDefault="00BF7287">
            <w:pPr>
              <w:pStyle w:val="Default"/>
              <w:jc w:val="both"/>
              <w:rPr>
                <w:rFonts w:ascii="Tahoma" w:hAnsi="Tahoma" w:cs="Tahoma"/>
                <w:noProof/>
                <w:sz w:val="20"/>
                <w:szCs w:val="20"/>
              </w:rPr>
            </w:pPr>
            <w:r>
              <w:rPr>
                <w:rFonts w:ascii="Tahoma" w:hAnsi="Tahoma"/>
                <w:b/>
                <w:noProof/>
                <w:sz w:val="20"/>
              </w:rPr>
              <w:t xml:space="preserve">Se jkun hemm impatti sinifikanti oħra? </w:t>
            </w:r>
          </w:p>
        </w:tc>
      </w:tr>
      <w:tr w:rsidR="00DB21D3">
        <w:trPr>
          <w:trHeight w:val="553"/>
        </w:trPr>
        <w:tc>
          <w:tcPr>
            <w:tcW w:w="10188" w:type="dxa"/>
            <w:tcBorders>
              <w:bottom w:val="single" w:sz="4" w:space="0" w:color="auto"/>
            </w:tcBorders>
            <w:shd w:val="clear" w:color="auto" w:fill="auto"/>
          </w:tcPr>
          <w:p w:rsidR="00DB21D3" w:rsidRDefault="00BF7287">
            <w:pPr>
              <w:jc w:val="both"/>
              <w:rPr>
                <w:rFonts w:ascii="Tahoma" w:hAnsi="Tahoma" w:cs="Tahoma"/>
                <w:noProof/>
                <w:sz w:val="20"/>
                <w:szCs w:val="20"/>
              </w:rPr>
            </w:pPr>
            <w:r>
              <w:rPr>
                <w:rFonts w:ascii="Tahoma" w:hAnsi="Tahoma"/>
                <w:noProof/>
                <w:sz w:val="20"/>
              </w:rPr>
              <w:t>Il-miżuri proposti se jkollhom i</w:t>
            </w:r>
            <w:r>
              <w:rPr>
                <w:rFonts w:ascii="Tahoma" w:hAnsi="Tahoma"/>
                <w:noProof/>
                <w:sz w:val="20"/>
              </w:rPr>
              <w:t>mpatt fuq id-drittijiet fundamentali; l-indħil fuq id-dritt għall-protezzjoni tad-dejta personali ikun minimu, peress li l-aċċess huwa limitat u huwa maħsub biss għall-awtoritajiet rilevanti, u b’hekk ikun hemm il-proporzjonalità. Se jingħata aċċess dirett</w:t>
            </w:r>
            <w:r>
              <w:rPr>
                <w:rFonts w:ascii="Tahoma" w:hAnsi="Tahoma"/>
                <w:noProof/>
                <w:sz w:val="20"/>
              </w:rPr>
              <w:t xml:space="preserve"> għas-CBAR/DRS billi fihom informazzjoni limitata. L-aċċess għal tipi oħrajn ta’ informazzjoni finanzjarja se jkun possibbli permezz tal-UIF. L-għażliet ippreferuti ma jmorrux lil hinn minn dak li huwa meħtieġ biex jinkisbu l-għanijiet, u huma vvalutati bħ</w:t>
            </w:r>
            <w:r>
              <w:rPr>
                <w:rFonts w:ascii="Tahoma" w:hAnsi="Tahoma"/>
                <w:noProof/>
                <w:sz w:val="20"/>
              </w:rPr>
              <w:t>ala l-istrumenti leġiżlattivi l-inqas intrużivi fuq livell Ewropew, b’konformità mar-rekwiżiti stabbiliti mill-Qorti tal-Ġustizzja tal-Unjoni Ewropea. Proposta legali futura ma taffettwa l-ebda salvagwardji proċedurali kif stabbiliti fil-liġi nazzjonali, a</w:t>
            </w:r>
            <w:r>
              <w:rPr>
                <w:rFonts w:ascii="Tahoma" w:hAnsi="Tahoma"/>
                <w:noProof/>
                <w:sz w:val="20"/>
              </w:rPr>
              <w:t xml:space="preserve">nzi tipprovdi salvagwardji stretti, li iktar jimminimizzaw kull impatt negattiv fuq id-drittijiet fundamentali. </w:t>
            </w:r>
          </w:p>
        </w:tc>
      </w:tr>
      <w:tr w:rsidR="00DB21D3">
        <w:tc>
          <w:tcPr>
            <w:tcW w:w="10188" w:type="dxa"/>
            <w:tcBorders>
              <w:bottom w:val="single" w:sz="4" w:space="0" w:color="auto"/>
            </w:tcBorders>
            <w:shd w:val="clear" w:color="auto" w:fill="C0C0C0"/>
          </w:tcPr>
          <w:p w:rsidR="00DB21D3" w:rsidRDefault="00BF7287">
            <w:pPr>
              <w:spacing w:before="60" w:after="60"/>
              <w:jc w:val="center"/>
              <w:rPr>
                <w:rFonts w:ascii="Tahoma" w:hAnsi="Tahoma" w:cs="Tahoma"/>
                <w:b/>
                <w:noProof/>
                <w:sz w:val="20"/>
                <w:szCs w:val="20"/>
              </w:rPr>
            </w:pPr>
            <w:r>
              <w:rPr>
                <w:rFonts w:ascii="Tahoma" w:hAnsi="Tahoma"/>
                <w:b/>
                <w:noProof/>
                <w:sz w:val="20"/>
              </w:rPr>
              <w:t>D. Segwitu</w:t>
            </w:r>
          </w:p>
        </w:tc>
      </w:tr>
      <w:tr w:rsidR="00DB21D3">
        <w:tc>
          <w:tcPr>
            <w:tcW w:w="10188" w:type="dxa"/>
            <w:tcBorders>
              <w:bottom w:val="single" w:sz="4" w:space="0" w:color="auto"/>
            </w:tcBorders>
            <w:shd w:val="clear" w:color="auto" w:fill="E6E6E6"/>
          </w:tcPr>
          <w:p w:rsidR="00DB21D3" w:rsidRDefault="00BF7287">
            <w:pPr>
              <w:pStyle w:val="Default"/>
              <w:jc w:val="both"/>
              <w:rPr>
                <w:rFonts w:ascii="Tahoma" w:hAnsi="Tahoma" w:cs="Tahoma"/>
                <w:noProof/>
                <w:sz w:val="20"/>
                <w:szCs w:val="20"/>
              </w:rPr>
            </w:pPr>
            <w:r>
              <w:rPr>
                <w:rFonts w:ascii="Tahoma" w:hAnsi="Tahoma"/>
                <w:b/>
                <w:noProof/>
                <w:sz w:val="20"/>
              </w:rPr>
              <w:t xml:space="preserve">Meta se tiġi rieżaminata l-politika? </w:t>
            </w:r>
          </w:p>
        </w:tc>
      </w:tr>
      <w:tr w:rsidR="00DB21D3">
        <w:trPr>
          <w:trHeight w:val="850"/>
        </w:trPr>
        <w:tc>
          <w:tcPr>
            <w:tcW w:w="10188" w:type="dxa"/>
            <w:tcBorders>
              <w:bottom w:val="single" w:sz="4" w:space="0" w:color="auto"/>
            </w:tcBorders>
            <w:shd w:val="clear" w:color="auto" w:fill="auto"/>
          </w:tcPr>
          <w:p w:rsidR="00DB21D3" w:rsidRDefault="00BF7287">
            <w:pPr>
              <w:jc w:val="both"/>
              <w:rPr>
                <w:rFonts w:ascii="Tahoma" w:hAnsi="Tahoma" w:cs="Tahoma"/>
                <w:noProof/>
                <w:color w:val="FF0000"/>
                <w:sz w:val="20"/>
                <w:szCs w:val="20"/>
              </w:rPr>
            </w:pPr>
            <w:r>
              <w:rPr>
                <w:rFonts w:ascii="Tahoma" w:hAnsi="Tahoma"/>
                <w:noProof/>
                <w:sz w:val="20"/>
              </w:rPr>
              <w:t>Il-Kummissjoni se timmonitorja l-implimentazzjoni effettiva tal-istrumenti leġiżlattivi proposti u, abbażi tal-konsultazzjonijiet mal-Istati Membri u mal-partijiet ikkonċernati, se tevalwa r-riżultati tagħhom meta mqabbla mal-għanijiet tagħhom u l-problemi</w:t>
            </w:r>
            <w:r>
              <w:rPr>
                <w:rFonts w:ascii="Tahoma" w:hAnsi="Tahoma"/>
                <w:noProof/>
                <w:sz w:val="20"/>
              </w:rPr>
              <w:t xml:space="preserve"> li għandhom jiġu indirizzati fi żmien tliet snin wara l-adozzjoni tal-miżuri proposti.  </w:t>
            </w:r>
          </w:p>
        </w:tc>
      </w:tr>
    </w:tbl>
    <w:p w:rsidR="00DB21D3" w:rsidRPr="00BF7287" w:rsidRDefault="00DB21D3">
      <w:pPr>
        <w:rPr>
          <w:rFonts w:ascii="Tahoma" w:hAnsi="Tahoma" w:cs="Tahoma"/>
          <w:noProof/>
          <w:sz w:val="20"/>
          <w:szCs w:val="20"/>
        </w:rPr>
      </w:pPr>
    </w:p>
    <w:sectPr w:rsidR="00DB21D3" w:rsidRPr="00BF7287">
      <w:headerReference w:type="even" r:id="rId16"/>
      <w:headerReference w:type="default" r:id="rId17"/>
      <w:footerReference w:type="even" r:id="rId18"/>
      <w:footerReference w:type="default" r:id="rId19"/>
      <w:headerReference w:type="first" r:id="rId20"/>
      <w:footerReference w:type="first" r:id="rId21"/>
      <w:pgSz w:w="11906" w:h="16838" w:code="9"/>
      <w:pgMar w:top="1276" w:right="567" w:bottom="624" w:left="1134" w:header="284" w:footer="25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D3" w:rsidRDefault="00BF7287">
      <w:r>
        <w:separator/>
      </w:r>
    </w:p>
  </w:endnote>
  <w:endnote w:type="continuationSeparator" w:id="0">
    <w:p w:rsidR="00DB21D3" w:rsidRDefault="00BF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87" w:rsidRPr="00BF7287" w:rsidRDefault="00BF7287" w:rsidP="00BF7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87" w:rsidRPr="00BF7287" w:rsidRDefault="00BF7287" w:rsidP="00BF7287">
    <w:pPr>
      <w:pStyle w:val="FooterCoverPage"/>
      <w:rPr>
        <w:rFonts w:ascii="Arial" w:hAnsi="Arial" w:cs="Arial"/>
        <w:b/>
        <w:sz w:val="48"/>
      </w:rPr>
    </w:pPr>
    <w:r w:rsidRPr="00BF7287">
      <w:rPr>
        <w:rFonts w:ascii="Arial" w:hAnsi="Arial" w:cs="Arial"/>
        <w:b/>
        <w:sz w:val="48"/>
      </w:rPr>
      <w:t>MT</w:t>
    </w:r>
    <w:r w:rsidRPr="00BF7287">
      <w:rPr>
        <w:rFonts w:ascii="Arial" w:hAnsi="Arial" w:cs="Arial"/>
        <w:b/>
        <w:sz w:val="48"/>
      </w:rPr>
      <w:tab/>
    </w:r>
    <w:r w:rsidRPr="00BF7287">
      <w:rPr>
        <w:rFonts w:ascii="Arial" w:hAnsi="Arial" w:cs="Arial"/>
        <w:b/>
        <w:sz w:val="48"/>
      </w:rPr>
      <w:tab/>
    </w:r>
    <w:r w:rsidRPr="00BF7287">
      <w:tab/>
    </w:r>
    <w:r w:rsidRPr="00BF7287">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87" w:rsidRPr="00BF7287" w:rsidRDefault="00BF7287" w:rsidP="00BF7287">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D3" w:rsidRDefault="00DB21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307112"/>
      <w:docPartObj>
        <w:docPartGallery w:val="Page Numbers (Bottom of Page)"/>
        <w:docPartUnique/>
      </w:docPartObj>
    </w:sdtPr>
    <w:sdtEndPr>
      <w:rPr>
        <w:noProof/>
      </w:rPr>
    </w:sdtEndPr>
    <w:sdtContent>
      <w:p w:rsidR="00DB21D3" w:rsidRDefault="00BF728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DB21D3" w:rsidRDefault="00DB21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013681"/>
      <w:docPartObj>
        <w:docPartGallery w:val="Page Numbers (Bottom of Page)"/>
        <w:docPartUnique/>
      </w:docPartObj>
    </w:sdtPr>
    <w:sdtEndPr>
      <w:rPr>
        <w:noProof/>
      </w:rPr>
    </w:sdtEndPr>
    <w:sdtContent>
      <w:p w:rsidR="00DB21D3" w:rsidRDefault="00BF728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B21D3" w:rsidRDefault="00DB21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D3" w:rsidRDefault="00BF7287">
      <w:r>
        <w:separator/>
      </w:r>
    </w:p>
  </w:footnote>
  <w:footnote w:type="continuationSeparator" w:id="0">
    <w:p w:rsidR="00DB21D3" w:rsidRDefault="00BF7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87" w:rsidRPr="00BF7287" w:rsidRDefault="00BF7287" w:rsidP="00BF7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87" w:rsidRPr="00BF7287" w:rsidRDefault="00BF7287" w:rsidP="00BF7287">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87" w:rsidRPr="00BF7287" w:rsidRDefault="00BF7287" w:rsidP="00BF7287">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D3" w:rsidRDefault="00DB21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D3" w:rsidRDefault="00DB21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D3" w:rsidRDefault="00DB21D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9F9"/>
    <w:multiLevelType w:val="hybridMultilevel"/>
    <w:tmpl w:val="56C685BE"/>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C97121"/>
    <w:multiLevelType w:val="hybridMultilevel"/>
    <w:tmpl w:val="D99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9F748F"/>
    <w:multiLevelType w:val="hybridMultilevel"/>
    <w:tmpl w:val="51D2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7C177A"/>
    <w:multiLevelType w:val="hybridMultilevel"/>
    <w:tmpl w:val="0862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71725"/>
    <w:multiLevelType w:val="hybridMultilevel"/>
    <w:tmpl w:val="3736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A12FA4"/>
    <w:multiLevelType w:val="multilevel"/>
    <w:tmpl w:val="5F407CF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val="0"/>
        <w:i w:val="0"/>
      </w:r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902B09"/>
    <w:multiLevelType w:val="hybridMultilevel"/>
    <w:tmpl w:val="68A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96516B"/>
    <w:multiLevelType w:val="hybridMultilevel"/>
    <w:tmpl w:val="5BDA153C"/>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7"/>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i jakkumpanja d-dokument"/>
    <w:docVar w:name="LW_CORRIGENDUM" w:val="&lt;UNUSED&gt;"/>
    <w:docVar w:name="LW_COVERPAGE_EXISTS" w:val="True"/>
    <w:docVar w:name="LW_COVERPAGE_GUID" w:val="B65190B3-283D-4AB5-B809-786786CB8A7A"/>
    <w:docVar w:name="LW_COVERPAGE_TYPE" w:val="1"/>
    <w:docVar w:name="LW_CROSSREFERENCE" w:val="{COM(2018) 213 final}_x000d__x000a_{SWD(2018) 114 final}"/>
    <w:docVar w:name="LW_DocType" w:val="NORMAL"/>
    <w:docVar w:name="LW_EMISSION" w:val="17.4.2018"/>
    <w:docVar w:name="LW_EMISSION_ISODATE" w:val="2018-04-17"/>
    <w:docVar w:name="LW_EMISSION_LOCATION" w:val="BRX"/>
    <w:docVar w:name="LW_EMISSION_PREFIX" w:val="Strasburgu,"/>
    <w:docVar w:name="LW_EMISSION_SUFFIX" w:val="&lt;EMPTY&gt;"/>
    <w:docVar w:name="LW_ID_DOCTYPE_NONLW" w:val="CP-027"/>
    <w:docVar w:name="LW_LANGUE" w:val="MT"/>
    <w:docVar w:name="LW_LEVEL_OF_SENSITIVITY" w:val="Standard treatment"/>
    <w:docVar w:name="LW_NOM.INST" w:val="IL-KUMMISSJONI EWROPEA"/>
    <w:docVar w:name="LW_NOM.INST_JOINTDOC" w:val="&lt;EMPTY&gt;"/>
    <w:docVar w:name="LW_OBJETACTEPRINCIPAL.CP" w:val="li tistabbilixxi regoli li jiffa\u267?ilitaw l-u\u380?u ta' informazzjoni finanzjarja u informazzjoni o\u295?ra g\u295?all-prevenzjoni, l-identifikazzjoni, l-investigazzjoni jew il-prosekuzzjoni ta' \u267?erti reati kiminali u li t\u295?assar id-De\u267?i\u380?joni tal-Kunsill 2000/642/JHA_x000b_"/>
    <w:docVar w:name="LW_PART_NBR" w:val="1"/>
    <w:docVar w:name="LW_PART_NBR_TOTAL" w:val="1"/>
    <w:docVar w:name="LW_REF.INST.NEW" w:val="SWD"/>
    <w:docVar w:name="LW_REF.INST.NEW_ADOPTED" w:val="final"/>
    <w:docVar w:name="LW_REF.INST.NEW_TEXT" w:val="(2018)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KUMENT TA\u8217? \u294?IDMA TAL-PERSUNAL TAL-KUMMISSJONI_x000b__x000b_SOMMARJU E\u379?EKUTTIV TAL-VALUTAZZJONI TAL-IMPATT_x000b_"/>
    <w:docVar w:name="LW_TYPEACTEPRINCIPAL.CP" w:val="Proposta g\u295?al Direttiva tal-Parlament Ewropew u tal-Kunsill"/>
  </w:docVars>
  <w:rsids>
    <w:rsidRoot w:val="00DB21D3"/>
    <w:rsid w:val="00BF7287"/>
    <w:rsid w:val="00DB21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numPr>
        <w:numId w:val="3"/>
      </w:numPr>
      <w:spacing w:before="360" w:after="120"/>
      <w:jc w:val="both"/>
      <w:outlineLvl w:val="0"/>
    </w:pPr>
    <w:rPr>
      <w:b/>
      <w:bCs/>
      <w:smallCaps/>
      <w:szCs w:val="28"/>
    </w:rPr>
  </w:style>
  <w:style w:type="paragraph" w:styleId="Heading2">
    <w:name w:val="heading 2"/>
    <w:basedOn w:val="Normal"/>
    <w:next w:val="Normal"/>
    <w:link w:val="Heading2Char"/>
    <w:uiPriority w:val="9"/>
    <w:unhideWhenUsed/>
    <w:qFormat/>
    <w:pPr>
      <w:keepNext/>
      <w:numPr>
        <w:ilvl w:val="1"/>
        <w:numId w:val="3"/>
      </w:numPr>
      <w:spacing w:before="120" w:after="120"/>
      <w:jc w:val="both"/>
      <w:outlineLvl w:val="1"/>
    </w:pPr>
    <w:rPr>
      <w:b/>
      <w:bCs/>
      <w:szCs w:val="26"/>
    </w:rPr>
  </w:style>
  <w:style w:type="paragraph" w:styleId="Heading3">
    <w:name w:val="heading 3"/>
    <w:basedOn w:val="Normal"/>
    <w:next w:val="Normal"/>
    <w:link w:val="Heading3Char"/>
    <w:uiPriority w:val="9"/>
    <w:unhideWhenUsed/>
    <w:qFormat/>
    <w:pPr>
      <w:keepNext/>
      <w:numPr>
        <w:ilvl w:val="2"/>
        <w:numId w:val="3"/>
      </w:numPr>
      <w:spacing w:before="120" w:after="120"/>
      <w:jc w:val="both"/>
      <w:outlineLvl w:val="2"/>
    </w:pPr>
    <w:rPr>
      <w:bCs/>
      <w:i/>
      <w:szCs w:val="22"/>
    </w:rPr>
  </w:style>
  <w:style w:type="paragraph" w:styleId="Heading4">
    <w:name w:val="heading 4"/>
    <w:basedOn w:val="Normal"/>
    <w:next w:val="Normal"/>
    <w:link w:val="Heading4Char"/>
    <w:uiPriority w:val="9"/>
    <w:unhideWhenUsed/>
    <w:qFormat/>
    <w:pPr>
      <w:keepNext/>
      <w:numPr>
        <w:ilvl w:val="3"/>
        <w:numId w:val="3"/>
      </w:numPr>
      <w:spacing w:before="120" w:after="120"/>
      <w:jc w:val="both"/>
      <w:outlineLvl w:val="3"/>
    </w:pPr>
    <w:rPr>
      <w:bCs/>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mt-MT"/>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mt-MT"/>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mt-MT"/>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mt-MT"/>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Fußnote, Char Char Car,Char Char Car,Fußnotentextf,Note de bas de page Car Car Car Car Car Car Car Car Car Car,Note de bas de page Car Car Car Car,Note de bas de page Car Car Car Car Car Car Car Car Car,ft,Footnote Text Char1,fn,o"/>
    <w:basedOn w:val="Normal"/>
    <w:link w:val="FootnoteTextChar"/>
    <w:uiPriority w:val="99"/>
    <w:qFormat/>
    <w:pPr>
      <w:ind w:left="720" w:hanging="720"/>
      <w:jc w:val="both"/>
    </w:pPr>
    <w:rPr>
      <w:sz w:val="20"/>
      <w:szCs w:val="20"/>
    </w:rPr>
  </w:style>
  <w:style w:type="character" w:customStyle="1" w:styleId="FootnoteTextChar">
    <w:name w:val="Footnote Text Char"/>
    <w:aliases w:val="Footnote Char,Fußnote Char, Char Char Car Char,Char Char Car Char,Fußnotentextf Char,Note de bas de page Car Car Car Car Car Car Car Car Car Car Char,Note de bas de page Car Car Car Car Char,ft Char,Footnote Text Char1 Char,fn Char"/>
    <w:basedOn w:val="DefaultParagraphFont"/>
    <w:link w:val="FootnoteText"/>
    <w:uiPriority w:val="99"/>
    <w:rPr>
      <w:rFonts w:ascii="Times New Roman" w:eastAsia="Times New Roman" w:hAnsi="Times New Roman" w:cs="Times New Roman"/>
      <w:sz w:val="20"/>
      <w:szCs w:val="20"/>
      <w:lang w:eastAsia="mt-MT"/>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BVIfnrCarCarCarCarCharCharCharCharCar"/>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mt-MT"/>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Text1">
    <w:name w:val="Text 1"/>
    <w:basedOn w:val="Normal"/>
    <w:pPr>
      <w:spacing w:after="240"/>
      <w:ind w:left="482"/>
      <w:jc w:val="both"/>
    </w:pPr>
    <w:rPr>
      <w:szCs w:val="20"/>
    </w:rPr>
  </w:style>
  <w:style w:type="paragraph" w:customStyle="1" w:styleId="BVIfnrCarCarCarCarCharCharCharCharCar">
    <w:name w:val="BVI fnr Car Car Car Car Char Char Char Char Car"/>
    <w:aliases w:val="BVI fnr Car Car Car Car Char Char Car,BVI fnr Car Car Car Car Char Char Char Char Char Char Char Char Char Car, BVI fnr Car Car Car Car Char Char Car"/>
    <w:basedOn w:val="Normal"/>
    <w:link w:val="FootnoteReference"/>
    <w:uiPriority w:val="99"/>
    <w:pPr>
      <w:spacing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mt-M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numPr>
        <w:numId w:val="3"/>
      </w:numPr>
      <w:spacing w:before="360" w:after="120"/>
      <w:jc w:val="both"/>
      <w:outlineLvl w:val="0"/>
    </w:pPr>
    <w:rPr>
      <w:b/>
      <w:bCs/>
      <w:smallCaps/>
      <w:szCs w:val="28"/>
    </w:rPr>
  </w:style>
  <w:style w:type="paragraph" w:styleId="Heading2">
    <w:name w:val="heading 2"/>
    <w:basedOn w:val="Normal"/>
    <w:next w:val="Normal"/>
    <w:link w:val="Heading2Char"/>
    <w:uiPriority w:val="9"/>
    <w:unhideWhenUsed/>
    <w:qFormat/>
    <w:pPr>
      <w:keepNext/>
      <w:numPr>
        <w:ilvl w:val="1"/>
        <w:numId w:val="3"/>
      </w:numPr>
      <w:spacing w:before="120" w:after="120"/>
      <w:jc w:val="both"/>
      <w:outlineLvl w:val="1"/>
    </w:pPr>
    <w:rPr>
      <w:b/>
      <w:bCs/>
      <w:szCs w:val="26"/>
    </w:rPr>
  </w:style>
  <w:style w:type="paragraph" w:styleId="Heading3">
    <w:name w:val="heading 3"/>
    <w:basedOn w:val="Normal"/>
    <w:next w:val="Normal"/>
    <w:link w:val="Heading3Char"/>
    <w:uiPriority w:val="9"/>
    <w:unhideWhenUsed/>
    <w:qFormat/>
    <w:pPr>
      <w:keepNext/>
      <w:numPr>
        <w:ilvl w:val="2"/>
        <w:numId w:val="3"/>
      </w:numPr>
      <w:spacing w:before="120" w:after="120"/>
      <w:jc w:val="both"/>
      <w:outlineLvl w:val="2"/>
    </w:pPr>
    <w:rPr>
      <w:bCs/>
      <w:i/>
      <w:szCs w:val="22"/>
    </w:rPr>
  </w:style>
  <w:style w:type="paragraph" w:styleId="Heading4">
    <w:name w:val="heading 4"/>
    <w:basedOn w:val="Normal"/>
    <w:next w:val="Normal"/>
    <w:link w:val="Heading4Char"/>
    <w:uiPriority w:val="9"/>
    <w:unhideWhenUsed/>
    <w:qFormat/>
    <w:pPr>
      <w:keepNext/>
      <w:numPr>
        <w:ilvl w:val="3"/>
        <w:numId w:val="3"/>
      </w:numPr>
      <w:spacing w:before="120" w:after="120"/>
      <w:jc w:val="both"/>
      <w:outlineLvl w:val="3"/>
    </w:pPr>
    <w:rPr>
      <w:bCs/>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mt-MT"/>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mt-MT"/>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mt-MT"/>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mt-MT"/>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Fußnote, Char Char Car,Char Char Car,Fußnotentextf,Note de bas de page Car Car Car Car Car Car Car Car Car Car,Note de bas de page Car Car Car Car,Note de bas de page Car Car Car Car Car Car Car Car Car,ft,Footnote Text Char1,fn,o"/>
    <w:basedOn w:val="Normal"/>
    <w:link w:val="FootnoteTextChar"/>
    <w:uiPriority w:val="99"/>
    <w:qFormat/>
    <w:pPr>
      <w:ind w:left="720" w:hanging="720"/>
      <w:jc w:val="both"/>
    </w:pPr>
    <w:rPr>
      <w:sz w:val="20"/>
      <w:szCs w:val="20"/>
    </w:rPr>
  </w:style>
  <w:style w:type="character" w:customStyle="1" w:styleId="FootnoteTextChar">
    <w:name w:val="Footnote Text Char"/>
    <w:aliases w:val="Footnote Char,Fußnote Char, Char Char Car Char,Char Char Car Char,Fußnotentextf Char,Note de bas de page Car Car Car Car Car Car Car Car Car Car Char,Note de bas de page Car Car Car Car Char,ft Char,Footnote Text Char1 Char,fn Char"/>
    <w:basedOn w:val="DefaultParagraphFont"/>
    <w:link w:val="FootnoteText"/>
    <w:uiPriority w:val="99"/>
    <w:rPr>
      <w:rFonts w:ascii="Times New Roman" w:eastAsia="Times New Roman" w:hAnsi="Times New Roman" w:cs="Times New Roman"/>
      <w:sz w:val="20"/>
      <w:szCs w:val="20"/>
      <w:lang w:eastAsia="mt-MT"/>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BVIfnrCarCarCarCarCharCharCharCharCar"/>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mt-MT"/>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Text1">
    <w:name w:val="Text 1"/>
    <w:basedOn w:val="Normal"/>
    <w:pPr>
      <w:spacing w:after="240"/>
      <w:ind w:left="482"/>
      <w:jc w:val="both"/>
    </w:pPr>
    <w:rPr>
      <w:szCs w:val="20"/>
    </w:rPr>
  </w:style>
  <w:style w:type="paragraph" w:customStyle="1" w:styleId="BVIfnrCarCarCarCarCharCharCharCharCar">
    <w:name w:val="BVI fnr Car Car Car Car Char Char Char Char Car"/>
    <w:aliases w:val="BVI fnr Car Car Car Car Char Char Car,BVI fnr Car Car Car Car Char Char Char Char Char Char Char Char Char Car, BVI fnr Car Car Car Car Char Char Car"/>
    <w:basedOn w:val="Normal"/>
    <w:link w:val="FootnoteReference"/>
    <w:uiPriority w:val="99"/>
    <w:pPr>
      <w:spacing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mt-M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A5790-B64F-4C0C-8715-C8550C02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1155</Words>
  <Characters>8821</Characters>
  <Application>Microsoft Office Word</Application>
  <DocSecurity>0</DocSecurity>
  <Lines>110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2018-03-30T13:10:00Z</cp:lastPrinted>
  <dcterms:created xsi:type="dcterms:W3CDTF">2018-04-11T13:11:00Z</dcterms:created>
  <dcterms:modified xsi:type="dcterms:W3CDTF">2018-05-16T09:25:00Z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