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F7" w:rsidRDefault="0006325F" w:rsidP="0006325F">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7A555D0-763A-420F-9615-FEBF9A96721A" style="width:450.6pt;height:449.4pt">
            <v:imagedata r:id="rId9" o:title=""/>
          </v:shape>
        </w:pict>
      </w:r>
    </w:p>
    <w:bookmarkEnd w:id="0"/>
    <w:p w:rsidR="005218F7" w:rsidRDefault="005218F7">
      <w:pPr>
        <w:rPr>
          <w:noProof/>
        </w:rPr>
        <w:sectPr w:rsidR="005218F7" w:rsidSect="0006325F">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5218F7">
        <w:tc>
          <w:tcPr>
            <w:tcW w:w="10188" w:type="dxa"/>
            <w:tcBorders>
              <w:bottom w:val="single" w:sz="4" w:space="0" w:color="auto"/>
            </w:tcBorders>
            <w:shd w:val="clear" w:color="auto" w:fill="CCCCCC"/>
          </w:tcPr>
          <w:p w:rsidR="005218F7" w:rsidRDefault="0006325F">
            <w:pPr>
              <w:tabs>
                <w:tab w:val="left" w:pos="2309"/>
              </w:tabs>
              <w:spacing w:before="60" w:after="60"/>
              <w:jc w:val="center"/>
              <w:rPr>
                <w:rFonts w:ascii="Tahoma" w:hAnsi="Tahoma" w:cs="Tahoma"/>
                <w:b/>
                <w:noProof/>
                <w:sz w:val="20"/>
                <w:szCs w:val="20"/>
              </w:rPr>
            </w:pPr>
            <w:r>
              <w:rPr>
                <w:rFonts w:ascii="Tahoma" w:hAnsi="Tahoma"/>
                <w:b/>
                <w:noProof/>
                <w:sz w:val="20"/>
              </w:rPr>
              <w:lastRenderedPageBreak/>
              <w:t>Vezetői összefoglaló</w:t>
            </w:r>
          </w:p>
        </w:tc>
      </w:tr>
      <w:tr w:rsidR="005218F7">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5218F7" w:rsidRDefault="0006325F">
            <w:pPr>
              <w:jc w:val="both"/>
              <w:rPr>
                <w:rFonts w:ascii="Tahoma" w:hAnsi="Tahoma" w:cs="Tahoma"/>
                <w:noProof/>
                <w:sz w:val="20"/>
              </w:rPr>
            </w:pPr>
            <w:r>
              <w:rPr>
                <w:rFonts w:ascii="Tahoma" w:hAnsi="Tahoma"/>
                <w:noProof/>
                <w:sz w:val="20"/>
              </w:rPr>
              <w:t xml:space="preserve">Hatásvizsgálat a pénzügyi és egyéb információknak bizonyos bűncselekmények megelőzése, felderítése, nyomozása és a vádeljárás </w:t>
            </w:r>
            <w:r>
              <w:rPr>
                <w:rFonts w:ascii="Tahoma" w:hAnsi="Tahoma"/>
                <w:noProof/>
                <w:sz w:val="20"/>
              </w:rPr>
              <w:t>lefolytatása céljából történő felhasználásának megkönnyítéséről.</w:t>
            </w:r>
          </w:p>
        </w:tc>
      </w:tr>
      <w:tr w:rsidR="005218F7">
        <w:tc>
          <w:tcPr>
            <w:tcW w:w="10188" w:type="dxa"/>
            <w:tcBorders>
              <w:bottom w:val="single" w:sz="4" w:space="0" w:color="auto"/>
            </w:tcBorders>
            <w:shd w:val="clear" w:color="auto" w:fill="CCCCCC"/>
          </w:tcPr>
          <w:p w:rsidR="005218F7" w:rsidRDefault="0006325F">
            <w:pPr>
              <w:tabs>
                <w:tab w:val="left" w:pos="2309"/>
              </w:tabs>
              <w:spacing w:before="60" w:after="60"/>
              <w:jc w:val="center"/>
              <w:rPr>
                <w:rFonts w:ascii="Tahoma" w:hAnsi="Tahoma" w:cs="Tahoma"/>
                <w:b/>
                <w:noProof/>
                <w:sz w:val="20"/>
                <w:szCs w:val="20"/>
              </w:rPr>
            </w:pPr>
            <w:r>
              <w:rPr>
                <w:rFonts w:ascii="Tahoma" w:hAnsi="Tahoma"/>
                <w:b/>
                <w:noProof/>
                <w:sz w:val="20"/>
              </w:rPr>
              <w:t>A. A fellépés szükségessége</w:t>
            </w:r>
          </w:p>
        </w:tc>
      </w:tr>
      <w:tr w:rsidR="005218F7">
        <w:tc>
          <w:tcPr>
            <w:tcW w:w="10188" w:type="dxa"/>
            <w:tcBorders>
              <w:bottom w:val="single" w:sz="4" w:space="0" w:color="auto"/>
            </w:tcBorders>
            <w:shd w:val="clear" w:color="auto" w:fill="E0E0E0"/>
          </w:tcPr>
          <w:p w:rsidR="005218F7" w:rsidRDefault="0006325F">
            <w:pPr>
              <w:pStyle w:val="Default"/>
              <w:jc w:val="both"/>
              <w:rPr>
                <w:rFonts w:ascii="Tahoma" w:hAnsi="Tahoma" w:cs="Tahoma"/>
                <w:noProof/>
                <w:sz w:val="20"/>
                <w:szCs w:val="20"/>
              </w:rPr>
            </w:pPr>
            <w:r>
              <w:rPr>
                <w:rFonts w:ascii="Tahoma" w:hAnsi="Tahoma"/>
                <w:b/>
                <w:noProof/>
                <w:sz w:val="20"/>
              </w:rPr>
              <w:t xml:space="preserve">Miért van szükség fellépésre? Milyen problémát kell megoldani? </w:t>
            </w:r>
          </w:p>
        </w:tc>
      </w:tr>
      <w:tr w:rsidR="005218F7">
        <w:trPr>
          <w:trHeight w:val="1132"/>
        </w:trPr>
        <w:tc>
          <w:tcPr>
            <w:tcW w:w="10188" w:type="dxa"/>
            <w:tcBorders>
              <w:bottom w:val="single" w:sz="4" w:space="0" w:color="auto"/>
            </w:tcBorders>
            <w:shd w:val="clear" w:color="auto" w:fill="auto"/>
          </w:tcPr>
          <w:p w:rsidR="005218F7" w:rsidRDefault="0006325F">
            <w:pPr>
              <w:autoSpaceDE w:val="0"/>
              <w:autoSpaceDN w:val="0"/>
              <w:adjustRightInd w:val="0"/>
              <w:rPr>
                <w:rFonts w:ascii="Tahoma" w:hAnsi="Tahoma" w:cs="Tahoma"/>
                <w:i/>
                <w:iCs/>
                <w:noProof/>
                <w:color w:val="243F60" w:themeColor="accent1" w:themeShade="7F"/>
                <w:sz w:val="20"/>
                <w:szCs w:val="20"/>
              </w:rPr>
            </w:pPr>
            <w:r>
              <w:rPr>
                <w:rFonts w:ascii="Tahoma" w:hAnsi="Tahoma"/>
                <w:noProof/>
                <w:sz w:val="20"/>
              </w:rPr>
              <w:t xml:space="preserve">A bűnözői csoportok és a terroristák gyakran a különböző tagállamokon átnyúlva működnek, </w:t>
            </w:r>
            <w:r>
              <w:rPr>
                <w:rFonts w:ascii="Tahoma" w:hAnsi="Tahoma"/>
                <w:noProof/>
                <w:sz w:val="20"/>
              </w:rPr>
              <w:t>eszközeik pedig, beleértve a bankszámlákat is, rendszerint szerte az Unióban, vagy azon kívül helyezkednek el. Pénzügyi tevékenységük olyan információs nyomot hagyhat más tagállamokban, amely létfontosságú lehet a nyomozók számára. A pénzügyi információkho</w:t>
            </w:r>
            <w:r>
              <w:rPr>
                <w:rFonts w:ascii="Tahoma" w:hAnsi="Tahoma"/>
                <w:noProof/>
                <w:sz w:val="20"/>
              </w:rPr>
              <w:t>z vagy bankszámlával kapcsolatos információkhoz való hozzáférés hiánya vagy késedelme akadályozza a bűnözésből származó pénzmozgások felderítését. A bűncselekményből származó jövedelem felderítetlenül marad vagy azt nem lehet befagyasztani. Ezenfelül akadá</w:t>
            </w:r>
            <w:r>
              <w:rPr>
                <w:rFonts w:ascii="Tahoma" w:hAnsi="Tahoma"/>
                <w:noProof/>
                <w:sz w:val="20"/>
              </w:rPr>
              <w:t>lyokba ütközik a pénzügyi információs egységek közötti együttműködés, valamint az azon bűnüldözési információkhoz való hozzáférés, amely relevánsak a pénzügyi információs egységek (EU) 2015/849 irányelv (negyedik pénzmosás elleni irányelv) szerinti feladat</w:t>
            </w:r>
            <w:r>
              <w:rPr>
                <w:rFonts w:ascii="Tahoma" w:hAnsi="Tahoma"/>
                <w:noProof/>
                <w:sz w:val="20"/>
              </w:rPr>
              <w:t>ai teljesítése szempontjából.</w:t>
            </w:r>
          </w:p>
        </w:tc>
      </w:tr>
      <w:tr w:rsidR="005218F7">
        <w:tc>
          <w:tcPr>
            <w:tcW w:w="10188" w:type="dxa"/>
            <w:tcBorders>
              <w:bottom w:val="single" w:sz="4" w:space="0" w:color="auto"/>
            </w:tcBorders>
            <w:shd w:val="clear" w:color="auto" w:fill="E6E6E6"/>
          </w:tcPr>
          <w:p w:rsidR="005218F7" w:rsidRDefault="0006325F">
            <w:pPr>
              <w:pStyle w:val="Default"/>
              <w:keepNext/>
              <w:jc w:val="both"/>
              <w:rPr>
                <w:rFonts w:ascii="Tahoma" w:hAnsi="Tahoma" w:cs="Tahoma"/>
                <w:noProof/>
                <w:sz w:val="20"/>
                <w:szCs w:val="20"/>
              </w:rPr>
            </w:pPr>
            <w:r>
              <w:rPr>
                <w:rFonts w:ascii="Tahoma" w:hAnsi="Tahoma"/>
                <w:b/>
                <w:noProof/>
                <w:sz w:val="20"/>
              </w:rPr>
              <w:t xml:space="preserve">Mi a kezdeményezés várható eredménye? </w:t>
            </w:r>
          </w:p>
        </w:tc>
      </w:tr>
      <w:tr w:rsidR="005218F7">
        <w:trPr>
          <w:trHeight w:val="727"/>
        </w:trPr>
        <w:tc>
          <w:tcPr>
            <w:tcW w:w="10188" w:type="dxa"/>
            <w:tcBorders>
              <w:bottom w:val="single" w:sz="4" w:space="0" w:color="auto"/>
            </w:tcBorders>
            <w:shd w:val="clear" w:color="auto" w:fill="auto"/>
          </w:tcPr>
          <w:p w:rsidR="005218F7" w:rsidRDefault="0006325F">
            <w:pPr>
              <w:jc w:val="both"/>
              <w:rPr>
                <w:rFonts w:ascii="Tahoma" w:hAnsi="Tahoma" w:cs="Tahoma"/>
                <w:noProof/>
                <w:sz w:val="20"/>
                <w:szCs w:val="20"/>
              </w:rPr>
            </w:pPr>
            <w:r>
              <w:rPr>
                <w:rFonts w:ascii="Tahoma" w:hAnsi="Tahoma"/>
                <w:noProof/>
                <w:sz w:val="20"/>
              </w:rPr>
              <w:t xml:space="preserve">A kezdeményezés a biztonság fokozását célozza az EU tagállamaikban és az egész Unióban, az illetékes hatóságok és a bűnözés súlyos formáinak megelőzéséért, nyomozásáért és a vádeljárás </w:t>
            </w:r>
            <w:r>
              <w:rPr>
                <w:rFonts w:ascii="Tahoma" w:hAnsi="Tahoma"/>
                <w:noProof/>
                <w:sz w:val="20"/>
              </w:rPr>
              <w:t>lefolytatásáért felelős szervek pénzügyi információkhoz (beleértve a bankszámlával kapcsolatos információkat is) való hozzáférésének javítása, a pénzügyi nyomozások és elemzések elvégzésére irányuló képességük fokozása és együttműködésük jobbítása révén. E</w:t>
            </w:r>
            <w:r>
              <w:rPr>
                <w:rFonts w:ascii="Tahoma" w:hAnsi="Tahoma"/>
                <w:noProof/>
                <w:sz w:val="20"/>
              </w:rPr>
              <w:t>zenfelül a kezdeményezés célja a pénzügyi információs egységek negyedik pénzmosás elleni irányelv szerinti feladatainak ellátására irányuló képességének erősítése.</w:t>
            </w:r>
          </w:p>
        </w:tc>
      </w:tr>
      <w:tr w:rsidR="005218F7">
        <w:tc>
          <w:tcPr>
            <w:tcW w:w="10188" w:type="dxa"/>
            <w:tcBorders>
              <w:bottom w:val="single" w:sz="4" w:space="0" w:color="auto"/>
            </w:tcBorders>
            <w:shd w:val="clear" w:color="auto" w:fill="E6E6E6"/>
          </w:tcPr>
          <w:p w:rsidR="005218F7" w:rsidRDefault="0006325F">
            <w:pPr>
              <w:pStyle w:val="Default"/>
              <w:jc w:val="both"/>
              <w:rPr>
                <w:rFonts w:ascii="Tahoma" w:hAnsi="Tahoma" w:cs="Tahoma"/>
                <w:noProof/>
                <w:sz w:val="20"/>
                <w:szCs w:val="20"/>
              </w:rPr>
            </w:pPr>
            <w:r>
              <w:rPr>
                <w:rFonts w:ascii="Tahoma" w:hAnsi="Tahoma"/>
                <w:b/>
                <w:noProof/>
                <w:sz w:val="20"/>
              </w:rPr>
              <w:t xml:space="preserve">Milyen többletértéket képvisel az uniós szintű fellépés? </w:t>
            </w:r>
          </w:p>
        </w:tc>
      </w:tr>
      <w:tr w:rsidR="005218F7">
        <w:trPr>
          <w:trHeight w:val="443"/>
        </w:trPr>
        <w:tc>
          <w:tcPr>
            <w:tcW w:w="10188" w:type="dxa"/>
            <w:tcBorders>
              <w:bottom w:val="single" w:sz="4" w:space="0" w:color="auto"/>
            </w:tcBorders>
            <w:shd w:val="clear" w:color="auto" w:fill="auto"/>
          </w:tcPr>
          <w:p w:rsidR="005218F7" w:rsidRDefault="0006325F">
            <w:pPr>
              <w:jc w:val="both"/>
              <w:rPr>
                <w:rFonts w:ascii="Tahoma" w:hAnsi="Tahoma" w:cs="Tahoma"/>
                <w:noProof/>
                <w:sz w:val="20"/>
                <w:szCs w:val="20"/>
              </w:rPr>
            </w:pPr>
            <w:r>
              <w:rPr>
                <w:rFonts w:ascii="Tahoma" w:hAnsi="Tahoma"/>
                <w:noProof/>
                <w:sz w:val="20"/>
              </w:rPr>
              <w:t xml:space="preserve">Az uniós fellépés harmonizált </w:t>
            </w:r>
            <w:r>
              <w:rPr>
                <w:rFonts w:ascii="Tahoma" w:hAnsi="Tahoma"/>
                <w:noProof/>
                <w:sz w:val="20"/>
              </w:rPr>
              <w:t xml:space="preserve">megközelítést biztosítana az illetékes hatóságok és szervek pénzügyi információkhoz való hozzáférésének megkönnyítése érdekében, a súlyos bűncselekmények elleni küzdelem céljából, illetve azért, hogy megerősítsék a pénzügyi információs egységek képességét </w:t>
            </w:r>
            <w:r>
              <w:rPr>
                <w:rFonts w:ascii="Tahoma" w:hAnsi="Tahoma"/>
                <w:noProof/>
                <w:sz w:val="20"/>
              </w:rPr>
              <w:t>a pénzmosás, az alapbűncselekmények és a terrorizmusfinanszírozás elleni küzdelemre. Figyelemmel e bűncselekmények határokon átnyúló vonatkozásaira, valamint arra, hogy ebből következően az illetékes hatóságoknak célszerűbb módon kell tudniuk hozzáférni az</w:t>
            </w:r>
            <w:r>
              <w:rPr>
                <w:rFonts w:ascii="Tahoma" w:hAnsi="Tahoma"/>
                <w:noProof/>
                <w:sz w:val="20"/>
              </w:rPr>
              <w:t xml:space="preserve"> elemzéseiket és nyomozásaikat szolgáló információkhoz, valamint hatékonyabban és eredményesebben kell együttműködniük mind nemzeti, mind határokon átnyúló szinten, szükség van az uniós szintű fellépésre annak érdekében, hogy megkönnyítsék a zökkenőmentes </w:t>
            </w:r>
            <w:r>
              <w:rPr>
                <w:rFonts w:ascii="Tahoma" w:hAnsi="Tahoma"/>
                <w:noProof/>
                <w:sz w:val="20"/>
              </w:rPr>
              <w:t>együttműködést a hatóságok között, valamint hogy lehetővé tegyék számukra a releváns információkhoz való hozzáférést és azok cseréjét.</w:t>
            </w:r>
          </w:p>
        </w:tc>
      </w:tr>
      <w:tr w:rsidR="005218F7">
        <w:tc>
          <w:tcPr>
            <w:tcW w:w="10188" w:type="dxa"/>
            <w:tcBorders>
              <w:bottom w:val="single" w:sz="4" w:space="0" w:color="auto"/>
            </w:tcBorders>
            <w:shd w:val="clear" w:color="auto" w:fill="CCCCCC"/>
          </w:tcPr>
          <w:p w:rsidR="005218F7" w:rsidRDefault="0006325F">
            <w:pPr>
              <w:spacing w:before="60" w:after="60"/>
              <w:jc w:val="center"/>
              <w:rPr>
                <w:rFonts w:ascii="Tahoma" w:hAnsi="Tahoma" w:cs="Tahoma"/>
                <w:b/>
                <w:noProof/>
                <w:sz w:val="20"/>
                <w:szCs w:val="20"/>
              </w:rPr>
            </w:pPr>
            <w:r>
              <w:rPr>
                <w:rFonts w:ascii="Tahoma" w:hAnsi="Tahoma"/>
                <w:b/>
                <w:noProof/>
                <w:sz w:val="20"/>
              </w:rPr>
              <w:t>B. Megoldások</w:t>
            </w:r>
          </w:p>
        </w:tc>
      </w:tr>
      <w:tr w:rsidR="005218F7">
        <w:tc>
          <w:tcPr>
            <w:tcW w:w="10188" w:type="dxa"/>
            <w:tcBorders>
              <w:bottom w:val="single" w:sz="4" w:space="0" w:color="auto"/>
            </w:tcBorders>
            <w:shd w:val="clear" w:color="auto" w:fill="E6E6E6"/>
          </w:tcPr>
          <w:p w:rsidR="005218F7" w:rsidRDefault="0006325F">
            <w:pPr>
              <w:pStyle w:val="Default"/>
              <w:jc w:val="both"/>
              <w:rPr>
                <w:rFonts w:ascii="Tahoma" w:hAnsi="Tahoma" w:cs="Tahoma"/>
                <w:noProof/>
                <w:sz w:val="20"/>
                <w:szCs w:val="20"/>
              </w:rPr>
            </w:pPr>
            <w:r>
              <w:rPr>
                <w:rFonts w:ascii="Tahoma" w:hAnsi="Tahoma"/>
                <w:b/>
                <w:noProof/>
                <w:sz w:val="20"/>
              </w:rPr>
              <w:t xml:space="preserve">Milyen jogalkotási és nem jogalkotási szakpolitikai alternatívák merültek fel? Van-e előnyben részesített megoldás? Miért? </w:t>
            </w:r>
          </w:p>
        </w:tc>
      </w:tr>
      <w:tr w:rsidR="005218F7">
        <w:trPr>
          <w:trHeight w:val="4278"/>
        </w:trPr>
        <w:tc>
          <w:tcPr>
            <w:tcW w:w="10188" w:type="dxa"/>
            <w:tcBorders>
              <w:bottom w:val="single" w:sz="4" w:space="0" w:color="auto"/>
            </w:tcBorders>
            <w:shd w:val="clear" w:color="auto" w:fill="auto"/>
          </w:tcPr>
          <w:p w:rsidR="005218F7" w:rsidRDefault="0006325F">
            <w:pPr>
              <w:pStyle w:val="Heading3"/>
              <w:numPr>
                <w:ilvl w:val="0"/>
                <w:numId w:val="0"/>
              </w:numPr>
              <w:outlineLvl w:val="2"/>
              <w:rPr>
                <w:rFonts w:ascii="Tahoma" w:hAnsi="Tahoma" w:cs="Tahoma"/>
                <w:i w:val="0"/>
                <w:noProof/>
                <w:sz w:val="20"/>
                <w:szCs w:val="20"/>
              </w:rPr>
            </w:pPr>
            <w:bookmarkStart w:id="2" w:name="_Toc485620419"/>
            <w:r>
              <w:rPr>
                <w:rFonts w:ascii="Tahoma" w:hAnsi="Tahoma"/>
                <w:i w:val="0"/>
                <w:noProof/>
                <w:sz w:val="20"/>
              </w:rPr>
              <w:lastRenderedPageBreak/>
              <w:t xml:space="preserve">A </w:t>
            </w:r>
            <w:r>
              <w:rPr>
                <w:rFonts w:ascii="Tahoma" w:hAnsi="Tahoma"/>
                <w:b/>
                <w:i w:val="0"/>
                <w:noProof/>
                <w:sz w:val="20"/>
              </w:rPr>
              <w:t>nem jogalkotási (0.) opció</w:t>
            </w:r>
            <w:r>
              <w:rPr>
                <w:rFonts w:ascii="Tahoma" w:hAnsi="Tahoma"/>
                <w:i w:val="0"/>
                <w:noProof/>
                <w:sz w:val="20"/>
              </w:rPr>
              <w:t xml:space="preserve"> mellett </w:t>
            </w:r>
            <w:r>
              <w:rPr>
                <w:rFonts w:ascii="Tahoma" w:hAnsi="Tahoma"/>
                <w:b/>
                <w:i w:val="0"/>
                <w:noProof/>
                <w:sz w:val="20"/>
              </w:rPr>
              <w:t>13 jogalkotási lehetőség</w:t>
            </w:r>
            <w:r>
              <w:rPr>
                <w:rFonts w:ascii="Tahoma" w:hAnsi="Tahoma"/>
                <w:i w:val="0"/>
                <w:noProof/>
                <w:sz w:val="20"/>
              </w:rPr>
              <w:t xml:space="preserve"> került megvizsgálása, amelyek a következők szerint csoportosíthatók: </w:t>
            </w:r>
          </w:p>
          <w:p w:rsidR="005218F7" w:rsidRDefault="0006325F">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A csoport: </w:t>
            </w:r>
            <w:r>
              <w:rPr>
                <w:b/>
                <w:noProof/>
              </w:rPr>
              <w:t xml:space="preserve">„MIÉRT” </w:t>
            </w:r>
            <w:r>
              <w:rPr>
                <w:noProof/>
              </w:rPr>
              <w:t>kell az illetékes hatóságoknak hozzáférniük a pénzügyi információkhoz és kicserélniük azokat?</w:t>
            </w:r>
          </w:p>
          <w:p w:rsidR="005218F7" w:rsidRDefault="0006325F">
            <w:pPr>
              <w:rPr>
                <w:rFonts w:ascii="Tahoma" w:hAnsi="Tahoma" w:cs="Tahoma"/>
                <w:noProof/>
                <w:sz w:val="20"/>
              </w:rPr>
            </w:pPr>
            <w:r>
              <w:rPr>
                <w:rFonts w:ascii="Tahoma" w:hAnsi="Tahoma"/>
                <w:b/>
                <w:noProof/>
                <w:sz w:val="20"/>
              </w:rPr>
              <w:t>A.1 megoldás:</w:t>
            </w:r>
            <w:r>
              <w:rPr>
                <w:rFonts w:ascii="Tahoma" w:hAnsi="Tahoma"/>
                <w:noProof/>
                <w:sz w:val="20"/>
              </w:rPr>
              <w:t xml:space="preserve"> kizárólag a pénzmosás, az alapbűncselekmények és a terrorizmusfinanszírozás megelőzése és az azok elleni küzdelem céljából.</w:t>
            </w:r>
          </w:p>
          <w:p w:rsidR="005218F7" w:rsidRDefault="0006325F">
            <w:pPr>
              <w:rPr>
                <w:rFonts w:ascii="Tahoma" w:hAnsi="Tahoma" w:cs="Tahoma"/>
                <w:noProof/>
                <w:sz w:val="20"/>
              </w:rPr>
            </w:pPr>
            <w:r>
              <w:rPr>
                <w:rFonts w:ascii="Tahoma" w:hAnsi="Tahoma"/>
                <w:b/>
                <w:noProof/>
                <w:sz w:val="20"/>
              </w:rPr>
              <w:t>A.</w:t>
            </w:r>
            <w:r>
              <w:rPr>
                <w:rFonts w:ascii="Tahoma" w:hAnsi="Tahoma"/>
                <w:b/>
                <w:noProof/>
                <w:sz w:val="20"/>
              </w:rPr>
              <w:t>2 megoldás:</w:t>
            </w:r>
            <w:r>
              <w:rPr>
                <w:rFonts w:ascii="Tahoma" w:hAnsi="Tahoma"/>
                <w:noProof/>
                <w:sz w:val="20"/>
              </w:rPr>
              <w:t xml:space="preserve"> kizárólag az EUMSZ 83. cikkének (1) bekezdésében meghatározott uniós dimenziójú bűncselekmények (eurocrimes) vonatkozásában.</w:t>
            </w:r>
          </w:p>
          <w:p w:rsidR="005218F7" w:rsidRDefault="0006325F">
            <w:pPr>
              <w:rPr>
                <w:rFonts w:ascii="Tahoma" w:hAnsi="Tahoma" w:cs="Tahoma"/>
                <w:noProof/>
                <w:sz w:val="20"/>
              </w:rPr>
            </w:pPr>
            <w:r>
              <w:rPr>
                <w:rFonts w:ascii="Tahoma" w:hAnsi="Tahoma"/>
                <w:b/>
                <w:noProof/>
                <w:sz w:val="20"/>
              </w:rPr>
              <w:t>A.3 megoldás:</w:t>
            </w:r>
            <w:r>
              <w:rPr>
                <w:rFonts w:ascii="Tahoma" w:hAnsi="Tahoma"/>
                <w:noProof/>
                <w:sz w:val="20"/>
              </w:rPr>
              <w:t xml:space="preserve"> az Europol-rendelet I. mellékletében meghatározott bűncselekményi formák vonatkozásában </w:t>
            </w:r>
          </w:p>
          <w:p w:rsidR="005218F7" w:rsidRDefault="0006325F">
            <w:pPr>
              <w:rPr>
                <w:rFonts w:ascii="Tahoma" w:hAnsi="Tahoma" w:cs="Tahoma"/>
                <w:noProof/>
                <w:sz w:val="20"/>
                <w:szCs w:val="20"/>
              </w:rPr>
            </w:pPr>
            <w:r>
              <w:rPr>
                <w:rFonts w:ascii="Tahoma" w:hAnsi="Tahoma"/>
                <w:noProof/>
                <w:sz w:val="20"/>
              </w:rPr>
              <w:t>•</w:t>
            </w:r>
            <w:r>
              <w:rPr>
                <w:noProof/>
              </w:rPr>
              <w:tab/>
            </w:r>
            <w:r>
              <w:rPr>
                <w:rFonts w:ascii="Tahoma" w:hAnsi="Tahoma"/>
                <w:b/>
                <w:noProof/>
                <w:sz w:val="20"/>
              </w:rPr>
              <w:t xml:space="preserve">B csoport </w:t>
            </w:r>
            <w:r>
              <w:rPr>
                <w:b/>
                <w:noProof/>
              </w:rPr>
              <w:t>„HOG</w:t>
            </w:r>
            <w:r>
              <w:rPr>
                <w:b/>
                <w:noProof/>
              </w:rPr>
              <w:t xml:space="preserve">YAN” </w:t>
            </w:r>
            <w:r>
              <w:rPr>
                <w:noProof/>
              </w:rPr>
              <w:t>kell a hatóságoknak hozzáférniük a pénzügyi információkhoz és kicserélniük azokat?</w:t>
            </w:r>
          </w:p>
          <w:p w:rsidR="005218F7" w:rsidRDefault="0006325F">
            <w:pPr>
              <w:rPr>
                <w:rFonts w:ascii="Tahoma" w:hAnsi="Tahoma" w:cs="Tahoma"/>
                <w:noProof/>
                <w:sz w:val="20"/>
              </w:rPr>
            </w:pPr>
            <w:r>
              <w:rPr>
                <w:b/>
                <w:noProof/>
              </w:rPr>
              <w:t>B.1 megoldás:</w:t>
            </w:r>
            <w:r>
              <w:rPr>
                <w:rFonts w:ascii="Tahoma" w:hAnsi="Tahoma"/>
                <w:noProof/>
                <w:sz w:val="20"/>
              </w:rPr>
              <w:t xml:space="preserve"> az illetékes hatóságok számára hozzáférés biztosítása a bankszámlákra vonatkozó nemzeti központi nyilvántartásokhoz, mégpedig 1) </w:t>
            </w:r>
            <w:r>
              <w:rPr>
                <w:rFonts w:ascii="Tahoma" w:hAnsi="Tahoma"/>
                <w:b/>
                <w:noProof/>
                <w:sz w:val="20"/>
              </w:rPr>
              <w:t>B.1.a részlehetőség:</w:t>
            </w:r>
            <w:r>
              <w:rPr>
                <w:rFonts w:ascii="Tahoma" w:hAnsi="Tahoma"/>
                <w:noProof/>
                <w:sz w:val="20"/>
              </w:rPr>
              <w:t xml:space="preserve"> közv</w:t>
            </w:r>
            <w:r>
              <w:rPr>
                <w:rFonts w:ascii="Tahoma" w:hAnsi="Tahoma"/>
                <w:noProof/>
                <w:sz w:val="20"/>
              </w:rPr>
              <w:t xml:space="preserve">etlen hozzáférés; 2) </w:t>
            </w:r>
            <w:r>
              <w:rPr>
                <w:rFonts w:ascii="Tahoma" w:hAnsi="Tahoma"/>
                <w:b/>
                <w:noProof/>
                <w:sz w:val="20"/>
              </w:rPr>
              <w:t>B.1.b. részlehetőség;</w:t>
            </w:r>
            <w:r>
              <w:rPr>
                <w:rFonts w:ascii="Tahoma" w:hAnsi="Tahoma"/>
                <w:noProof/>
                <w:sz w:val="20"/>
              </w:rPr>
              <w:t xml:space="preserve"> közvetett hozzáférés</w:t>
            </w:r>
          </w:p>
          <w:p w:rsidR="005218F7" w:rsidRDefault="0006325F">
            <w:pPr>
              <w:rPr>
                <w:rFonts w:ascii="Tahoma" w:hAnsi="Tahoma" w:cs="Tahoma"/>
                <w:noProof/>
                <w:sz w:val="20"/>
              </w:rPr>
            </w:pPr>
            <w:r>
              <w:rPr>
                <w:b/>
                <w:noProof/>
              </w:rPr>
              <w:t>B.2 megoldás:</w:t>
            </w:r>
            <w:r>
              <w:rPr>
                <w:rFonts w:ascii="Tahoma" w:hAnsi="Tahoma"/>
                <w:noProof/>
                <w:sz w:val="20"/>
              </w:rPr>
              <w:t xml:space="preserve"> az illetékes hatóságok számára hozzáférés biztosítása minden más pénzügyi információhoz, mégpedig 1) </w:t>
            </w:r>
            <w:r>
              <w:rPr>
                <w:rFonts w:ascii="Tahoma" w:hAnsi="Tahoma"/>
                <w:b/>
                <w:noProof/>
                <w:sz w:val="20"/>
              </w:rPr>
              <w:t>B.2.a részlehetőség:</w:t>
            </w:r>
            <w:r>
              <w:rPr>
                <w:rFonts w:ascii="Tahoma" w:hAnsi="Tahoma"/>
                <w:noProof/>
                <w:sz w:val="20"/>
              </w:rPr>
              <w:t xml:space="preserve"> közvetlen hozzáférés; 2) </w:t>
            </w:r>
            <w:r>
              <w:rPr>
                <w:rFonts w:ascii="Tahoma" w:hAnsi="Tahoma"/>
                <w:b/>
                <w:noProof/>
                <w:sz w:val="20"/>
              </w:rPr>
              <w:t>B.2.b. részlehetőség;</w:t>
            </w:r>
            <w:r>
              <w:rPr>
                <w:rFonts w:ascii="Tahoma" w:hAnsi="Tahoma"/>
                <w:noProof/>
                <w:sz w:val="20"/>
              </w:rPr>
              <w:t xml:space="preserve"> a pénzügy</w:t>
            </w:r>
            <w:r>
              <w:rPr>
                <w:rFonts w:ascii="Tahoma" w:hAnsi="Tahoma"/>
                <w:noProof/>
                <w:sz w:val="20"/>
              </w:rPr>
              <w:t>i információs egységeken keresztül.</w:t>
            </w:r>
          </w:p>
          <w:p w:rsidR="005218F7" w:rsidRDefault="0006325F">
            <w:pPr>
              <w:rPr>
                <w:rFonts w:ascii="Tahoma" w:hAnsi="Tahoma" w:cs="Tahoma"/>
                <w:noProof/>
                <w:sz w:val="20"/>
              </w:rPr>
            </w:pPr>
            <w:r>
              <w:rPr>
                <w:b/>
                <w:noProof/>
              </w:rPr>
              <w:t>B.3 megoldás:</w:t>
            </w:r>
            <w:r>
              <w:rPr>
                <w:rFonts w:ascii="Tahoma" w:hAnsi="Tahoma"/>
                <w:noProof/>
                <w:sz w:val="20"/>
              </w:rPr>
              <w:t xml:space="preserve"> intézkedések előírása a pénzügyi információs egységek közötti információcserét és a pénzügyi információs egységek illetékes hatóságok birtokában lévő információkhoz való hozzáférését és azok cseréjét illetően, mégpedig 1) </w:t>
            </w:r>
            <w:r>
              <w:rPr>
                <w:rFonts w:ascii="Tahoma" w:hAnsi="Tahoma"/>
                <w:b/>
                <w:noProof/>
                <w:sz w:val="20"/>
              </w:rPr>
              <w:t xml:space="preserve">B.3.a részlehetőség: </w:t>
            </w:r>
            <w:r>
              <w:rPr>
                <w:rFonts w:ascii="Tahoma" w:hAnsi="Tahoma"/>
                <w:noProof/>
                <w:sz w:val="20"/>
              </w:rPr>
              <w:t>közvetlen eg</w:t>
            </w:r>
            <w:r>
              <w:rPr>
                <w:rFonts w:ascii="Tahoma" w:hAnsi="Tahoma"/>
                <w:noProof/>
                <w:sz w:val="20"/>
              </w:rPr>
              <w:t xml:space="preserve">yüttműködés a pénzügyi információs egységek között; 2) </w:t>
            </w:r>
            <w:r>
              <w:rPr>
                <w:rFonts w:ascii="Tahoma" w:hAnsi="Tahoma"/>
                <w:b/>
                <w:noProof/>
                <w:sz w:val="20"/>
              </w:rPr>
              <w:t xml:space="preserve">B.3.b. részlehetőség; </w:t>
            </w:r>
            <w:r>
              <w:rPr>
                <w:rFonts w:ascii="Tahoma" w:hAnsi="Tahoma"/>
                <w:noProof/>
                <w:sz w:val="20"/>
              </w:rPr>
              <w:t>központi pénzügyi információs egység létrehozása.</w:t>
            </w:r>
          </w:p>
          <w:p w:rsidR="005218F7" w:rsidRDefault="0006325F">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C csoport </w:t>
            </w:r>
            <w:r>
              <w:rPr>
                <w:b/>
                <w:noProof/>
              </w:rPr>
              <w:t>„KI”:</w:t>
            </w:r>
            <w:r>
              <w:rPr>
                <w:noProof/>
              </w:rPr>
              <w:t xml:space="preserve"> mely hatóságokra alkalmazandók a feltételek?</w:t>
            </w:r>
          </w:p>
          <w:p w:rsidR="005218F7" w:rsidRDefault="0006325F">
            <w:pPr>
              <w:rPr>
                <w:rFonts w:ascii="Tahoma" w:hAnsi="Tahoma" w:cs="Tahoma"/>
                <w:noProof/>
                <w:sz w:val="20"/>
              </w:rPr>
            </w:pPr>
            <w:r>
              <w:rPr>
                <w:rFonts w:ascii="Tahoma" w:hAnsi="Tahoma"/>
                <w:b/>
                <w:noProof/>
                <w:sz w:val="20"/>
              </w:rPr>
              <w:t>C.1 megoldás:</w:t>
            </w:r>
            <w:r>
              <w:rPr>
                <w:rFonts w:ascii="Tahoma" w:hAnsi="Tahoma"/>
                <w:noProof/>
                <w:sz w:val="20"/>
              </w:rPr>
              <w:t xml:space="preserve"> a bűncselekmények megelőzésére, nyomozására és a vád</w:t>
            </w:r>
            <w:r>
              <w:rPr>
                <w:rFonts w:ascii="Tahoma" w:hAnsi="Tahoma"/>
                <w:noProof/>
                <w:sz w:val="20"/>
              </w:rPr>
              <w:t xml:space="preserve">eljárás lefolytatására hatáskörrel rendelkező hatóságok </w:t>
            </w:r>
          </w:p>
          <w:p w:rsidR="005218F7" w:rsidRDefault="0006325F">
            <w:pPr>
              <w:rPr>
                <w:rFonts w:ascii="Tahoma" w:hAnsi="Tahoma" w:cs="Tahoma"/>
                <w:noProof/>
                <w:sz w:val="20"/>
              </w:rPr>
            </w:pPr>
            <w:r>
              <w:rPr>
                <w:rFonts w:ascii="Tahoma" w:hAnsi="Tahoma"/>
                <w:b/>
                <w:noProof/>
                <w:sz w:val="20"/>
              </w:rPr>
              <w:t>C.2 megoldás:</w:t>
            </w:r>
            <w:r>
              <w:rPr>
                <w:rFonts w:ascii="Tahoma" w:hAnsi="Tahoma"/>
                <w:noProof/>
                <w:sz w:val="20"/>
              </w:rPr>
              <w:t xml:space="preserve"> a C.1. megoldás szerinti hatóságok, valamint 1) </w:t>
            </w:r>
            <w:r>
              <w:rPr>
                <w:rFonts w:ascii="Tahoma" w:hAnsi="Tahoma"/>
                <w:b/>
                <w:noProof/>
                <w:sz w:val="20"/>
              </w:rPr>
              <w:t>C.2.a részlehetőség:</w:t>
            </w:r>
            <w:r>
              <w:rPr>
                <w:rFonts w:ascii="Tahoma" w:hAnsi="Tahoma"/>
                <w:noProof/>
                <w:sz w:val="20"/>
              </w:rPr>
              <w:t xml:space="preserve"> a vagyon-visszaszerzési hivatalok; 2) </w:t>
            </w:r>
            <w:r>
              <w:rPr>
                <w:rFonts w:ascii="Tahoma" w:hAnsi="Tahoma"/>
                <w:b/>
                <w:noProof/>
                <w:sz w:val="20"/>
              </w:rPr>
              <w:t>C.2.b. részlehetőség;</w:t>
            </w:r>
            <w:r>
              <w:rPr>
                <w:rFonts w:ascii="Tahoma" w:hAnsi="Tahoma"/>
                <w:noProof/>
                <w:sz w:val="20"/>
              </w:rPr>
              <w:t xml:space="preserve"> az Europol; 3) </w:t>
            </w:r>
            <w:r>
              <w:rPr>
                <w:rFonts w:ascii="Tahoma" w:hAnsi="Tahoma"/>
                <w:b/>
                <w:noProof/>
                <w:sz w:val="20"/>
              </w:rPr>
              <w:t>C.2.c. részlehetőség;</w:t>
            </w:r>
            <w:r>
              <w:rPr>
                <w:rFonts w:ascii="Tahoma" w:hAnsi="Tahoma"/>
                <w:noProof/>
                <w:sz w:val="20"/>
              </w:rPr>
              <w:t xml:space="preserve"> az Európai Csalás E</w:t>
            </w:r>
            <w:r>
              <w:rPr>
                <w:rFonts w:ascii="Tahoma" w:hAnsi="Tahoma"/>
                <w:noProof/>
                <w:sz w:val="20"/>
              </w:rPr>
              <w:t>lleni Hivatal (OLAF).</w:t>
            </w:r>
          </w:p>
          <w:bookmarkEnd w:id="2"/>
          <w:p w:rsidR="005218F7" w:rsidRDefault="0006325F">
            <w:pPr>
              <w:rPr>
                <w:rFonts w:ascii="Tahoma" w:hAnsi="Tahoma" w:cs="Tahoma"/>
                <w:b/>
                <w:noProof/>
                <w:sz w:val="20"/>
                <w:szCs w:val="20"/>
              </w:rPr>
            </w:pPr>
            <w:r>
              <w:rPr>
                <w:rFonts w:ascii="Tahoma" w:hAnsi="Tahoma"/>
                <w:noProof/>
                <w:sz w:val="20"/>
              </w:rPr>
              <w:t xml:space="preserve">Az </w:t>
            </w:r>
            <w:r>
              <w:rPr>
                <w:rFonts w:ascii="Tahoma" w:hAnsi="Tahoma"/>
                <w:b/>
                <w:noProof/>
                <w:sz w:val="20"/>
              </w:rPr>
              <w:t>illetékes hatóságok bankszámlákra vonatkozó nyilvántartásokban szereplő információkhoz való hozzáférését</w:t>
            </w:r>
            <w:r>
              <w:rPr>
                <w:rFonts w:ascii="Tahoma" w:hAnsi="Tahoma"/>
                <w:noProof/>
                <w:sz w:val="20"/>
              </w:rPr>
              <w:t xml:space="preserve"> illetően az </w:t>
            </w:r>
            <w:r>
              <w:rPr>
                <w:rFonts w:ascii="Tahoma" w:hAnsi="Tahoma"/>
                <w:b/>
                <w:noProof/>
                <w:sz w:val="20"/>
              </w:rPr>
              <w:t>előnyben részesített szakpolitikai alternatíva</w:t>
            </w:r>
            <w:r>
              <w:rPr>
                <w:rFonts w:ascii="Tahoma" w:hAnsi="Tahoma"/>
                <w:noProof/>
                <w:sz w:val="20"/>
              </w:rPr>
              <w:t xml:space="preserve"> az </w:t>
            </w:r>
            <w:r>
              <w:rPr>
                <w:rFonts w:ascii="Tahoma" w:hAnsi="Tahoma"/>
                <w:b/>
                <w:noProof/>
                <w:sz w:val="20"/>
              </w:rPr>
              <w:t>A.3., B.1.a., C.2.a.</w:t>
            </w:r>
            <w:r>
              <w:rPr>
                <w:rFonts w:ascii="Tahoma" w:hAnsi="Tahoma"/>
                <w:noProof/>
                <w:sz w:val="20"/>
              </w:rPr>
              <w:t xml:space="preserve"> és </w:t>
            </w:r>
            <w:r>
              <w:rPr>
                <w:rFonts w:ascii="Tahoma" w:hAnsi="Tahoma"/>
                <w:b/>
                <w:noProof/>
                <w:sz w:val="20"/>
              </w:rPr>
              <w:t>C.2.b.</w:t>
            </w:r>
            <w:r>
              <w:rPr>
                <w:rFonts w:ascii="Tahoma" w:hAnsi="Tahoma"/>
                <w:noProof/>
                <w:sz w:val="20"/>
              </w:rPr>
              <w:t xml:space="preserve"> megoldások kombinációja.</w:t>
            </w:r>
          </w:p>
          <w:p w:rsidR="005218F7" w:rsidRDefault="0006325F">
            <w:pPr>
              <w:rPr>
                <w:rFonts w:ascii="Tahoma" w:hAnsi="Tahoma" w:cs="Tahoma"/>
                <w:b/>
                <w:noProof/>
                <w:sz w:val="20"/>
                <w:szCs w:val="20"/>
              </w:rPr>
            </w:pPr>
            <w:r>
              <w:rPr>
                <w:rFonts w:ascii="Tahoma" w:hAnsi="Tahoma"/>
                <w:noProof/>
                <w:sz w:val="20"/>
              </w:rPr>
              <w:t xml:space="preserve">Az </w:t>
            </w:r>
            <w:r>
              <w:rPr>
                <w:rFonts w:ascii="Tahoma" w:hAnsi="Tahoma"/>
                <w:b/>
                <w:noProof/>
                <w:sz w:val="20"/>
              </w:rPr>
              <w:t>illet</w:t>
            </w:r>
            <w:r>
              <w:rPr>
                <w:rFonts w:ascii="Tahoma" w:hAnsi="Tahoma"/>
                <w:b/>
                <w:noProof/>
                <w:sz w:val="20"/>
              </w:rPr>
              <w:t>ékes hatóságok további pénzügyi információkhoz való hozzáférését</w:t>
            </w:r>
            <w:r>
              <w:rPr>
                <w:rFonts w:ascii="Tahoma" w:hAnsi="Tahoma"/>
                <w:noProof/>
                <w:sz w:val="20"/>
              </w:rPr>
              <w:t xml:space="preserve"> illetően az </w:t>
            </w:r>
            <w:r>
              <w:rPr>
                <w:rFonts w:ascii="Tahoma" w:hAnsi="Tahoma"/>
                <w:b/>
                <w:noProof/>
                <w:sz w:val="20"/>
              </w:rPr>
              <w:t>előnyben részesített szakpolitikai alternatíva</w:t>
            </w:r>
            <w:r>
              <w:rPr>
                <w:rFonts w:ascii="Tahoma" w:hAnsi="Tahoma"/>
                <w:noProof/>
                <w:sz w:val="20"/>
              </w:rPr>
              <w:t xml:space="preserve"> az </w:t>
            </w:r>
            <w:r>
              <w:rPr>
                <w:rFonts w:ascii="Tahoma" w:hAnsi="Tahoma"/>
                <w:b/>
                <w:noProof/>
                <w:sz w:val="20"/>
              </w:rPr>
              <w:t>A.3., B.2.b.</w:t>
            </w:r>
            <w:r>
              <w:rPr>
                <w:rFonts w:ascii="Tahoma" w:hAnsi="Tahoma"/>
                <w:noProof/>
                <w:sz w:val="20"/>
              </w:rPr>
              <w:t xml:space="preserve"> és </w:t>
            </w:r>
            <w:r>
              <w:rPr>
                <w:rFonts w:ascii="Tahoma" w:hAnsi="Tahoma"/>
                <w:b/>
                <w:noProof/>
                <w:sz w:val="20"/>
              </w:rPr>
              <w:t>C.2.b.</w:t>
            </w:r>
            <w:r>
              <w:rPr>
                <w:rFonts w:ascii="Tahoma" w:hAnsi="Tahoma"/>
                <w:noProof/>
                <w:sz w:val="20"/>
              </w:rPr>
              <w:t xml:space="preserve"> megoldások kombinációja.</w:t>
            </w:r>
          </w:p>
          <w:p w:rsidR="005218F7" w:rsidRDefault="0006325F">
            <w:pPr>
              <w:rPr>
                <w:rFonts w:ascii="Tahoma" w:hAnsi="Tahoma" w:cs="Tahoma"/>
                <w:b/>
                <w:noProof/>
                <w:sz w:val="20"/>
                <w:szCs w:val="20"/>
              </w:rPr>
            </w:pPr>
            <w:r>
              <w:rPr>
                <w:rFonts w:ascii="Tahoma" w:hAnsi="Tahoma"/>
                <w:noProof/>
                <w:sz w:val="20"/>
              </w:rPr>
              <w:t xml:space="preserve">A </w:t>
            </w:r>
            <w:r>
              <w:rPr>
                <w:rFonts w:ascii="Tahoma" w:hAnsi="Tahoma"/>
                <w:b/>
                <w:noProof/>
                <w:sz w:val="20"/>
              </w:rPr>
              <w:t>pénzügyi információs egységek között határokon átnyúló együttműködés akadályain</w:t>
            </w:r>
            <w:r>
              <w:rPr>
                <w:rFonts w:ascii="Tahoma" w:hAnsi="Tahoma"/>
                <w:b/>
                <w:noProof/>
                <w:sz w:val="20"/>
              </w:rPr>
              <w:t>ak és a pénzügyi információs egységek belföldi bűnüldöző szerv partnerekkel való együttműködése során felmerült nehézségek kezelése</w:t>
            </w:r>
            <w:r>
              <w:rPr>
                <w:rFonts w:ascii="Tahoma" w:hAnsi="Tahoma"/>
                <w:noProof/>
                <w:sz w:val="20"/>
              </w:rPr>
              <w:t xml:space="preserve"> érdekében az előnyben részesített szakpolitikai alternatíva az </w:t>
            </w:r>
            <w:r>
              <w:rPr>
                <w:rFonts w:ascii="Tahoma" w:hAnsi="Tahoma"/>
                <w:b/>
                <w:noProof/>
                <w:sz w:val="20"/>
              </w:rPr>
              <w:t>A.1., B.2.b.</w:t>
            </w:r>
            <w:r>
              <w:rPr>
                <w:rFonts w:ascii="Tahoma" w:hAnsi="Tahoma"/>
                <w:noProof/>
                <w:sz w:val="20"/>
              </w:rPr>
              <w:t xml:space="preserve">, </w:t>
            </w:r>
            <w:r>
              <w:rPr>
                <w:rFonts w:ascii="Tahoma" w:hAnsi="Tahoma"/>
                <w:b/>
                <w:noProof/>
                <w:sz w:val="20"/>
              </w:rPr>
              <w:t>B.3.a.</w:t>
            </w:r>
            <w:r>
              <w:rPr>
                <w:rFonts w:ascii="Tahoma" w:hAnsi="Tahoma"/>
                <w:noProof/>
                <w:sz w:val="20"/>
              </w:rPr>
              <w:t xml:space="preserve"> és </w:t>
            </w:r>
            <w:r>
              <w:rPr>
                <w:rFonts w:ascii="Tahoma" w:hAnsi="Tahoma"/>
                <w:b/>
                <w:noProof/>
                <w:sz w:val="20"/>
              </w:rPr>
              <w:t>C.2.b.</w:t>
            </w:r>
            <w:r>
              <w:rPr>
                <w:rFonts w:ascii="Tahoma" w:hAnsi="Tahoma"/>
                <w:noProof/>
                <w:sz w:val="20"/>
              </w:rPr>
              <w:t xml:space="preserve"> megoldások kombinációja. </w:t>
            </w:r>
          </w:p>
        </w:tc>
      </w:tr>
    </w:tbl>
    <w:p w:rsidR="005218F7" w:rsidRDefault="005218F7">
      <w:pPr>
        <w:rPr>
          <w:noProof/>
        </w:rPr>
      </w:pPr>
    </w:p>
    <w:tbl>
      <w:tblPr>
        <w:tblStyle w:val="TableGrid"/>
        <w:tblW w:w="10188" w:type="dxa"/>
        <w:tblLook w:val="01E0" w:firstRow="1" w:lastRow="1" w:firstColumn="1" w:lastColumn="1" w:noHBand="0" w:noVBand="0"/>
      </w:tblPr>
      <w:tblGrid>
        <w:gridCol w:w="10188"/>
      </w:tblGrid>
      <w:tr w:rsidR="005218F7">
        <w:tc>
          <w:tcPr>
            <w:tcW w:w="10188" w:type="dxa"/>
            <w:shd w:val="clear" w:color="auto" w:fill="E6E6E6"/>
          </w:tcPr>
          <w:p w:rsidR="005218F7" w:rsidRDefault="0006325F">
            <w:pPr>
              <w:pStyle w:val="Default"/>
              <w:jc w:val="both"/>
              <w:rPr>
                <w:rFonts w:ascii="Tahoma" w:hAnsi="Tahoma" w:cs="Tahoma"/>
                <w:b/>
                <w:bCs/>
                <w:noProof/>
                <w:sz w:val="20"/>
                <w:szCs w:val="20"/>
              </w:rPr>
            </w:pPr>
            <w:r>
              <w:rPr>
                <w:rFonts w:ascii="Tahoma" w:hAnsi="Tahoma"/>
                <w:b/>
                <w:noProof/>
                <w:sz w:val="20"/>
              </w:rPr>
              <w:t xml:space="preserve">Ki támogatja az előnyben részesített lehetőséget? </w:t>
            </w:r>
          </w:p>
        </w:tc>
      </w:tr>
      <w:tr w:rsidR="005218F7">
        <w:trPr>
          <w:trHeight w:val="1592"/>
        </w:trPr>
        <w:tc>
          <w:tcPr>
            <w:tcW w:w="10188" w:type="dxa"/>
            <w:shd w:val="clear" w:color="auto" w:fill="auto"/>
          </w:tcPr>
          <w:p w:rsidR="005218F7" w:rsidRDefault="0006325F">
            <w:pPr>
              <w:jc w:val="both"/>
              <w:rPr>
                <w:rFonts w:ascii="Tahoma" w:hAnsi="Tahoma" w:cs="Tahoma"/>
                <w:noProof/>
                <w:sz w:val="20"/>
                <w:szCs w:val="20"/>
              </w:rPr>
            </w:pPr>
            <w:r>
              <w:rPr>
                <w:rFonts w:ascii="Tahoma" w:hAnsi="Tahoma"/>
                <w:noProof/>
                <w:sz w:val="20"/>
              </w:rPr>
              <w:t>Az érdekeltek egyetértettek abban, hogy a bankszámlákra vonatkozó központi nyilvántartásokhoz való hozzáférés elősegítené a bűnügyi nyomozások hatékonyságát, valamint lehetővé tenné a bankokhoz intézett nem célzott megkeresések által okozott költségek és a</w:t>
            </w:r>
            <w:r>
              <w:rPr>
                <w:rFonts w:ascii="Tahoma" w:hAnsi="Tahoma"/>
                <w:noProof/>
                <w:sz w:val="20"/>
              </w:rPr>
              <w:t>dminisztratív teher elkerülését. A nyilvános konzultáció során a legtöbb válaszadó egyetértett azzal, hogy biztosítsanak hozzáférést az illetékes hatóságoknak, a vagyon-visszaszerzési hivatalokat is beleértve. A tagállamok egyetértettek a pénzügyi informác</w:t>
            </w:r>
            <w:r>
              <w:rPr>
                <w:rFonts w:ascii="Tahoma" w:hAnsi="Tahoma"/>
                <w:noProof/>
                <w:sz w:val="20"/>
              </w:rPr>
              <w:t>iós egységek közötti együttműködés, valamint a pénzügyi információs egységek és illetékes hatóságok közötti információcsere megkönnyítésével. Egy nemrégiben készített Eurobarometer felmérés során a válaszadók 92%-a egyetértett azzal, hogy a nemzeti hatóság</w:t>
            </w:r>
            <w:r>
              <w:rPr>
                <w:rFonts w:ascii="Tahoma" w:hAnsi="Tahoma"/>
                <w:noProof/>
                <w:sz w:val="20"/>
              </w:rPr>
              <w:t xml:space="preserve">oknak meg kellene osztaniuk az információkat a többi tagállam hatóságaival, a bűncselekmények és a terrorizmus jobb megelőzése, illetve az ellenük folytatott hatékonyabb küzdelem érdekében. </w:t>
            </w:r>
          </w:p>
        </w:tc>
      </w:tr>
      <w:tr w:rsidR="005218F7">
        <w:tc>
          <w:tcPr>
            <w:tcW w:w="10188" w:type="dxa"/>
            <w:tcBorders>
              <w:bottom w:val="single" w:sz="4" w:space="0" w:color="auto"/>
            </w:tcBorders>
            <w:shd w:val="clear" w:color="auto" w:fill="CCCCCC"/>
          </w:tcPr>
          <w:p w:rsidR="005218F7" w:rsidRDefault="0006325F">
            <w:pPr>
              <w:spacing w:before="60" w:after="60"/>
              <w:jc w:val="center"/>
              <w:rPr>
                <w:rFonts w:ascii="Tahoma" w:hAnsi="Tahoma" w:cs="Tahoma"/>
                <w:b/>
                <w:noProof/>
                <w:sz w:val="20"/>
                <w:szCs w:val="20"/>
              </w:rPr>
            </w:pPr>
            <w:r>
              <w:rPr>
                <w:rFonts w:ascii="Tahoma" w:hAnsi="Tahoma"/>
                <w:b/>
                <w:noProof/>
                <w:sz w:val="20"/>
              </w:rPr>
              <w:t>C. Az előnyben részesített alternatíva hatásai</w:t>
            </w:r>
          </w:p>
        </w:tc>
      </w:tr>
      <w:tr w:rsidR="005218F7">
        <w:tc>
          <w:tcPr>
            <w:tcW w:w="10188" w:type="dxa"/>
            <w:tcBorders>
              <w:bottom w:val="single" w:sz="4" w:space="0" w:color="auto"/>
            </w:tcBorders>
            <w:shd w:val="clear" w:color="auto" w:fill="E6E6E6"/>
          </w:tcPr>
          <w:p w:rsidR="005218F7" w:rsidRDefault="0006325F">
            <w:pPr>
              <w:pStyle w:val="Default"/>
              <w:jc w:val="both"/>
              <w:rPr>
                <w:rFonts w:ascii="Tahoma" w:hAnsi="Tahoma" w:cs="Tahoma"/>
                <w:noProof/>
                <w:color w:val="auto"/>
                <w:sz w:val="20"/>
                <w:szCs w:val="20"/>
              </w:rPr>
            </w:pPr>
            <w:r>
              <w:rPr>
                <w:rFonts w:ascii="Tahoma" w:hAnsi="Tahoma"/>
                <w:b/>
                <w:noProof/>
                <w:color w:val="auto"/>
                <w:sz w:val="20"/>
              </w:rPr>
              <w:t>Melyek az előnyb</w:t>
            </w:r>
            <w:r>
              <w:rPr>
                <w:rFonts w:ascii="Tahoma" w:hAnsi="Tahoma"/>
                <w:b/>
                <w:noProof/>
                <w:color w:val="auto"/>
                <w:sz w:val="20"/>
              </w:rPr>
              <w:t xml:space="preserve">en részesített alternatíva (ha nincs ilyen, akkor a főbb lehetőségek) előnyei? </w:t>
            </w:r>
          </w:p>
        </w:tc>
      </w:tr>
      <w:tr w:rsidR="005218F7">
        <w:trPr>
          <w:trHeight w:val="1743"/>
        </w:trPr>
        <w:tc>
          <w:tcPr>
            <w:tcW w:w="10188" w:type="dxa"/>
            <w:tcBorders>
              <w:bottom w:val="single" w:sz="4" w:space="0" w:color="auto"/>
            </w:tcBorders>
            <w:shd w:val="clear" w:color="auto" w:fill="auto"/>
          </w:tcPr>
          <w:p w:rsidR="005218F7" w:rsidRDefault="0006325F">
            <w:pPr>
              <w:jc w:val="both"/>
              <w:rPr>
                <w:rFonts w:ascii="Tahoma" w:hAnsi="Tahoma" w:cs="Tahoma"/>
                <w:i/>
                <w:noProof/>
                <w:sz w:val="20"/>
                <w:szCs w:val="20"/>
              </w:rPr>
            </w:pPr>
            <w:r>
              <w:rPr>
                <w:rFonts w:ascii="Tahoma" w:hAnsi="Tahoma"/>
                <w:noProof/>
                <w:sz w:val="20"/>
              </w:rPr>
              <w:t>Az előnyben részesített alternatívától az várható, hogy jobb eszközöket biztosít az Unióban a biztonság növelése és a bűncselekmények elleni küzdelem céljára. Gyorsabb hozzáférést eredményezne az egyértelműen meghatározott pénzügyi információkhoz, valamint</w:t>
            </w:r>
            <w:r>
              <w:rPr>
                <w:rFonts w:ascii="Tahoma" w:hAnsi="Tahoma"/>
                <w:noProof/>
                <w:sz w:val="20"/>
              </w:rPr>
              <w:t xml:space="preserve"> hatékonyabb és eredményesebb együttműködést a pénzügyi információs egységek és az illetékes hatóságok között. Megerősítené az illetékes hatóságok, köztük a vagyon-visszaszerzési hivatalok és az Europol lehetőségét arra, hogy gyorsan hozzáférjenek a kulcsf</w:t>
            </w:r>
            <w:r>
              <w:rPr>
                <w:rFonts w:ascii="Tahoma" w:hAnsi="Tahoma"/>
                <w:noProof/>
                <w:sz w:val="20"/>
              </w:rPr>
              <w:t>ontosságú pénzügyi információkhoz, ami elengedhetetlen a pénzügyi nyomozásoknál. Az előnyben részesített alternatíva továbbá lényegesen javítaná a pénzügyi információs egységek pénzügyi elemzések készítésére irányuló képességét, a pénzmosás és a terrorizmu</w:t>
            </w:r>
            <w:r>
              <w:rPr>
                <w:rFonts w:ascii="Tahoma" w:hAnsi="Tahoma"/>
                <w:noProof/>
                <w:sz w:val="20"/>
              </w:rPr>
              <w:t xml:space="preserve">sfinanszírozás megelőzése céljából. Az előnyben részesített alternatíva növelné a nem célzott „általános” megkeresések küldéséhez és megválaszolásához kapcsolódó költségeket és adminisztratív terheket. </w:t>
            </w:r>
          </w:p>
        </w:tc>
      </w:tr>
      <w:tr w:rsidR="005218F7">
        <w:tc>
          <w:tcPr>
            <w:tcW w:w="10188" w:type="dxa"/>
            <w:tcBorders>
              <w:bottom w:val="single" w:sz="4" w:space="0" w:color="auto"/>
            </w:tcBorders>
            <w:shd w:val="clear" w:color="auto" w:fill="E6E6E6"/>
          </w:tcPr>
          <w:p w:rsidR="005218F7" w:rsidRDefault="0006325F">
            <w:pPr>
              <w:pStyle w:val="Default"/>
              <w:jc w:val="both"/>
              <w:rPr>
                <w:rFonts w:ascii="Tahoma" w:hAnsi="Tahoma" w:cs="Tahoma"/>
                <w:noProof/>
                <w:sz w:val="20"/>
                <w:szCs w:val="20"/>
              </w:rPr>
            </w:pPr>
            <w:r>
              <w:rPr>
                <w:rFonts w:ascii="Tahoma" w:hAnsi="Tahoma"/>
                <w:b/>
                <w:noProof/>
                <w:sz w:val="20"/>
              </w:rPr>
              <w:t>Milyen költségekkel jár az előnyben részesített alte</w:t>
            </w:r>
            <w:r>
              <w:rPr>
                <w:rFonts w:ascii="Tahoma" w:hAnsi="Tahoma"/>
                <w:b/>
                <w:noProof/>
                <w:sz w:val="20"/>
              </w:rPr>
              <w:t xml:space="preserve">rnatíva (ha nincs ilyen, akkor milyen költségekkel járnak a főbb lehetőségek)? </w:t>
            </w:r>
          </w:p>
        </w:tc>
      </w:tr>
      <w:tr w:rsidR="005218F7">
        <w:trPr>
          <w:trHeight w:val="800"/>
        </w:trPr>
        <w:tc>
          <w:tcPr>
            <w:tcW w:w="10188" w:type="dxa"/>
            <w:tcBorders>
              <w:bottom w:val="single" w:sz="4" w:space="0" w:color="auto"/>
            </w:tcBorders>
            <w:shd w:val="clear" w:color="auto" w:fill="auto"/>
          </w:tcPr>
          <w:p w:rsidR="005218F7" w:rsidRDefault="0006325F">
            <w:pPr>
              <w:jc w:val="both"/>
              <w:rPr>
                <w:rFonts w:ascii="Tahoma" w:hAnsi="Tahoma" w:cs="Tahoma"/>
                <w:i/>
                <w:noProof/>
                <w:sz w:val="20"/>
                <w:szCs w:val="20"/>
              </w:rPr>
            </w:pPr>
            <w:r>
              <w:rPr>
                <w:rFonts w:ascii="Tahoma" w:hAnsi="Tahoma"/>
                <w:noProof/>
                <w:sz w:val="20"/>
              </w:rPr>
              <w:t>Az előnyben részesített alternatíva végrehajtásának – a központi bankszámla-nyilvántartásokhoz és adat-visszanyerési rendszerekhez való közvetlen hozzáférés biztosítása – egys</w:t>
            </w:r>
            <w:r>
              <w:rPr>
                <w:rFonts w:ascii="Tahoma" w:hAnsi="Tahoma"/>
                <w:noProof/>
                <w:sz w:val="20"/>
              </w:rPr>
              <w:t>zeri költségeit 5 000 EUR és 30 000 EUR közé teszik (e számokat meg kell szorozni a központi központi-nyilvántartásokhoz és adat-visszanyerési rendszerekhez kapcsolandó hatóságok számával). Főként a  pénzügyi információs egységeket terheli a információkhoz</w:t>
            </w:r>
            <w:r>
              <w:rPr>
                <w:rFonts w:ascii="Tahoma" w:hAnsi="Tahoma"/>
                <w:noProof/>
                <w:sz w:val="20"/>
              </w:rPr>
              <w:t xml:space="preserve"> való, rajtuk keresztül történő hozzáférés költségei. </w:t>
            </w:r>
          </w:p>
        </w:tc>
      </w:tr>
      <w:tr w:rsidR="005218F7">
        <w:tc>
          <w:tcPr>
            <w:tcW w:w="10188" w:type="dxa"/>
            <w:tcBorders>
              <w:bottom w:val="single" w:sz="4" w:space="0" w:color="auto"/>
            </w:tcBorders>
            <w:shd w:val="clear" w:color="auto" w:fill="E6E6E6"/>
          </w:tcPr>
          <w:p w:rsidR="005218F7" w:rsidRDefault="0006325F">
            <w:pPr>
              <w:pStyle w:val="Default"/>
              <w:keepNext/>
              <w:jc w:val="both"/>
              <w:rPr>
                <w:rFonts w:ascii="Tahoma" w:hAnsi="Tahoma" w:cs="Tahoma"/>
                <w:noProof/>
                <w:sz w:val="20"/>
                <w:szCs w:val="20"/>
              </w:rPr>
            </w:pPr>
            <w:r>
              <w:rPr>
                <w:rFonts w:ascii="Tahoma" w:hAnsi="Tahoma"/>
                <w:b/>
                <w:noProof/>
                <w:sz w:val="20"/>
              </w:rPr>
              <w:t xml:space="preserve">Hogyan érinti a fellépés a vállalkozásokat, köztük a kis- és középvállalkozásokat és a mikrovállalkozásokat? </w:t>
            </w:r>
          </w:p>
        </w:tc>
      </w:tr>
      <w:tr w:rsidR="005218F7">
        <w:trPr>
          <w:trHeight w:val="683"/>
        </w:trPr>
        <w:tc>
          <w:tcPr>
            <w:tcW w:w="10188" w:type="dxa"/>
            <w:tcBorders>
              <w:bottom w:val="single" w:sz="4" w:space="0" w:color="auto"/>
            </w:tcBorders>
            <w:shd w:val="clear" w:color="auto" w:fill="auto"/>
          </w:tcPr>
          <w:p w:rsidR="005218F7" w:rsidRDefault="0006325F">
            <w:pPr>
              <w:jc w:val="both"/>
              <w:rPr>
                <w:rFonts w:ascii="Tahoma" w:hAnsi="Tahoma" w:cs="Tahoma"/>
                <w:noProof/>
                <w:sz w:val="20"/>
                <w:szCs w:val="20"/>
              </w:rPr>
            </w:pPr>
            <w:r>
              <w:rPr>
                <w:rFonts w:ascii="Tahoma" w:hAnsi="Tahoma"/>
                <w:noProof/>
                <w:sz w:val="20"/>
              </w:rPr>
              <w:t>Nincsenek előirányozva a bankszektort érintő többletköltségek. Éppen ellenkezőleg, e kezdeményezés jelentős pénzügyi megtakarítást eredményezne a bankoknál, mivel nem kellene feldolgozniuk és megválaszolniuk az illetékes hatóságoktól érkező általános megke</w:t>
            </w:r>
            <w:r>
              <w:rPr>
                <w:rFonts w:ascii="Tahoma" w:hAnsi="Tahoma"/>
                <w:noProof/>
                <w:sz w:val="20"/>
              </w:rPr>
              <w:t xml:space="preserve">reséseket. A kis- és középvállalkozások, valamint mikrovállalkozások vonatkozásában nem várhatók különös hatások. </w:t>
            </w:r>
          </w:p>
        </w:tc>
      </w:tr>
      <w:tr w:rsidR="005218F7">
        <w:tc>
          <w:tcPr>
            <w:tcW w:w="10188" w:type="dxa"/>
            <w:tcBorders>
              <w:bottom w:val="single" w:sz="4" w:space="0" w:color="auto"/>
            </w:tcBorders>
            <w:shd w:val="clear" w:color="auto" w:fill="E6E6E6"/>
          </w:tcPr>
          <w:p w:rsidR="005218F7" w:rsidRDefault="0006325F">
            <w:pPr>
              <w:pStyle w:val="Default"/>
              <w:jc w:val="both"/>
              <w:rPr>
                <w:rFonts w:ascii="Tahoma" w:hAnsi="Tahoma" w:cs="Tahoma"/>
                <w:noProof/>
                <w:sz w:val="20"/>
                <w:szCs w:val="20"/>
              </w:rPr>
            </w:pPr>
            <w:r>
              <w:rPr>
                <w:rFonts w:ascii="Tahoma" w:hAnsi="Tahoma"/>
                <w:b/>
                <w:noProof/>
                <w:sz w:val="20"/>
              </w:rPr>
              <w:t xml:space="preserve">Jelentős lesz-e a tagállamok költségvetésére és közigazgatására gyakorolt hatás? </w:t>
            </w:r>
          </w:p>
        </w:tc>
      </w:tr>
      <w:tr w:rsidR="005218F7">
        <w:trPr>
          <w:trHeight w:val="1004"/>
        </w:trPr>
        <w:tc>
          <w:tcPr>
            <w:tcW w:w="10188" w:type="dxa"/>
            <w:shd w:val="clear" w:color="auto" w:fill="auto"/>
          </w:tcPr>
          <w:p w:rsidR="005218F7" w:rsidRDefault="0006325F">
            <w:pPr>
              <w:jc w:val="both"/>
              <w:rPr>
                <w:rFonts w:ascii="Tahoma" w:hAnsi="Tahoma" w:cs="Tahoma"/>
                <w:noProof/>
                <w:color w:val="FF0000"/>
                <w:sz w:val="20"/>
                <w:szCs w:val="20"/>
              </w:rPr>
            </w:pPr>
            <w:r>
              <w:rPr>
                <w:rFonts w:ascii="Tahoma" w:hAnsi="Tahoma"/>
                <w:noProof/>
                <w:sz w:val="20"/>
              </w:rPr>
              <w:t xml:space="preserve">A bankszámlákra vonatkozó központi nyilvántartásokhoz és </w:t>
            </w:r>
            <w:r>
              <w:rPr>
                <w:rFonts w:ascii="Tahoma" w:hAnsi="Tahoma"/>
                <w:noProof/>
                <w:sz w:val="20"/>
              </w:rPr>
              <w:t>adat-visszanyerési rendszerekhez való közvetlen hozzáférés, valamint a pénzügyi információkhoz a pénzügyi információs egységeken keresztül történő hozzáférés költségei hatással lesznek a nemzeti költségvetésekre és közigazgatási szervekre. E költségeket ug</w:t>
            </w:r>
            <w:r>
              <w:rPr>
                <w:rFonts w:ascii="Tahoma" w:hAnsi="Tahoma"/>
                <w:noProof/>
                <w:sz w:val="20"/>
              </w:rPr>
              <w:t>yanakkor ellentételezi az illetékes hatóságok jelenlegi adminisztratív és pénzügyi költségeinek csökkenése, valamint a pénzügyi információs egységek között és az illetékes hatóságokkal folytatott hatékonyabb együttműködés által eredményezett költségmegtaka</w:t>
            </w:r>
            <w:r>
              <w:rPr>
                <w:rFonts w:ascii="Tahoma" w:hAnsi="Tahoma"/>
                <w:noProof/>
                <w:sz w:val="20"/>
              </w:rPr>
              <w:t>rítások.</w:t>
            </w:r>
          </w:p>
        </w:tc>
      </w:tr>
      <w:tr w:rsidR="005218F7">
        <w:tc>
          <w:tcPr>
            <w:tcW w:w="10188" w:type="dxa"/>
            <w:tcBorders>
              <w:bottom w:val="single" w:sz="4" w:space="0" w:color="auto"/>
            </w:tcBorders>
            <w:shd w:val="clear" w:color="auto" w:fill="E6E6E6"/>
          </w:tcPr>
          <w:p w:rsidR="005218F7" w:rsidRDefault="0006325F">
            <w:pPr>
              <w:pStyle w:val="Default"/>
              <w:jc w:val="both"/>
              <w:rPr>
                <w:rFonts w:ascii="Tahoma" w:hAnsi="Tahoma" w:cs="Tahoma"/>
                <w:noProof/>
                <w:sz w:val="20"/>
                <w:szCs w:val="20"/>
              </w:rPr>
            </w:pPr>
            <w:r>
              <w:rPr>
                <w:rFonts w:ascii="Tahoma" w:hAnsi="Tahoma"/>
                <w:b/>
                <w:noProof/>
                <w:sz w:val="20"/>
              </w:rPr>
              <w:t xml:space="preserve">Lesznek-e egyéb jelentős hatások? </w:t>
            </w:r>
          </w:p>
        </w:tc>
      </w:tr>
      <w:tr w:rsidR="005218F7">
        <w:trPr>
          <w:trHeight w:val="553"/>
        </w:trPr>
        <w:tc>
          <w:tcPr>
            <w:tcW w:w="10188" w:type="dxa"/>
            <w:tcBorders>
              <w:bottom w:val="single" w:sz="4" w:space="0" w:color="auto"/>
            </w:tcBorders>
            <w:shd w:val="clear" w:color="auto" w:fill="auto"/>
          </w:tcPr>
          <w:p w:rsidR="005218F7" w:rsidRDefault="0006325F">
            <w:pPr>
              <w:jc w:val="both"/>
              <w:rPr>
                <w:rFonts w:ascii="Tahoma" w:hAnsi="Tahoma" w:cs="Tahoma"/>
                <w:noProof/>
                <w:sz w:val="20"/>
                <w:szCs w:val="20"/>
              </w:rPr>
            </w:pPr>
            <w:r>
              <w:rPr>
                <w:rFonts w:ascii="Tahoma" w:hAnsi="Tahoma"/>
                <w:noProof/>
                <w:sz w:val="20"/>
              </w:rPr>
              <w:t>A javasolt intézkedések kihatással lesznek az alapvető jogokra: a személyes adatok védelméhez való jogba való beavatkozás a minimumra szorítkozik, mivel a hozzáférés korlátozott és csak a releváns hatóságokat célozza, ami biztosítja az arányosságot. Lehető</w:t>
            </w:r>
            <w:r>
              <w:rPr>
                <w:rFonts w:ascii="Tahoma" w:hAnsi="Tahoma"/>
                <w:noProof/>
                <w:sz w:val="20"/>
              </w:rPr>
              <w:t>vé teszik a közvetlen hozzáférést a bankszámlákra vonatkozó központi nyilvántartásokhoz és adat-visszanyerési rendszerekhez, mivel ezek korlátozott információkat tartalmaznak. A más típusú pénzügyi információkhoz a pénzügyi információs egységeken keresztül</w:t>
            </w:r>
            <w:r>
              <w:rPr>
                <w:rFonts w:ascii="Tahoma" w:hAnsi="Tahoma"/>
                <w:noProof/>
                <w:sz w:val="20"/>
              </w:rPr>
              <w:t xml:space="preserve"> lehet hozzáférni. Az előnyben részesített alternatívák nem haladják meg a célkitűzések eléréséhez szükséges mértéket, és azok uniós szinten a legkisebb beavatkozást jelentő jogalkotási aktusoknak tekinthetők, a Bíróság által megállapított követelményeknek</w:t>
            </w:r>
            <w:r>
              <w:rPr>
                <w:rFonts w:ascii="Tahoma" w:hAnsi="Tahoma"/>
                <w:noProof/>
                <w:sz w:val="20"/>
              </w:rPr>
              <w:t xml:space="preserve"> megfelelően. A jövőbeli jogalkotási tervezet nem érintene semmilyen nemzeti jogban rögzített eljárási garanciát, továbbá szigorú garanciákat tartalmazna, ezáltal tovább enyhítve az alapvető jogokra gyakorolt bármilyen negatív hatást. </w:t>
            </w:r>
          </w:p>
        </w:tc>
      </w:tr>
      <w:tr w:rsidR="005218F7">
        <w:tc>
          <w:tcPr>
            <w:tcW w:w="10188" w:type="dxa"/>
            <w:tcBorders>
              <w:bottom w:val="single" w:sz="4" w:space="0" w:color="auto"/>
            </w:tcBorders>
            <w:shd w:val="clear" w:color="auto" w:fill="C0C0C0"/>
          </w:tcPr>
          <w:p w:rsidR="005218F7" w:rsidRDefault="0006325F">
            <w:pPr>
              <w:spacing w:before="60" w:after="60"/>
              <w:jc w:val="center"/>
              <w:rPr>
                <w:rFonts w:ascii="Tahoma" w:hAnsi="Tahoma" w:cs="Tahoma"/>
                <w:b/>
                <w:noProof/>
                <w:sz w:val="20"/>
                <w:szCs w:val="20"/>
              </w:rPr>
            </w:pPr>
            <w:r>
              <w:rPr>
                <w:rFonts w:ascii="Tahoma" w:hAnsi="Tahoma"/>
                <w:b/>
                <w:noProof/>
                <w:sz w:val="20"/>
              </w:rPr>
              <w:t>D. További lépések</w:t>
            </w:r>
          </w:p>
        </w:tc>
      </w:tr>
      <w:tr w:rsidR="005218F7">
        <w:tc>
          <w:tcPr>
            <w:tcW w:w="10188" w:type="dxa"/>
            <w:tcBorders>
              <w:bottom w:val="single" w:sz="4" w:space="0" w:color="auto"/>
            </w:tcBorders>
            <w:shd w:val="clear" w:color="auto" w:fill="E6E6E6"/>
          </w:tcPr>
          <w:p w:rsidR="005218F7" w:rsidRDefault="0006325F">
            <w:pPr>
              <w:pStyle w:val="Default"/>
              <w:jc w:val="both"/>
              <w:rPr>
                <w:rFonts w:ascii="Tahoma" w:hAnsi="Tahoma" w:cs="Tahoma"/>
                <w:noProof/>
                <w:sz w:val="20"/>
                <w:szCs w:val="20"/>
              </w:rPr>
            </w:pPr>
            <w:r>
              <w:rPr>
                <w:rFonts w:ascii="Tahoma" w:hAnsi="Tahoma"/>
                <w:b/>
                <w:noProof/>
                <w:sz w:val="20"/>
              </w:rPr>
              <w:t xml:space="preserve">Mikor kerül sor a szakpolitikai fellépés felülvizsgálatára? </w:t>
            </w:r>
          </w:p>
        </w:tc>
      </w:tr>
      <w:tr w:rsidR="005218F7">
        <w:trPr>
          <w:trHeight w:val="850"/>
        </w:trPr>
        <w:tc>
          <w:tcPr>
            <w:tcW w:w="10188" w:type="dxa"/>
            <w:tcBorders>
              <w:bottom w:val="single" w:sz="4" w:space="0" w:color="auto"/>
            </w:tcBorders>
            <w:shd w:val="clear" w:color="auto" w:fill="auto"/>
          </w:tcPr>
          <w:p w:rsidR="005218F7" w:rsidRDefault="0006325F">
            <w:pPr>
              <w:jc w:val="both"/>
              <w:rPr>
                <w:rFonts w:ascii="Tahoma" w:hAnsi="Tahoma" w:cs="Tahoma"/>
                <w:noProof/>
                <w:color w:val="FF0000"/>
                <w:sz w:val="20"/>
                <w:szCs w:val="20"/>
              </w:rPr>
            </w:pPr>
            <w:r>
              <w:rPr>
                <w:rFonts w:ascii="Tahoma" w:hAnsi="Tahoma"/>
                <w:noProof/>
                <w:sz w:val="20"/>
              </w:rPr>
              <w:t xml:space="preserve">A Bizottság nyomon követi a javasolt jogalkotási eszköz hatékony végrehajtását és a tagállamokkal, valamint az érintettekkel folytatott konzultációk alapján a javasolt intézkedések elfogadását </w:t>
            </w:r>
            <w:r>
              <w:rPr>
                <w:rFonts w:ascii="Tahoma" w:hAnsi="Tahoma"/>
                <w:noProof/>
                <w:sz w:val="20"/>
              </w:rPr>
              <w:t xml:space="preserve">követő három éven belül értékeli azok eredményeit a célokhoz képest, továbbá a kezelendő problémákat.  </w:t>
            </w:r>
          </w:p>
        </w:tc>
      </w:tr>
    </w:tbl>
    <w:p w:rsidR="005218F7" w:rsidRPr="0006325F" w:rsidRDefault="005218F7">
      <w:pPr>
        <w:rPr>
          <w:rFonts w:ascii="Tahoma" w:hAnsi="Tahoma" w:cs="Tahoma"/>
          <w:noProof/>
          <w:sz w:val="20"/>
          <w:szCs w:val="20"/>
        </w:rPr>
      </w:pPr>
    </w:p>
    <w:sectPr w:rsidR="005218F7" w:rsidRPr="0006325F">
      <w:headerReference w:type="even" r:id="rId16"/>
      <w:headerReference w:type="default" r:id="rId17"/>
      <w:footerReference w:type="even" r:id="rId18"/>
      <w:footerReference w:type="default" r:id="rId19"/>
      <w:headerReference w:type="first" r:id="rId20"/>
      <w:footerReference w:type="first" r:id="rId21"/>
      <w:pgSz w:w="11906" w:h="16838" w:code="9"/>
      <w:pgMar w:top="1276" w:right="567" w:bottom="624" w:left="1134" w:header="284"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F7" w:rsidRDefault="0006325F">
      <w:r>
        <w:separator/>
      </w:r>
    </w:p>
  </w:endnote>
  <w:endnote w:type="continuationSeparator" w:id="0">
    <w:p w:rsidR="005218F7" w:rsidRDefault="0006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5F" w:rsidRPr="0006325F" w:rsidRDefault="0006325F" w:rsidP="00063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5F" w:rsidRPr="0006325F" w:rsidRDefault="0006325F" w:rsidP="0006325F">
    <w:pPr>
      <w:pStyle w:val="FooterCoverPage"/>
      <w:rPr>
        <w:rFonts w:ascii="Arial" w:hAnsi="Arial" w:cs="Arial"/>
        <w:b/>
        <w:sz w:val="48"/>
      </w:rPr>
    </w:pPr>
    <w:r w:rsidRPr="0006325F">
      <w:rPr>
        <w:rFonts w:ascii="Arial" w:hAnsi="Arial" w:cs="Arial"/>
        <w:b/>
        <w:sz w:val="48"/>
      </w:rPr>
      <w:t>HU</w:t>
    </w:r>
    <w:r w:rsidRPr="0006325F">
      <w:rPr>
        <w:rFonts w:ascii="Arial" w:hAnsi="Arial" w:cs="Arial"/>
        <w:b/>
        <w:sz w:val="48"/>
      </w:rPr>
      <w:tab/>
    </w:r>
    <w:r w:rsidRPr="0006325F">
      <w:rPr>
        <w:rFonts w:ascii="Arial" w:hAnsi="Arial" w:cs="Arial"/>
        <w:b/>
        <w:sz w:val="48"/>
      </w:rPr>
      <w:tab/>
    </w:r>
    <w:r w:rsidRPr="0006325F">
      <w:tab/>
    </w:r>
    <w:r w:rsidRPr="0006325F">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5F" w:rsidRPr="0006325F" w:rsidRDefault="0006325F" w:rsidP="0006325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F7" w:rsidRDefault="005218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07112"/>
      <w:docPartObj>
        <w:docPartGallery w:val="Page Numbers (Bottom of Page)"/>
        <w:docPartUnique/>
      </w:docPartObj>
    </w:sdtPr>
    <w:sdtEndPr>
      <w:rPr>
        <w:noProof/>
      </w:rPr>
    </w:sdtEndPr>
    <w:sdtContent>
      <w:p w:rsidR="005218F7" w:rsidRDefault="0006325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218F7" w:rsidRDefault="005218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3681"/>
      <w:docPartObj>
        <w:docPartGallery w:val="Page Numbers (Bottom of Page)"/>
        <w:docPartUnique/>
      </w:docPartObj>
    </w:sdtPr>
    <w:sdtEndPr>
      <w:rPr>
        <w:noProof/>
      </w:rPr>
    </w:sdtEndPr>
    <w:sdtContent>
      <w:p w:rsidR="005218F7" w:rsidRDefault="000632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218F7" w:rsidRDefault="005218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F7" w:rsidRDefault="0006325F">
      <w:r>
        <w:separator/>
      </w:r>
    </w:p>
  </w:footnote>
  <w:footnote w:type="continuationSeparator" w:id="0">
    <w:p w:rsidR="005218F7" w:rsidRDefault="00063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5F" w:rsidRPr="0006325F" w:rsidRDefault="0006325F" w:rsidP="00063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5F" w:rsidRPr="0006325F" w:rsidRDefault="0006325F" w:rsidP="0006325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5F" w:rsidRPr="0006325F" w:rsidRDefault="0006325F" w:rsidP="0006325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F7" w:rsidRDefault="005218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F7" w:rsidRDefault="005218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F7" w:rsidRDefault="005218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9F9"/>
    <w:multiLevelType w:val="hybridMultilevel"/>
    <w:tmpl w:val="56C685BE"/>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97121"/>
    <w:multiLevelType w:val="hybridMultilevel"/>
    <w:tmpl w:val="D99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F748F"/>
    <w:multiLevelType w:val="hybridMultilevel"/>
    <w:tmpl w:val="51D2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C177A"/>
    <w:multiLevelType w:val="hybridMultilevel"/>
    <w:tmpl w:val="0862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71725"/>
    <w:multiLevelType w:val="hybridMultilevel"/>
    <w:tmpl w:val="373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12FA4"/>
    <w:multiLevelType w:val="multilevel"/>
    <w:tmpl w:val="5F407CF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val="0"/>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902B09"/>
    <w:multiLevelType w:val="hybridMultilevel"/>
    <w:tmpl w:val="68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6516B"/>
    <w:multiLevelType w:val="hybridMultilevel"/>
    <w:tmpl w:val="5BDA153C"/>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mely a következ\u337? dokumentumot kíséri"/>
    <w:docVar w:name="LW_CORRIGENDUM" w:val="&lt;UNUSED&gt;"/>
    <w:docVar w:name="LW_COVERPAGE_EXISTS" w:val="True"/>
    <w:docVar w:name="LW_COVERPAGE_GUID" w:val="87A555D0-763A-420F-9615-FEBF9A96721A"/>
    <w:docVar w:name="LW_COVERPAGE_TYPE" w:val="1"/>
    <w:docVar w:name="LW_CROSSREFERENCE" w:val="{COM(2018) 213 final}_x000d__x000a_{SWD(2018) 114 final}"/>
    <w:docVar w:name="LW_DocType" w:val="NORMAL"/>
    <w:docVar w:name="LW_EMISSION" w:val="2018.4.17."/>
    <w:docVar w:name="LW_EMISSION_ISODATE" w:val="2018-04-17"/>
    <w:docVar w:name="LW_EMISSION_LOCATION" w:val="BRX"/>
    <w:docVar w:name="LW_EMISSION_PREFIX" w:val="Strasbourg,"/>
    <w:docVar w:name="LW_EMISSION_SUFFIX" w:val="&lt;EMPTY&gt;"/>
    <w:docVar w:name="LW_ID_DOCTYPE_NONLW" w:val="CP-027"/>
    <w:docVar w:name="LW_LANGUE" w:val="HU"/>
    <w:docVar w:name="LW_LEVEL_OF_SENSITIVITY" w:val="Standard treatment"/>
    <w:docVar w:name="LW_NOM.INST" w:val="EURÓPAI BIZOTTSÁG"/>
    <w:docVar w:name="LW_NOM.INST_JOINTDOC" w:val="&lt;EMPTY&gt;"/>
    <w:docVar w:name="LW_OBJETACTEPRINCIPAL.CP" w:val="a pénzügyi és egyéb információk bizonyos b\u369?ncselekmények megel\u337?zése, felderítése, nyomozása és a vádeljárás lefolytatása céljából történ\u337? felhasználásának megkönnyítését szolgáló szabályokról, valamint a 2000/642/IB tanácsi határozat hatályon kívül helyezésér\u337?l_x000b_"/>
    <w:docVar w:name="LW_PART_NBR" w:val="1"/>
    <w:docVar w:name="LW_PART_NBR_TOTAL" w:val="1"/>
    <w:docVar w:name="LW_REF.INST.NEW" w:val="SWD"/>
    <w:docVar w:name="LW_REF.INST.NEW_ADOPTED" w:val="final"/>
    <w:docVar w:name="LW_REF.INST.NEW_TEXT" w:val="(2018)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BIZOTTSÁGI SZOLGÁLATI MUNKADOKUMENTUM_x000b__x000b_A HATÁSVIZSGÁLAT VEZET\u336?I ÖSSZEFOGLALÓJA_x000b_"/>
    <w:docVar w:name="LW_TYPEACTEPRINCIPAL.CP" w:val="Javaslat_x000b_AZ EURÓPAI PARLAMENT ÉS A TANÁCS IRÁNYELVE"/>
  </w:docVars>
  <w:rsids>
    <w:rsidRoot w:val="005218F7"/>
    <w:rsid w:val="0006325F"/>
    <w:rsid w:val="005218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hu-HU"/>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hu-HU"/>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hu-HU"/>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hu-HU"/>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hu-HU"/>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hu-HU"/>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u-HU"/>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hu-HU"/>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hu-HU"/>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hu-HU"/>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hu-HU"/>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hu-HU"/>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hu-HU"/>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u-HU"/>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6A6D-5955-42E1-AE4B-349BF7C4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1262</Words>
  <Characters>9709</Characters>
  <Application>Microsoft Office Word</Application>
  <DocSecurity>0</DocSecurity>
  <Lines>133</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18</cp:revision>
  <cp:lastPrinted>2018-03-30T13:10:00Z</cp:lastPrinted>
  <dcterms:created xsi:type="dcterms:W3CDTF">2018-04-11T13:11:00Z</dcterms:created>
  <dcterms:modified xsi:type="dcterms:W3CDTF">2018-05-16T09:21:00Z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