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7548AA1-D9D4-4246-B5E5-B3C512D2CC1B" style="width:450.35pt;height:379.7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PartTitle"/>
        <w:rPr>
          <w:rStyle w:val="Added"/>
          <w:b/>
          <w:noProof/>
          <w:sz w:val="28"/>
          <w:szCs w:val="28"/>
        </w:rPr>
      </w:pPr>
      <w:bookmarkStart w:id="1" w:name="_Toc290299541"/>
      <w:bookmarkStart w:id="2" w:name="_Toc293654091"/>
      <w:bookmarkStart w:id="3" w:name="_Toc295473810"/>
      <w:bookmarkStart w:id="4" w:name="_Toc297024232"/>
      <w:bookmarkStart w:id="5" w:name="_GoBack"/>
      <w:bookmarkEnd w:id="5"/>
      <w:r>
        <w:rPr>
          <w:noProof/>
          <w:sz w:val="28"/>
        </w:rPr>
        <w:lastRenderedPageBreak/>
        <w:t xml:space="preserve">BILAGA – </w:t>
      </w:r>
      <w:r>
        <w:rPr>
          <w:rStyle w:val="Added"/>
          <w:b/>
          <w:noProof/>
          <w:sz w:val="28"/>
        </w:rPr>
        <w:t xml:space="preserve">INTERINSTITUTIONELLT </w:t>
      </w:r>
      <w:bookmarkEnd w:id="1"/>
      <w:r>
        <w:rPr>
          <w:rStyle w:val="Added"/>
          <w:b/>
          <w:noProof/>
          <w:sz w:val="28"/>
        </w:rPr>
        <w:t>SAMARBETE UNDER BUDGETFÖRFARANDET</w:t>
      </w:r>
      <w:bookmarkEnd w:id="2"/>
      <w:bookmarkEnd w:id="3"/>
      <w:bookmarkEnd w:id="4"/>
    </w:p>
    <w:p>
      <w:pPr>
        <w:pStyle w:val="ManualHeading2"/>
        <w:rPr>
          <w:noProof/>
        </w:rPr>
      </w:pPr>
      <w:bookmarkStart w:id="6" w:name="_Toc290299542"/>
      <w:bookmarkStart w:id="7" w:name="_Toc293653752"/>
      <w:bookmarkStart w:id="8" w:name="_Toc293654092"/>
      <w:bookmarkStart w:id="9" w:name="_Toc294520485"/>
      <w:bookmarkStart w:id="10" w:name="_Toc294520591"/>
      <w:bookmarkStart w:id="11" w:name="_Toc295473811"/>
      <w:bookmarkStart w:id="12" w:name="_Toc297024233"/>
      <w:r>
        <w:rPr>
          <w:noProof/>
        </w:rPr>
        <w:t>Del A. Tidsplan för budgetförfarandet</w:t>
      </w:r>
      <w:bookmarkEnd w:id="6"/>
      <w:bookmarkEnd w:id="7"/>
      <w:bookmarkEnd w:id="8"/>
      <w:bookmarkEnd w:id="9"/>
      <w:bookmarkEnd w:id="10"/>
      <w:bookmarkEnd w:id="11"/>
      <w:bookmarkEnd w:id="12"/>
    </w:p>
    <w:p>
      <w:pPr>
        <w:pStyle w:val="NumPar1"/>
        <w:numPr>
          <w:ilvl w:val="0"/>
          <w:numId w:val="5"/>
        </w:numPr>
        <w:rPr>
          <w:noProof/>
        </w:rPr>
      </w:pPr>
      <w:r>
        <w:rPr>
          <w:noProof/>
          <w:sz w:val="22"/>
        </w:rPr>
        <w:t>Institutionerna ska varje år enas om en pragmatisk tidsplan i god tid innan budgetförfarandet inleds på grundval av nuvarande praxis.</w:t>
      </w:r>
    </w:p>
    <w:p>
      <w:pPr>
        <w:pStyle w:val="ManualHeading2"/>
        <w:rPr>
          <w:noProof/>
        </w:rPr>
      </w:pPr>
      <w:bookmarkStart w:id="13" w:name="_Toc290299543"/>
      <w:bookmarkStart w:id="14" w:name="_Toc293653753"/>
      <w:bookmarkStart w:id="15" w:name="_Toc293654093"/>
      <w:bookmarkStart w:id="16" w:name="_Toc294520486"/>
      <w:bookmarkStart w:id="17" w:name="_Toc294520592"/>
      <w:bookmarkStart w:id="18" w:name="_Toc295473812"/>
      <w:bookmarkStart w:id="19" w:name="_Toc297024234"/>
      <w:r>
        <w:rPr>
          <w:noProof/>
        </w:rPr>
        <w:t xml:space="preserve">Del B. </w:t>
      </w:r>
      <w:bookmarkEnd w:id="13"/>
      <w:bookmarkEnd w:id="14"/>
      <w:bookmarkEnd w:id="15"/>
      <w:bookmarkEnd w:id="16"/>
      <w:bookmarkEnd w:id="17"/>
      <w:bookmarkEnd w:id="18"/>
      <w:bookmarkEnd w:id="19"/>
      <w:r>
        <w:rPr>
          <w:noProof/>
        </w:rPr>
        <w:t>Prioriteringar under budgetförfarandet</w:t>
      </w:r>
    </w:p>
    <w:p>
      <w:pPr>
        <w:pStyle w:val="NumPar1"/>
        <w:rPr>
          <w:noProof/>
        </w:rPr>
      </w:pPr>
      <w:r>
        <w:rPr>
          <w:noProof/>
        </w:rPr>
        <w:t>I god tid innan kommissionen antar budgetförslaget ska det sammankallas ett trepartsmöte för att diskutera möjliga prioriteringar för det kommande budgetåret.</w:t>
      </w:r>
    </w:p>
    <w:p>
      <w:pPr>
        <w:pStyle w:val="ManualHeading2"/>
        <w:rPr>
          <w:noProof/>
        </w:rPr>
      </w:pPr>
      <w:bookmarkStart w:id="20" w:name="_Toc290299544"/>
      <w:bookmarkStart w:id="21" w:name="_Toc293653754"/>
      <w:bookmarkStart w:id="22" w:name="_Toc293654094"/>
      <w:bookmarkStart w:id="23" w:name="_Toc294520487"/>
      <w:bookmarkStart w:id="24" w:name="_Toc294520593"/>
      <w:bookmarkStart w:id="25" w:name="_Toc295473813"/>
      <w:bookmarkStart w:id="26" w:name="_Toc297024235"/>
      <w:r>
        <w:rPr>
          <w:noProof/>
        </w:rPr>
        <w:t xml:space="preserve">Del C. </w:t>
      </w:r>
      <w:bookmarkEnd w:id="20"/>
      <w:bookmarkEnd w:id="21"/>
      <w:bookmarkEnd w:id="22"/>
      <w:bookmarkEnd w:id="23"/>
      <w:bookmarkEnd w:id="24"/>
      <w:bookmarkEnd w:id="25"/>
      <w:bookmarkEnd w:id="26"/>
      <w:r>
        <w:rPr>
          <w:noProof/>
        </w:rPr>
        <w:t>Upprättande av budgetförslaget och uppdatering av beräkningar</w:t>
      </w:r>
    </w:p>
    <w:p>
      <w:pPr>
        <w:pStyle w:val="NumPar1"/>
        <w:rPr>
          <w:noProof/>
        </w:rPr>
      </w:pPr>
      <w:r>
        <w:rPr>
          <w:noProof/>
        </w:rPr>
        <w:t>Institutionerna, med undantag för kommissionen, uppmanas att anta sina budgetberäkningar före mars månads utgång.</w:t>
      </w:r>
    </w:p>
    <w:p>
      <w:pPr>
        <w:pStyle w:val="NumPar1"/>
        <w:rPr>
          <w:noProof/>
        </w:rPr>
      </w:pPr>
      <w:r>
        <w:rPr>
          <w:noProof/>
        </w:rPr>
        <w:t>Kommissionen ska varje år lägga fram ett budgetförslag som svarar mot unionens faktiska finansieringsbehov.</w:t>
      </w:r>
    </w:p>
    <w:p>
      <w:pPr>
        <w:pStyle w:val="Text1"/>
        <w:rPr>
          <w:noProof/>
        </w:rPr>
      </w:pPr>
      <w:r>
        <w:rPr>
          <w:noProof/>
        </w:rPr>
        <w:t>Den ska ta hänsyn till</w:t>
      </w:r>
    </w:p>
    <w:p>
      <w:pPr>
        <w:pStyle w:val="Point1letter"/>
        <w:rPr>
          <w:noProof/>
        </w:rPr>
      </w:pPr>
      <w:r>
        <w:rPr>
          <w:noProof/>
        </w:rPr>
        <w:t>medlemsstaternas prognoser över behoven av medel från strukturfonderna,</w:t>
      </w:r>
    </w:p>
    <w:p>
      <w:pPr>
        <w:pStyle w:val="Point1letter"/>
        <w:rPr>
          <w:noProof/>
        </w:rPr>
      </w:pPr>
      <w:r>
        <w:rPr>
          <w:noProof/>
        </w:rPr>
        <w:t>kapaciteten att utnyttja anslag, men samtidigt sträva efter att noggrant kontrollera förhållandet mellan åtagandebemyndiganden och betalningsbemyndiganden,</w:t>
      </w:r>
    </w:p>
    <w:p>
      <w:pPr>
        <w:pStyle w:val="Point1letter"/>
        <w:rPr>
          <w:noProof/>
        </w:rPr>
      </w:pPr>
      <w:r>
        <w:rPr>
          <w:noProof/>
        </w:rPr>
        <w:t>möjligheterna att ta nya politiska initiativ genom pilotåtgärder, nya förberedande åtgärder eller båda, eller att förlänga giltigheten av fleråriga åtgärder som löper ut, efter en bedömning av förutsättningarna att anta en grundläggande rättsakt, i den mening som avses i budgetförordningen (definition av grundläggande rättsakt, behovet av en grundläggande rättsakt för genomförandet samt undantag),</w:t>
      </w:r>
    </w:p>
    <w:p>
      <w:pPr>
        <w:pStyle w:val="Point1letter"/>
        <w:rPr>
          <w:noProof/>
        </w:rPr>
      </w:pPr>
      <w:r>
        <w:rPr>
          <w:noProof/>
        </w:rPr>
        <w:t>behovet av att säkerställa att utgifternas utveckling i förhållande till föregående budgetår överensstämmer med kraven på budgetdisciplin.</w:t>
      </w:r>
    </w:p>
    <w:p>
      <w:pPr>
        <w:pStyle w:val="NumPar1"/>
        <w:rPr>
          <w:noProof/>
        </w:rPr>
      </w:pPr>
      <w:r>
        <w:rPr>
          <w:noProof/>
        </w:rPr>
        <w:t>Institutionerna ska i möjligaste mån undvika att föra in poster i budgeten som avser obetydliga driftsutgifter.</w:t>
      </w:r>
    </w:p>
    <w:p>
      <w:pPr>
        <w:pStyle w:val="NumPar1"/>
        <w:rPr>
          <w:noProof/>
        </w:rPr>
      </w:pPr>
      <w:r>
        <w:rPr>
          <w:noProof/>
        </w:rPr>
        <w:t>Europaparlamentet och rådet förpliktar sig också att ta hänsyn till den bedömning av möjligheterna att genomföra budgeten som kommissionen har gjort i samband med de budgetförslag som den har lagt fram och i samband med genomförandet av pågående års budget.</w:t>
      </w:r>
    </w:p>
    <w:p>
      <w:pPr>
        <w:pStyle w:val="NumPar1"/>
        <w:rPr>
          <w:noProof/>
        </w:rPr>
      </w:pPr>
      <w:r>
        <w:rPr>
          <w:noProof/>
        </w:rPr>
        <w:t>För att säkerställa en sund ekonomisk förvaltning och på grund av de effekter som betydande förändringar av kontoplanens avdelningar och kapitel kan få för de rapporteringskrav som åligger kommissionens avdelningar under genomförandet av budgeten, förpliktar sig Europaparlamentet och rådet att diskutera eventuella förslag till sådana större ändringar med kommissionen i samband med förlikningen.</w:t>
      </w:r>
    </w:p>
    <w:p>
      <w:pPr>
        <w:pStyle w:val="NumPar1"/>
        <w:rPr>
          <w:noProof/>
        </w:rPr>
      </w:pPr>
      <w:r>
        <w:rPr>
          <w:noProof/>
        </w:rPr>
        <w:t>För att säkerställa ett lojalt och nära samarbete mellan institutionerna förbinder sig Europaparlamentet och rådet att upprätthålla regelbundna och aktiva kontakter på alla nivåer genom sina respektive förhandlare, under hela budgetförfarandet och särskilt under förlikningsperioden. Europaparlamentet och rådet förpliktar sig att säkerställa ett kontinuerligt ömsesidigt utbyte av relevant information och relevanta dokument i tid, på både formell och informell nivå, liksom att vid behov under förlikningsperioden hålla tekniska eller informella möten i samarbete med kommissionen. Kommissionen ska se till att Europaparlamentet och rådet i tid får lika tillgång till information och dokument.</w:t>
      </w:r>
    </w:p>
    <w:p>
      <w:pPr>
        <w:pStyle w:val="NumPar1"/>
        <w:rPr>
          <w:noProof/>
        </w:rPr>
      </w:pPr>
      <w:r>
        <w:rPr>
          <w:noProof/>
        </w:rPr>
        <w:t>Fram till dess att förlikningskommittén sammankallas får kommissionen i enlighet med artikel 314.2 i EUF-fördraget vid behov lägga fram ändringsskrivelser genom vilka budgetförslaget ändras, inbegripet en ändringsskrivelse med uppdaterade utgiftsberäkningar på jordbruksområdet. Så snart som uppgifterna är tillgängliga ska kommissionen överlämna dessa uppdaterade beräkningar till Europaparlamentet och rådet för granskning. Kommissionen ska ställa all nödvändig dokumentation till Europarlamentets och rådets förfogande.</w:t>
      </w:r>
    </w:p>
    <w:p>
      <w:pPr>
        <w:pStyle w:val="ManualHeading2"/>
        <w:rPr>
          <w:noProof/>
        </w:rPr>
      </w:pPr>
      <w:bookmarkStart w:id="27" w:name="_Toc290299545"/>
      <w:bookmarkStart w:id="28" w:name="_Toc293653755"/>
      <w:bookmarkStart w:id="29" w:name="_Toc293654095"/>
      <w:bookmarkStart w:id="30" w:name="_Toc294520488"/>
      <w:bookmarkStart w:id="31" w:name="_Toc294520594"/>
      <w:bookmarkStart w:id="32" w:name="_Toc295473814"/>
      <w:bookmarkStart w:id="33" w:name="_Toc297024236"/>
      <w:r>
        <w:rPr>
          <w:noProof/>
        </w:rPr>
        <w:t xml:space="preserve">Del D. </w:t>
      </w:r>
      <w:bookmarkEnd w:id="27"/>
      <w:bookmarkEnd w:id="28"/>
      <w:bookmarkEnd w:id="29"/>
      <w:bookmarkEnd w:id="30"/>
      <w:bookmarkEnd w:id="31"/>
      <w:bookmarkEnd w:id="32"/>
      <w:bookmarkEnd w:id="33"/>
      <w:r>
        <w:rPr>
          <w:noProof/>
        </w:rPr>
        <w:t>Budgetförfarande före förlikningsförfarandet</w:t>
      </w:r>
    </w:p>
    <w:p>
      <w:pPr>
        <w:pStyle w:val="NumPar1"/>
        <w:rPr>
          <w:noProof/>
        </w:rPr>
      </w:pPr>
      <w:r>
        <w:rPr>
          <w:noProof/>
        </w:rPr>
        <w:t>Ett trepartsmöte ska sammankallas i god tid före rådets behandling för att institutionerna ska ha möjlighet att utbyta synpunkter om kommissionens förslag.</w:t>
      </w:r>
    </w:p>
    <w:p>
      <w:pPr>
        <w:pStyle w:val="NumPar1"/>
        <w:rPr>
          <w:noProof/>
        </w:rPr>
      </w:pPr>
      <w:r>
        <w:rPr>
          <w:noProof/>
        </w:rPr>
        <w:t>För att kommissionen ska få tillräckligt med tid för att bedöma genomförbarheten hos de ändringar som Europaparlamentet och rådet vill införa och som ger upphov till nya förberedande åtgärder eller pilotprojekt eller som förlänger sådana som redan finns, ska Europaparlamentet och rådet underrätta kommissionen om sina avsikter i detta avseende, så att en första diskussion kan äga rum redan vid det trepartsmötet.</w:t>
      </w:r>
    </w:p>
    <w:p>
      <w:pPr>
        <w:pStyle w:val="NumPar1"/>
        <w:rPr>
          <w:noProof/>
        </w:rPr>
      </w:pPr>
      <w:r>
        <w:rPr>
          <w:noProof/>
        </w:rPr>
        <w:t>Ett trepartsmöte kan sammankallas före Europaparlamentets omröstning i plenum.</w:t>
      </w:r>
    </w:p>
    <w:p>
      <w:pPr>
        <w:pStyle w:val="ManualHeading2"/>
        <w:rPr>
          <w:rStyle w:val="Added"/>
          <w:b/>
          <w:noProof/>
        </w:rPr>
      </w:pPr>
      <w:bookmarkStart w:id="34" w:name="_Toc290299546"/>
      <w:bookmarkStart w:id="35" w:name="_Toc293653756"/>
      <w:bookmarkStart w:id="36" w:name="_Toc293654096"/>
      <w:bookmarkStart w:id="37" w:name="_Toc294520489"/>
      <w:bookmarkStart w:id="38" w:name="_Toc294520595"/>
      <w:bookmarkStart w:id="39" w:name="_Toc295473815"/>
      <w:bookmarkStart w:id="40" w:name="_Toc297024237"/>
      <w:r>
        <w:rPr>
          <w:noProof/>
        </w:rPr>
        <w:t xml:space="preserve">Del E. </w:t>
      </w:r>
      <w:bookmarkEnd w:id="34"/>
      <w:bookmarkEnd w:id="35"/>
      <w:bookmarkEnd w:id="36"/>
      <w:bookmarkEnd w:id="37"/>
      <w:bookmarkEnd w:id="38"/>
      <w:bookmarkEnd w:id="39"/>
      <w:bookmarkEnd w:id="40"/>
      <w:r>
        <w:rPr>
          <w:noProof/>
        </w:rPr>
        <w:t>Förlikningsförfarande</w:t>
      </w:r>
    </w:p>
    <w:p>
      <w:pPr>
        <w:pStyle w:val="NumPar1"/>
        <w:rPr>
          <w:noProof/>
        </w:rPr>
      </w:pPr>
      <w:r>
        <w:rPr>
          <w:noProof/>
        </w:rPr>
        <w:t>Om Europaparlamentet antar ändringar till rådets ståndpunkt ska rådets ordförande under samma plenarsammanträde notera skillnaderna mellan de två institutionernas ståndpunkter och ge sitt samtycke till att Europaparlamentets ordförande utan dröjsmål sammankallar förlikningskommittén. Skrivelsen om sammankallande av förlikningskommittén ska skickas senast den första arbetsdagen i veckan efter den sammanträdesperiod då parlamentets omröstning skedde, och förlikningen ska inledas följande dag. De 21 dagar som förlikningen får pågå ska beräknas enligt rådets förordning (EEG/Euratom) nr 1182/71 (</w:t>
      </w:r>
      <w:r>
        <w:rPr>
          <w:rStyle w:val="FootnoteReference"/>
          <w:noProof/>
        </w:rPr>
        <w:footnoteReference w:id="1"/>
      </w:r>
      <w:r>
        <w:rPr>
          <w:noProof/>
        </w:rPr>
        <w:t>).</w:t>
      </w:r>
    </w:p>
    <w:p>
      <w:pPr>
        <w:pStyle w:val="NumPar1"/>
        <w:rPr>
          <w:noProof/>
        </w:rPr>
      </w:pPr>
      <w:r>
        <w:rPr>
          <w:noProof/>
        </w:rPr>
        <w:t>Om rådet inte kan komma överens om alla de ändringar som Europaparlamentet antagit bör det bekräfta sin ståndpunkt genom en skrivelse som ska skickas före det första mötet som ska hållas under förlikningsperioden. I sådana fall ska förlikningskommittén fortsätta sitt arbete enligt villkoren i följande punkter.</w:t>
      </w:r>
    </w:p>
    <w:p>
      <w:pPr>
        <w:pStyle w:val="NumPar1"/>
        <w:rPr>
          <w:noProof/>
        </w:rPr>
      </w:pPr>
      <w:r>
        <w:rPr>
          <w:noProof/>
        </w:rPr>
        <w:t>Ordförandeskapet i förlikningskommittén ska innehas gemensamt av företrädare för Europaparlamentet och rådet. Medordföranden från den institution som står värd för förlikningskommitténs möte ska vara mötets ordförande. Varje institution ska i enlighet med sin arbetsordning utse sina företrädare för varje möte och fastställa sitt förhandlingsmandat. Europaparlamentet och rådet ska företrädas på en lämplig nivå i förlikningskommittén så att varje delegation kan göra politiska åtaganden för sin institution så att enighet kan uppnås.</w:t>
      </w:r>
    </w:p>
    <w:p>
      <w:pPr>
        <w:pStyle w:val="NumPar1"/>
        <w:rPr>
          <w:noProof/>
        </w:rPr>
      </w:pPr>
      <w:r>
        <w:rPr>
          <w:noProof/>
        </w:rPr>
        <w:t>I enlighet med artikel 314.5 andra stycket i EUF-fördraget ska kommissionen delta i förlikningskommitténs arbete och ta alla nödvändiga initiativ för att närma Europaparlamentets och rådets ståndpunkter till varandra.</w:t>
      </w:r>
    </w:p>
    <w:p>
      <w:pPr>
        <w:pStyle w:val="NumPar1"/>
        <w:rPr>
          <w:noProof/>
        </w:rPr>
      </w:pPr>
      <w:r>
        <w:rPr>
          <w:noProof/>
        </w:rPr>
        <w:t>Trepartsmöten ska hållas under hela förlikningsförfarandet med olika företrädare för att lösa de frågor som kvarstår och skapa förutsättningar för enighet i förlikningskommittén.</w:t>
      </w:r>
    </w:p>
    <w:p>
      <w:pPr>
        <w:pStyle w:val="NumPar1"/>
        <w:rPr>
          <w:noProof/>
        </w:rPr>
      </w:pPr>
      <w:r>
        <w:rPr>
          <w:noProof/>
        </w:rPr>
        <w:t>Förlikningskommitténs möten och trepartsmötena ska växelvis äga rum i Europaparlamentets och rådets lokaler så att båda institutionerna på ett rättvist sätt bidrar med de tjänster som behövs, inbegripet tolkning.</w:t>
      </w:r>
    </w:p>
    <w:p>
      <w:pPr>
        <w:pStyle w:val="NumPar1"/>
        <w:rPr>
          <w:noProof/>
        </w:rPr>
      </w:pPr>
      <w:r>
        <w:rPr>
          <w:noProof/>
        </w:rPr>
        <w:t>Datumen för förlikningskommitténs möten och trepartsmötena ska fastställas på förhand genom överenskommelse mellan de tre institutionerna.</w:t>
      </w:r>
    </w:p>
    <w:p>
      <w:pPr>
        <w:pStyle w:val="NumPar1"/>
        <w:rPr>
          <w:noProof/>
        </w:rPr>
      </w:pPr>
      <w:r>
        <w:rPr>
          <w:noProof/>
        </w:rPr>
        <w:t xml:space="preserve">En gemensam uppsättning dokument (nedan kallade </w:t>
      </w:r>
      <w:r>
        <w:rPr>
          <w:i/>
          <w:noProof/>
        </w:rPr>
        <w:t>bakgrundsdokument</w:t>
      </w:r>
      <w:r>
        <w:rPr>
          <w:noProof/>
        </w:rPr>
        <w:t>) där de olika skedena i budgetförfarandet jämförs ska ställas till förlikningskommitténs förfogande (</w:t>
      </w:r>
      <w:r>
        <w:rPr>
          <w:rStyle w:val="FootnoteReference"/>
          <w:noProof/>
          <w:sz w:val="22"/>
        </w:rPr>
        <w:footnoteReference w:id="2"/>
      </w:r>
      <w:r>
        <w:rPr>
          <w:noProof/>
        </w:rPr>
        <w:t>). Dessa dokument ska inbegripa sifferuppgifter per enskild budgetpost, totalsummor per rubrik i budgetramen och ett konsoliderat dokument med sifferuppgifter och anmärkningar för alla de budgetposter som anses vara tekniskt ”öppna”. Utan att det föregriper förlikningskommitténs slutliga beslut ska alla budgetposter som anses vara tekniskt slutna förtecknas i ett särskilt dokument (</w:t>
      </w:r>
      <w:r>
        <w:rPr>
          <w:rStyle w:val="FootnoteReference"/>
          <w:noProof/>
          <w:sz w:val="22"/>
        </w:rPr>
        <w:footnoteReference w:id="3"/>
      </w:r>
      <w:r>
        <w:rPr>
          <w:noProof/>
        </w:rPr>
        <w:t>). Dessa dokument ska vara indelade enligt budgetens kontoplan.</w:t>
      </w:r>
    </w:p>
    <w:p>
      <w:pPr>
        <w:pStyle w:val="Text1"/>
        <w:rPr>
          <w:noProof/>
        </w:rPr>
      </w:pPr>
      <w:r>
        <w:rPr>
          <w:noProof/>
        </w:rPr>
        <w:t>Även andra dokument ska bifogas de bakgrundsdokument som är avsedda för förlikningskommittén, inbegripet en skrivelse från kommissionen om genomförbarheten av rådets ståndpunkt och Europaparlamentets ändringar, samt eventuella skrivelser från andra institutioner avseende rådets ståndpunkt eller Europaparlamentets ändringar.</w:t>
      </w:r>
    </w:p>
    <w:p>
      <w:pPr>
        <w:pStyle w:val="NumPar1"/>
        <w:rPr>
          <w:noProof/>
        </w:rPr>
      </w:pPr>
      <w:r>
        <w:rPr>
          <w:noProof/>
        </w:rPr>
        <w:t>För att enighet ska kunna uppnås innan förlikningsperioden löper ut ska trepartsmötena</w:t>
      </w:r>
    </w:p>
    <w:p>
      <w:pPr>
        <w:pStyle w:val="Tiret1"/>
        <w:rPr>
          <w:noProof/>
        </w:rPr>
      </w:pPr>
      <w:r>
        <w:rPr>
          <w:noProof/>
        </w:rPr>
        <w:t>fastställa vad förhandlingarna ska omfatta och vilka budgetfrågor som ska behandlas,</w:t>
      </w:r>
    </w:p>
    <w:p>
      <w:pPr>
        <w:pStyle w:val="Tiret1"/>
        <w:rPr>
          <w:noProof/>
        </w:rPr>
      </w:pPr>
      <w:r>
        <w:rPr>
          <w:noProof/>
        </w:rPr>
        <w:t>godkänna förteckningen över de budgetposter som anses vara tekniskt slutna, med förbehåll för den slutliga överenskommelsen om hela budgeten,</w:t>
      </w:r>
    </w:p>
    <w:p>
      <w:pPr>
        <w:pStyle w:val="Tiret1"/>
        <w:rPr>
          <w:noProof/>
        </w:rPr>
      </w:pPr>
      <w:r>
        <w:rPr>
          <w:noProof/>
        </w:rPr>
        <w:t>diskutera frågor som har fastställts i första strecksatsen med sikte på att nå eventuella överenskommelser som ska godkännas av förlikningskommittén, samt</w:t>
      </w:r>
    </w:p>
    <w:p>
      <w:pPr>
        <w:pStyle w:val="Tiret1"/>
        <w:rPr>
          <w:noProof/>
        </w:rPr>
      </w:pPr>
      <w:r>
        <w:rPr>
          <w:noProof/>
        </w:rPr>
        <w:t>ta upp tematiska frågor, exempelvis enligt rubrikerna i budgetramen.</w:t>
      </w:r>
    </w:p>
    <w:p>
      <w:pPr>
        <w:pStyle w:val="Text1"/>
        <w:rPr>
          <w:noProof/>
        </w:rPr>
      </w:pPr>
      <w:r>
        <w:rPr>
          <w:noProof/>
        </w:rPr>
        <w:t>Preliminära slutsatser ska utformas gemensamt under eller omedelbart efter varje trepartsmöte och samtidigt ska dagordningen för nästa möte överenskommas. Dessa slutsatser ska registreras av den institution som står värd för trepartsmötet och ska betraktas som tills vidare godkända efter 24 timmar, utan att detta påverkar förlikningskommitténs slutliga beslut.</w:t>
      </w:r>
    </w:p>
    <w:p>
      <w:pPr>
        <w:pStyle w:val="NumPar1"/>
        <w:rPr>
          <w:noProof/>
        </w:rPr>
      </w:pPr>
      <w:r>
        <w:rPr>
          <w:noProof/>
        </w:rPr>
        <w:t>Vid sina möten ska förlikningskommittén ha tillgång till slutsatserna från trepartsmötena och ett dokument för eventuellt godkännande tillsammans med de budgetposter om vilka en preliminär överenskommelse har nåtts under trepartsmötena.</w:t>
      </w:r>
    </w:p>
    <w:p>
      <w:pPr>
        <w:pStyle w:val="NumPar1"/>
        <w:rPr>
          <w:noProof/>
        </w:rPr>
      </w:pPr>
      <w:r>
        <w:rPr>
          <w:noProof/>
        </w:rPr>
        <w:t>Det gemensamma förslag som föreskrivs i artikel 314.5 i EUF-fördraget ska utarbetas av Europaparlamentets och rådets sekretariat med stöd av kommissionen. Det ska bestå av ett följebrev från ordförandena för de två delegationerna till ordförandena för Europaparlamentet och rådet, med uppgift om datum för när enighet uppnåddes i förlikningskommittén, samt bilagor som ska innehålla följande:</w:t>
      </w:r>
    </w:p>
    <w:p>
      <w:pPr>
        <w:pStyle w:val="Tiret1"/>
        <w:rPr>
          <w:noProof/>
        </w:rPr>
      </w:pPr>
      <w:r>
        <w:rPr>
          <w:noProof/>
        </w:rPr>
        <w:t>Sifferuppgifter per enskild budgetpost och sammanlagda belopp per rubrik i budgetramen.</w:t>
      </w:r>
    </w:p>
    <w:p>
      <w:pPr>
        <w:pStyle w:val="Tiret1"/>
        <w:rPr>
          <w:noProof/>
        </w:rPr>
      </w:pPr>
      <w:r>
        <w:rPr>
          <w:noProof/>
        </w:rPr>
        <w:t>Ett konsoliderat dokument med sifferuppgifter och slutlig text för alla de budgetposter som har ändrats under förlikningsförfarandet.</w:t>
      </w:r>
    </w:p>
    <w:p>
      <w:pPr>
        <w:pStyle w:val="Tiret1"/>
        <w:rPr>
          <w:noProof/>
        </w:rPr>
      </w:pPr>
      <w:r>
        <w:rPr>
          <w:noProof/>
        </w:rPr>
        <w:t>En förteckning över de budgetposter som inte förändrats i förhållande till budgetförslaget eller rådets ståndpunkt om budgetförslaget.</w:t>
      </w:r>
    </w:p>
    <w:p>
      <w:pPr>
        <w:pStyle w:val="Text1"/>
        <w:rPr>
          <w:noProof/>
        </w:rPr>
      </w:pPr>
      <w:r>
        <w:rPr>
          <w:noProof/>
        </w:rPr>
        <w:t>Förlikningskommittén kan också anta slutsatser och eventuella gemensamma förklaringar i anknytning till budgeten.</w:t>
      </w:r>
    </w:p>
    <w:p>
      <w:pPr>
        <w:pStyle w:val="NumPar1"/>
        <w:rPr>
          <w:noProof/>
        </w:rPr>
      </w:pPr>
      <w:r>
        <w:rPr>
          <w:noProof/>
        </w:rPr>
        <w:t>Det gemensamma förslaget ska översättas till unionsinstitutionernas officiella språk (av Europaparlamentets avdelningar) och ska lämnas in för godkännande till Europaparlamentet och rådet inom 14 dagar från den dag då enighet om det gemensamma förslaget har uppnåtts enligt punkt 23.</w:t>
      </w:r>
    </w:p>
    <w:p>
      <w:pPr>
        <w:pStyle w:val="Text1"/>
        <w:rPr>
          <w:noProof/>
        </w:rPr>
      </w:pPr>
      <w:r>
        <w:rPr>
          <w:noProof/>
        </w:rPr>
        <w:t>Budgeten ska genomgå en juridisk och språklig slutgranskning efter det att det gemensamma förslaget har antagits genom att bilagorna i det gemensamma förslaget integreras med de budgetposter som inte har ändrats under förlikningsförfarandet.</w:t>
      </w:r>
    </w:p>
    <w:p>
      <w:pPr>
        <w:pStyle w:val="NumPar1"/>
        <w:rPr>
          <w:noProof/>
        </w:rPr>
      </w:pPr>
      <w:r>
        <w:rPr>
          <w:noProof/>
        </w:rPr>
        <w:t>Den institution som står värd för mötet (trepartsmöte eller förlikning) ska tillhandahålla tolkning i enlighet med den fullständiga språkordning som är tillämplig på förlikningskommitténs möten och en tillfällig språkordning för trepartsmötena.</w:t>
      </w:r>
    </w:p>
    <w:p>
      <w:pPr>
        <w:pStyle w:val="Text1"/>
        <w:rPr>
          <w:noProof/>
        </w:rPr>
      </w:pPr>
      <w:r>
        <w:rPr>
          <w:noProof/>
        </w:rPr>
        <w:t>Den institution som står värd för mötet ska också ansvara för kopiering och distribution av mötesdokumenten.</w:t>
      </w:r>
    </w:p>
    <w:p>
      <w:pPr>
        <w:pStyle w:val="Text1"/>
        <w:rPr>
          <w:noProof/>
        </w:rPr>
      </w:pPr>
      <w:r>
        <w:rPr>
          <w:noProof/>
        </w:rPr>
        <w:t>De tre institutionernas avdelningar ska samarbeta vid kodifiering av resultaten av förhandlingarna i syfte att färdigställa det gemensamma förslaget.</w:t>
      </w:r>
    </w:p>
    <w:p>
      <w:pPr>
        <w:pStyle w:val="ManualHeading2"/>
        <w:rPr>
          <w:noProof/>
        </w:rPr>
      </w:pPr>
      <w:bookmarkStart w:id="41" w:name="_Toc290299547"/>
      <w:bookmarkStart w:id="42" w:name="_Toc293653757"/>
      <w:bookmarkStart w:id="43" w:name="_Toc293654097"/>
      <w:bookmarkStart w:id="44" w:name="_Toc294520490"/>
      <w:bookmarkStart w:id="45" w:name="_Toc294520596"/>
      <w:bookmarkStart w:id="46" w:name="_Toc295473816"/>
      <w:bookmarkStart w:id="47" w:name="_Toc297024238"/>
      <w:r>
        <w:rPr>
          <w:noProof/>
        </w:rPr>
        <w:t>Del F. Ändringsbudgetar</w:t>
      </w:r>
      <w:bookmarkEnd w:id="41"/>
      <w:bookmarkEnd w:id="42"/>
      <w:bookmarkEnd w:id="43"/>
      <w:bookmarkEnd w:id="44"/>
      <w:bookmarkEnd w:id="45"/>
      <w:bookmarkEnd w:id="46"/>
      <w:bookmarkEnd w:id="47"/>
    </w:p>
    <w:p>
      <w:pPr>
        <w:pStyle w:val="ManualHeading3"/>
        <w:rPr>
          <w:noProof/>
        </w:rPr>
      </w:pPr>
      <w:bookmarkStart w:id="48" w:name="_Toc290299548"/>
      <w:bookmarkStart w:id="49" w:name="_Toc293653758"/>
      <w:bookmarkStart w:id="50" w:name="_Toc293654098"/>
      <w:bookmarkStart w:id="51" w:name="_Toc294520491"/>
      <w:bookmarkStart w:id="52" w:name="_Toc294520597"/>
      <w:bookmarkStart w:id="53" w:name="_Toc295473817"/>
      <w:r>
        <w:rPr>
          <w:noProof/>
        </w:rPr>
        <w:t>Allmänna principer</w:t>
      </w:r>
      <w:bookmarkEnd w:id="48"/>
      <w:bookmarkEnd w:id="49"/>
      <w:bookmarkEnd w:id="50"/>
      <w:bookmarkEnd w:id="51"/>
      <w:bookmarkEnd w:id="52"/>
      <w:bookmarkEnd w:id="53"/>
    </w:p>
    <w:p>
      <w:pPr>
        <w:pStyle w:val="NumPar1"/>
        <w:rPr>
          <w:noProof/>
        </w:rPr>
      </w:pPr>
      <w:r>
        <w:rPr>
          <w:noProof/>
        </w:rPr>
        <w:t>Eftersom ändringsbudgetar ofta gäller specifika och ibland brådskande frågor enas institutionerna om följande principer för att lägga grunden för ett gott interinstitutionellt samarbete som möjliggör en snabb och smidig beslutsprocess för ändringsbudgetarna, i möjligaste mån utan att förlikningsmöten behöver sammankallas.</w:t>
      </w:r>
    </w:p>
    <w:p>
      <w:pPr>
        <w:pStyle w:val="NumPar1"/>
        <w:rPr>
          <w:noProof/>
        </w:rPr>
      </w:pPr>
      <w:r>
        <w:rPr>
          <w:noProof/>
        </w:rPr>
        <w:t>Så långt det är möjligt ska institutionerna sträva efter att hålla nere antalet ändringsbudgetar.</w:t>
      </w:r>
    </w:p>
    <w:p>
      <w:pPr>
        <w:pStyle w:val="ManualHeading3"/>
        <w:rPr>
          <w:noProof/>
        </w:rPr>
      </w:pPr>
      <w:bookmarkStart w:id="54" w:name="_Toc290299549"/>
      <w:bookmarkStart w:id="55" w:name="_Toc293653759"/>
      <w:bookmarkStart w:id="56" w:name="_Toc293654099"/>
      <w:bookmarkStart w:id="57" w:name="_Toc294520492"/>
      <w:bookmarkStart w:id="58" w:name="_Toc294520598"/>
      <w:bookmarkStart w:id="59" w:name="_Toc295473818"/>
      <w:r>
        <w:rPr>
          <w:noProof/>
        </w:rPr>
        <w:t>Tidsplan</w:t>
      </w:r>
      <w:bookmarkEnd w:id="54"/>
      <w:bookmarkEnd w:id="55"/>
      <w:bookmarkEnd w:id="56"/>
      <w:bookmarkEnd w:id="57"/>
      <w:bookmarkEnd w:id="58"/>
      <w:bookmarkEnd w:id="59"/>
    </w:p>
    <w:p>
      <w:pPr>
        <w:pStyle w:val="NumPar1"/>
        <w:rPr>
          <w:noProof/>
        </w:rPr>
      </w:pPr>
      <w:r>
        <w:rPr>
          <w:noProof/>
        </w:rPr>
        <w:t>Kommissionen ska i förväg underrätta Europaparlamentet och rådet om de datum då den tror sig kunna anta förslag till ändringsbudgetar, utan att dessa uppgifter påverkar det faktiska datumet då förslaget antas.</w:t>
      </w:r>
    </w:p>
    <w:p>
      <w:pPr>
        <w:pStyle w:val="NumPar1"/>
        <w:rPr>
          <w:noProof/>
        </w:rPr>
      </w:pPr>
      <w:r>
        <w:rPr>
          <w:noProof/>
        </w:rPr>
        <w:t>Europaparlamentet och rådet ska i enlighet med sina respektive arbetsordningar sträva efter att behandla kommissionens förslag till ändringsbudget kort efter det att kommissionen har antagit det.</w:t>
      </w:r>
    </w:p>
    <w:p>
      <w:pPr>
        <w:pStyle w:val="NumPar1"/>
        <w:rPr>
          <w:noProof/>
        </w:rPr>
      </w:pPr>
      <w:r>
        <w:rPr>
          <w:noProof/>
        </w:rPr>
        <w:t>För att påskynda förfarandet ska Europaparlamentet och rådet se till att deras respektive dagordningar ligger väl i fas med varandra, så att arbetet kan bedrivas på ett väl samordnat och konsekvent sätt. De ska därför så snart som möjligt upprätta en vägledande tidsplan för de olika skeden som leder fram till budgetens slutliga antagande.</w:t>
      </w:r>
    </w:p>
    <w:p>
      <w:pPr>
        <w:pStyle w:val="Text1"/>
        <w:rPr>
          <w:noProof/>
        </w:rPr>
      </w:pPr>
      <w:r>
        <w:rPr>
          <w:noProof/>
        </w:rPr>
        <w:t>Europaparlamentet och rådet ska ta hänsyn till den relativa brådska som föreligger med ändringsbudgeten i fråga samt till behovet av att anta den i god tid för att den ska få verkan inom det budgetår det gäller.</w:t>
      </w:r>
    </w:p>
    <w:p>
      <w:pPr>
        <w:pStyle w:val="ManualHeading3"/>
        <w:rPr>
          <w:noProof/>
        </w:rPr>
      </w:pPr>
      <w:bookmarkStart w:id="60" w:name="_Toc290299550"/>
      <w:bookmarkStart w:id="61" w:name="_Toc293653760"/>
      <w:bookmarkStart w:id="62" w:name="_Toc293654100"/>
      <w:bookmarkStart w:id="63" w:name="_Toc294520493"/>
      <w:bookmarkStart w:id="64" w:name="_Toc294520599"/>
      <w:bookmarkStart w:id="65" w:name="_Toc295473819"/>
      <w:r>
        <w:rPr>
          <w:noProof/>
        </w:rPr>
        <w:t xml:space="preserve">Samarbete </w:t>
      </w:r>
      <w:bookmarkEnd w:id="60"/>
      <w:bookmarkEnd w:id="61"/>
      <w:bookmarkEnd w:id="62"/>
      <w:bookmarkEnd w:id="63"/>
      <w:bookmarkEnd w:id="64"/>
      <w:bookmarkEnd w:id="65"/>
      <w:r>
        <w:rPr>
          <w:noProof/>
        </w:rPr>
        <w:t>under behandlingen</w:t>
      </w:r>
    </w:p>
    <w:p>
      <w:pPr>
        <w:pStyle w:val="NumPar1"/>
        <w:rPr>
          <w:noProof/>
        </w:rPr>
      </w:pPr>
      <w:r>
        <w:rPr>
          <w:noProof/>
        </w:rPr>
        <w:t>Under förfarandets gång ska institutionerna samarbeta i konstruktiv anda för att så långt som möjligt bana väg för ett tidigt antagande av ändringsbudgeten.</w:t>
      </w:r>
    </w:p>
    <w:p>
      <w:pPr>
        <w:pStyle w:val="Text1"/>
        <w:rPr>
          <w:noProof/>
        </w:rPr>
      </w:pPr>
      <w:r>
        <w:rPr>
          <w:noProof/>
        </w:rPr>
        <w:t>Om så är lämpligt och om det finns en risk för avvikande ståndpunkter kan Europaparlamentet och rådet, innan någon av dem antar sina slutliga ståndpunkter om ändringsbudgeten, eller kommissionen vid valfri tidpunkt, föreslå att ett specifikt trepartsmöte sammankallas för att diskutera de avvikande ståndpunkterna och försöka nå en kompromiss.</w:t>
      </w:r>
    </w:p>
    <w:p>
      <w:pPr>
        <w:pStyle w:val="NumPar1"/>
        <w:rPr>
          <w:noProof/>
        </w:rPr>
      </w:pPr>
      <w:r>
        <w:rPr>
          <w:noProof/>
        </w:rPr>
        <w:t>Alla förslag till ändringsbudgetar som lagts fram av kommissionen och som ännu inte slutligt antagits ska föras upp på dagordningen för de trepartsmöten som planeras inom ramen för det årliga budgetförfarandet. Kommissionen ska lägga fram sina förslag till ändringsbudgetar och Europaparlamentet och rådet ska såvitt det är möjligt tillkännage sina respektive ståndpunkter före trepartsmötet.</w:t>
      </w:r>
    </w:p>
    <w:p>
      <w:pPr>
        <w:pStyle w:val="NumPar1"/>
        <w:rPr>
          <w:noProof/>
        </w:rPr>
      </w:pPr>
      <w:r>
        <w:rPr>
          <w:noProof/>
        </w:rPr>
        <w:t>Om en trepartsdialog leder fram till en kompromiss förpliktar sig Europaparlamentet och rådet att vid överläggningarna om ändringsbudgeten beakta trepartsmötets resultat i överensstämmelse med EUF-fördraget och sin interna arbetsordning.</w:t>
      </w:r>
    </w:p>
    <w:p>
      <w:pPr>
        <w:pStyle w:val="ManualHeading3"/>
        <w:rPr>
          <w:noProof/>
        </w:rPr>
      </w:pPr>
      <w:bookmarkStart w:id="66" w:name="_Toc290299551"/>
      <w:bookmarkStart w:id="67" w:name="_Toc293653761"/>
      <w:bookmarkStart w:id="68" w:name="_Toc293654101"/>
      <w:bookmarkStart w:id="69" w:name="_Toc294520494"/>
      <w:bookmarkStart w:id="70" w:name="_Toc294520600"/>
      <w:bookmarkStart w:id="71" w:name="_Toc295473820"/>
      <w:r>
        <w:rPr>
          <w:noProof/>
        </w:rPr>
        <w:t>Samarbete efter behandlingen</w:t>
      </w:r>
      <w:bookmarkEnd w:id="66"/>
      <w:bookmarkEnd w:id="67"/>
      <w:bookmarkEnd w:id="68"/>
      <w:bookmarkEnd w:id="69"/>
      <w:bookmarkEnd w:id="70"/>
      <w:bookmarkEnd w:id="71"/>
    </w:p>
    <w:p>
      <w:pPr>
        <w:pStyle w:val="NumPar1"/>
        <w:rPr>
          <w:noProof/>
        </w:rPr>
      </w:pPr>
      <w:r>
        <w:rPr>
          <w:noProof/>
        </w:rPr>
        <w:t>Om Europaparlamentet godkänner rådets ståndpunkt utan ändringar ska ändringsbudgeten antas i enlighet med EUF-fördraget.</w:t>
      </w:r>
    </w:p>
    <w:p>
      <w:pPr>
        <w:pStyle w:val="NumPar1"/>
        <w:rPr>
          <w:noProof/>
        </w:rPr>
      </w:pPr>
      <w:r>
        <w:rPr>
          <w:noProof/>
        </w:rPr>
        <w:t>Om Europaparlamentet antar ändringar med en majoritet av sina ledamöter ska artikel 314.4 c i EUF-fördraget tillämpas. Innan förlikningskommittén sammanträder ska dock ett trepartsmöte sammankallas i följande fall:</w:t>
      </w:r>
    </w:p>
    <w:p>
      <w:pPr>
        <w:pStyle w:val="Tiret1"/>
        <w:rPr>
          <w:noProof/>
        </w:rPr>
      </w:pPr>
      <w:r>
        <w:rPr>
          <w:noProof/>
        </w:rPr>
        <w:t>Om en överenskommelse nås vid trepartsmötet och Europaparlamentet och rådet godkänner resultaten av trepartsmötet ska förlikningsförfarandet avslutas genom skriftväxling, utan att förlikningskommittén behöver sammanträda.</w:t>
      </w:r>
    </w:p>
    <w:p>
      <w:pPr>
        <w:pStyle w:val="Tiret1"/>
        <w:rPr>
          <w:noProof/>
        </w:rPr>
      </w:pPr>
      <w:r>
        <w:rPr>
          <w:noProof/>
        </w:rPr>
        <w:t>Om ingen överenskommelse nås vid trepartsmötet ska förlikningskommittén sammanträda och organisera sitt arbete enligt de omständigheter som råder, med målet att kunna slutföra en så stor del av beslutsprocessen som möjligt inom den tidsfrist på 21 dagar som anges i artikel 314.5 i EUF-fördraget. Förlikningskommittén får avsluta förfarandet genom skriftväxling.</w:t>
      </w:r>
    </w:p>
    <w:p>
      <w:pPr>
        <w:pStyle w:val="ManualHeading2"/>
        <w:rPr>
          <w:noProof/>
        </w:rPr>
      </w:pPr>
      <w:r>
        <w:rPr>
          <w:noProof/>
        </w:rPr>
        <w:t xml:space="preserve">Del G. </w:t>
      </w:r>
      <w:r>
        <w:rPr>
          <w:i/>
          <w:noProof/>
        </w:rPr>
        <w:t>Utestående åtagande</w:t>
      </w:r>
    </w:p>
    <w:p>
      <w:pPr>
        <w:pStyle w:val="NumPar1"/>
        <w:rPr>
          <w:noProof/>
        </w:rPr>
      </w:pPr>
      <w:r>
        <w:rPr>
          <w:noProof/>
        </w:rPr>
        <w:t>Eftersom det är nödvändigt att säkerställa en kontrollerad utveckling av de sammanlagda betalningsbemyndigandena i förhållande till åtagandebemyndigandena och därmed undvika att utestående åtaganden överförs från ett år till nästa på ett onormalt sätt, är Europaparlamentet, rådet och kommissionen överens om att noga övervaka de utestående åtagandena för att minska risken för att genomförandet av unionens program hindra på grund av en brist på betalningsbemyndiganden vid budgetramens slut.</w:t>
      </w:r>
    </w:p>
    <w:p>
      <w:pPr>
        <w:pStyle w:val="Text1"/>
        <w:rPr>
          <w:noProof/>
        </w:rPr>
      </w:pPr>
      <w:r>
        <w:rPr>
          <w:noProof/>
        </w:rPr>
        <w:t>För att säkerställa att utbetalningarnas storlek och inriktning inom alla rubriker är rimliga ska bestämmelserna om tillbakadragande av anslag tillämpas strikt i alla rubriker, särskilt bestämmelserna om automatiskt tillbakadragande.</w:t>
      </w:r>
    </w:p>
    <w:p>
      <w:pPr>
        <w:pStyle w:val="Text1"/>
        <w:rPr>
          <w:b/>
          <w:noProof/>
        </w:rPr>
      </w:pPr>
      <w:r>
        <w:rPr>
          <w:noProof/>
        </w:rPr>
        <w:t>Under budgetförfarandets gång ska institutionerna sammanträda regelbundet för att tillsammans utvärdera läget och utsikterna för genomförandet av budgeten under det innevarande året och kommande år. Detta ska ske i form av interinstitutionella möten på lämplig nivå, och före dem ska kommissionen tillhandahålla en detaljerad lägesrapport uppdelad per fond och medlemsstat om effektuering av betalningar och de ansökningar om återbetalning som mottagits samt med reviderade prognoser. För att se till att unionen kan fullgöra alla de ekonomiska förpliktelser som härrör från befintliga och framtida åtaganden under perioden 2021–2027 i enlighet med artikel 323 i EUF-fördraget ska Europaparlamentet och rådet analysera och diskutera kommissionens beräkningar av den nivå på betalningsbemyndigandena som krävs.</w:t>
      </w:r>
    </w:p>
    <w:p>
      <w:pPr>
        <w:rPr>
          <w:b/>
          <w:noProof/>
          <w:sz w:val="22"/>
          <w:szCs w:val="22"/>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Rådets förordning (EEG, Euratom) nr 1182/71 av den 3 juni 1971 om regler för bestämning av perioder, datum och frister (EGT L 124, 8.6.1971, s. 1).</w:t>
      </w:r>
    </w:p>
  </w:footnote>
  <w:footnote w:id="2">
    <w:p>
      <w:pPr>
        <w:pStyle w:val="FootnoteText"/>
        <w:rPr>
          <w:noProof/>
        </w:rPr>
      </w:pPr>
      <w:r>
        <w:rPr>
          <w:rStyle w:val="FootnoteReference"/>
        </w:rPr>
        <w:footnoteRef/>
      </w:r>
      <w:r>
        <w:t xml:space="preserve"> </w:t>
      </w:r>
      <w:r>
        <w:tab/>
        <w:t>Följande skeden omfattas: det innevarande årets budget inklusive antagna ändringsbudgetar, det ursprungliga budgetförslaget, rådets ståndpunkt om budgetförslaget, Europaparlamentets ändringar till rådets ståndpunkt samt de ändringsskrivelser som kommissionen har lagt fram (även om de inte har antagits av alla institutioner).</w:t>
      </w:r>
    </w:p>
  </w:footnote>
  <w:footnote w:id="3">
    <w:p>
      <w:pPr>
        <w:pStyle w:val="FootnoteText"/>
      </w:pPr>
      <w:r>
        <w:rPr>
          <w:noProof/>
        </w:rPr>
        <w:footnoteRef/>
      </w:r>
      <w:r>
        <w:t xml:space="preserve"> </w:t>
      </w:r>
      <w:r>
        <w:tab/>
        <w:t>En budgetpost som anses vara tekniskt sluten är en post som det inte råder någon oenighet om mellan Europaparlamentet och rådet och för vilken ingen ändringsskrivelse har lagts fram.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4A6"/>
    <w:multiLevelType w:val="multilevel"/>
    <w:tmpl w:val="BB96EC0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B3C78B8"/>
    <w:multiLevelType w:val="multilevel"/>
    <w:tmpl w:val="0B840E28"/>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2A761C23"/>
    <w:multiLevelType w:val="hybridMultilevel"/>
    <w:tmpl w:val="42EEF9F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5128B6"/>
    <w:multiLevelType w:val="singleLevel"/>
    <w:tmpl w:val="4F70CA0A"/>
    <w:name w:val="Tiret 2"/>
    <w:lvl w:ilvl="0">
      <w:start w:val="1"/>
      <w:numFmt w:val="bullet"/>
      <w:lvlRestart w:val="0"/>
      <w:pStyle w:val="Tiret2"/>
      <w:lvlText w:val="–"/>
      <w:lvlJc w:val="left"/>
      <w:pPr>
        <w:tabs>
          <w:tab w:val="num" w:pos="1984"/>
        </w:tabs>
        <w:ind w:left="1984" w:hanging="567"/>
      </w:pPr>
    </w:lvl>
  </w:abstractNum>
  <w:abstractNum w:abstractNumId="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6">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
    <w:nsid w:val="709E3643"/>
    <w:multiLevelType w:val="hybridMultilevel"/>
    <w:tmpl w:val="B7CA5EE0"/>
    <w:lvl w:ilvl="0" w:tplc="445AB986">
      <w:start w:val="1"/>
      <w:numFmt w:val="bullet"/>
      <w:lvlText w:val=""/>
      <w:lvlJc w:val="left"/>
      <w:pPr>
        <w:tabs>
          <w:tab w:val="num" w:pos="1210"/>
        </w:tabs>
        <w:ind w:left="1210" w:hanging="360"/>
      </w:pPr>
      <w:rPr>
        <w:rFonts w:ascii="Symbol" w:hAnsi="Symbol" w:hint="default"/>
      </w:rPr>
    </w:lvl>
    <w:lvl w:ilvl="1" w:tplc="08090003" w:tentative="1">
      <w:start w:val="1"/>
      <w:numFmt w:val="bullet"/>
      <w:lvlText w:val="o"/>
      <w:lvlJc w:val="left"/>
      <w:pPr>
        <w:tabs>
          <w:tab w:val="num" w:pos="1570"/>
        </w:tabs>
        <w:ind w:left="1570" w:hanging="360"/>
      </w:pPr>
      <w:rPr>
        <w:rFonts w:ascii="Courier New" w:hAnsi="Courier New" w:cs="Courier New" w:hint="default"/>
      </w:rPr>
    </w:lvl>
    <w:lvl w:ilvl="2" w:tplc="08090005" w:tentative="1">
      <w:start w:val="1"/>
      <w:numFmt w:val="bullet"/>
      <w:lvlText w:val=""/>
      <w:lvlJc w:val="left"/>
      <w:pPr>
        <w:tabs>
          <w:tab w:val="num" w:pos="2290"/>
        </w:tabs>
        <w:ind w:left="2290" w:hanging="360"/>
      </w:pPr>
      <w:rPr>
        <w:rFonts w:ascii="Wingdings" w:hAnsi="Wingdings" w:hint="default"/>
      </w:rPr>
    </w:lvl>
    <w:lvl w:ilvl="3" w:tplc="08090001" w:tentative="1">
      <w:start w:val="1"/>
      <w:numFmt w:val="bullet"/>
      <w:lvlText w:val=""/>
      <w:lvlJc w:val="left"/>
      <w:pPr>
        <w:tabs>
          <w:tab w:val="num" w:pos="3010"/>
        </w:tabs>
        <w:ind w:left="3010" w:hanging="360"/>
      </w:pPr>
      <w:rPr>
        <w:rFonts w:ascii="Symbol" w:hAnsi="Symbol" w:hint="default"/>
      </w:rPr>
    </w:lvl>
    <w:lvl w:ilvl="4" w:tplc="08090003" w:tentative="1">
      <w:start w:val="1"/>
      <w:numFmt w:val="bullet"/>
      <w:lvlText w:val="o"/>
      <w:lvlJc w:val="left"/>
      <w:pPr>
        <w:tabs>
          <w:tab w:val="num" w:pos="3730"/>
        </w:tabs>
        <w:ind w:left="3730" w:hanging="360"/>
      </w:pPr>
      <w:rPr>
        <w:rFonts w:ascii="Courier New" w:hAnsi="Courier New" w:cs="Courier New" w:hint="default"/>
      </w:rPr>
    </w:lvl>
    <w:lvl w:ilvl="5" w:tplc="08090005" w:tentative="1">
      <w:start w:val="1"/>
      <w:numFmt w:val="bullet"/>
      <w:lvlText w:val=""/>
      <w:lvlJc w:val="left"/>
      <w:pPr>
        <w:tabs>
          <w:tab w:val="num" w:pos="4450"/>
        </w:tabs>
        <w:ind w:left="4450" w:hanging="360"/>
      </w:pPr>
      <w:rPr>
        <w:rFonts w:ascii="Wingdings" w:hAnsi="Wingdings" w:hint="default"/>
      </w:rPr>
    </w:lvl>
    <w:lvl w:ilvl="6" w:tplc="08090001" w:tentative="1">
      <w:start w:val="1"/>
      <w:numFmt w:val="bullet"/>
      <w:lvlText w:val=""/>
      <w:lvlJc w:val="left"/>
      <w:pPr>
        <w:tabs>
          <w:tab w:val="num" w:pos="5170"/>
        </w:tabs>
        <w:ind w:left="5170" w:hanging="360"/>
      </w:pPr>
      <w:rPr>
        <w:rFonts w:ascii="Symbol" w:hAnsi="Symbol" w:hint="default"/>
      </w:rPr>
    </w:lvl>
    <w:lvl w:ilvl="7" w:tplc="08090003" w:tentative="1">
      <w:start w:val="1"/>
      <w:numFmt w:val="bullet"/>
      <w:lvlText w:val="o"/>
      <w:lvlJc w:val="left"/>
      <w:pPr>
        <w:tabs>
          <w:tab w:val="num" w:pos="5890"/>
        </w:tabs>
        <w:ind w:left="5890" w:hanging="360"/>
      </w:pPr>
      <w:rPr>
        <w:rFonts w:ascii="Courier New" w:hAnsi="Courier New" w:cs="Courier New" w:hint="default"/>
      </w:rPr>
    </w:lvl>
    <w:lvl w:ilvl="8" w:tplc="08090005" w:tentative="1">
      <w:start w:val="1"/>
      <w:numFmt w:val="bullet"/>
      <w:lvlText w:val=""/>
      <w:lvlJc w:val="left"/>
      <w:pPr>
        <w:tabs>
          <w:tab w:val="num" w:pos="6610"/>
        </w:tabs>
        <w:ind w:left="661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97548AA1-D9D4-4246-B5E5-B3C512D2CC1B"/>
    <w:docVar w:name="LW_COVERPAGE_TYPE" w:val="1"/>
    <w:docVar w:name="LW_CROSSREFERENCE" w:val="&lt;UNUSED&gt;"/>
    <w:docVar w:name="LW_DocType" w:val="NORMAL"/>
    <w:docVar w:name="LW_EMISSION" w:val="2.5.2018"/>
    <w:docVar w:name="LW_EMISSION_ISODATE" w:val="2018-05-02"/>
    <w:docVar w:name="LW_EMISSION_LOCATION" w:val="BRX"/>
    <w:docVar w:name="LW_EMISSION_PREFIX" w:val="Bryssel den "/>
    <w:docVar w:name="LW_EMISSION_SUFFIX" w:val="&lt;EMPTY&gt;"/>
    <w:docVar w:name="LW_ID_DOCTYPE_NONLW" w:val="CP-036"/>
    <w:docVar w:name="LW_LANGUE" w:val="SV"/>
    <w:docVar w:name="LW_LEVEL_OF_SENSITIVITY" w:val="Standard treatment"/>
    <w:docVar w:name="LW_NOM.INST" w:val="EUROPEISKA KOMMISSIONEN"/>
    <w:docVar w:name="LW_NOM.INST_JOINTDOC" w:val="&lt;EMPTY&gt;"/>
    <w:docVar w:name="LW_OBJETACTEPRINCIPAL.CP" w:val="mellan Europaparlamentet, rådet och kommissionen om budgetdisciplin, samarbete i budgetfrågor och sund ekonomisk förvaltning"/>
    <w:docVar w:name="LW_PART_NBR" w:val="1"/>
    <w:docVar w:name="LW_PART_NBR_TOTAL" w:val="1"/>
    <w:docVar w:name="LW_REF.INST.NEW" w:val="COM"/>
    <w:docVar w:name="LW_REF.INST.NEW_ADOPTED" w:val="final"/>
    <w:docVar w:name="LW_REF.INST.NEW_TEXT" w:val="(2018)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ITRE.OBJ.CP_PREVIOUS" w:val="&lt;UNUSED&gt;"/>
    <w:docVar w:name="LW_TYPE.DOC.CP" w:val="BILAGA_x000b_"/>
    <w:docVar w:name="LW_TYPEACTEPRINCIPAL.CP" w:val="Förslag till interinstitutionellt avt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ind w:left="720" w:hanging="720"/>
      <w:jc w:val="both"/>
    </w:pPr>
    <w:rPr>
      <w:sz w:val="20"/>
      <w:szCs w:val="20"/>
    </w:rPr>
  </w:style>
  <w:style w:type="character" w:styleId="FootnoteReference">
    <w:name w:val="footnote reference"/>
    <w:aliases w:val="Footnote Reference Superscript"/>
    <w:basedOn w:val="DefaultParagraphFont"/>
    <w:rPr>
      <w:vertAlign w:val="superscript"/>
    </w:rPr>
  </w:style>
  <w:style w:type="paragraph" w:customStyle="1" w:styleId="Text1">
    <w:name w:val="Text 1"/>
    <w:basedOn w:val="Normal"/>
    <w:pPr>
      <w:spacing w:before="120" w:after="120"/>
      <w:ind w:left="850"/>
      <w:jc w:val="both"/>
    </w:pPr>
  </w:style>
  <w:style w:type="paragraph" w:customStyle="1" w:styleId="Point1">
    <w:name w:val="Point 1"/>
    <w:basedOn w:val="Normal"/>
    <w:pPr>
      <w:spacing w:before="120" w:after="120"/>
      <w:ind w:left="1417" w:hanging="567"/>
      <w:jc w:val="both"/>
    </w:pPr>
  </w:style>
  <w:style w:type="paragraph" w:customStyle="1" w:styleId="Tiret1">
    <w:name w:val="Tiret 1"/>
    <w:basedOn w:val="Point1"/>
    <w:pPr>
      <w:numPr>
        <w:numId w:val="1"/>
      </w:numPr>
    </w:pPr>
  </w:style>
  <w:style w:type="paragraph" w:customStyle="1" w:styleId="Tiret2">
    <w:name w:val="Tiret 2"/>
    <w:basedOn w:val="Normal"/>
    <w:pPr>
      <w:numPr>
        <w:numId w:val="2"/>
      </w:numPr>
      <w:spacing w:before="120" w:after="120"/>
      <w:jc w:val="both"/>
    </w:pPr>
  </w:style>
  <w:style w:type="paragraph" w:customStyle="1" w:styleId="NumPar1">
    <w:name w:val="NumPar 1"/>
    <w:basedOn w:val="Normal"/>
    <w:next w:val="Text1"/>
    <w:pPr>
      <w:numPr>
        <w:numId w:val="4"/>
      </w:numPr>
      <w:spacing w:before="120" w:after="120"/>
      <w:jc w:val="both"/>
    </w:pPr>
  </w:style>
  <w:style w:type="paragraph" w:customStyle="1" w:styleId="NumPar2">
    <w:name w:val="NumPar 2"/>
    <w:basedOn w:val="Normal"/>
    <w:next w:val="Normal"/>
    <w:pPr>
      <w:numPr>
        <w:ilvl w:val="1"/>
        <w:numId w:val="4"/>
      </w:numPr>
      <w:spacing w:before="120" w:after="120"/>
      <w:jc w:val="both"/>
    </w:pPr>
  </w:style>
  <w:style w:type="paragraph" w:customStyle="1" w:styleId="NumPar3">
    <w:name w:val="NumPar 3"/>
    <w:basedOn w:val="Normal"/>
    <w:next w:val="Normal"/>
    <w:pPr>
      <w:numPr>
        <w:ilvl w:val="2"/>
        <w:numId w:val="4"/>
      </w:numPr>
      <w:spacing w:before="120" w:after="120"/>
      <w:jc w:val="both"/>
    </w:pPr>
  </w:style>
  <w:style w:type="paragraph" w:customStyle="1" w:styleId="NumPar4">
    <w:name w:val="NumPar 4"/>
    <w:basedOn w:val="Normal"/>
    <w:next w:val="Normal"/>
    <w:pPr>
      <w:numPr>
        <w:ilvl w:val="3"/>
        <w:numId w:val="4"/>
      </w:numPr>
      <w:spacing w:before="120" w:after="120"/>
      <w:jc w:val="both"/>
    </w:p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b/>
    </w:rPr>
  </w:style>
  <w:style w:type="paragraph" w:customStyle="1" w:styleId="ManualHeading3">
    <w:name w:val="Manual Heading 3"/>
    <w:basedOn w:val="Normal"/>
    <w:next w:val="Normal"/>
    <w:pPr>
      <w:keepNext/>
      <w:tabs>
        <w:tab w:val="left" w:pos="850"/>
      </w:tabs>
      <w:spacing w:before="120" w:after="120"/>
      <w:ind w:left="850" w:hanging="850"/>
      <w:jc w:val="both"/>
      <w:outlineLvl w:val="2"/>
    </w:pPr>
    <w:rPr>
      <w:i/>
    </w:rPr>
  </w:style>
  <w:style w:type="paragraph" w:customStyle="1" w:styleId="PartTitle">
    <w:name w:val="PartTitle"/>
    <w:basedOn w:val="Normal"/>
    <w:next w:val="Normal"/>
    <w:pPr>
      <w:keepNext/>
      <w:pageBreakBefore/>
      <w:spacing w:before="120" w:after="360"/>
      <w:jc w:val="center"/>
    </w:pPr>
    <w:rPr>
      <w:b/>
      <w:sz w:val="36"/>
    </w:r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ListDash1">
    <w:name w:val="List Dash 1"/>
    <w:basedOn w:val="Normal"/>
    <w:pPr>
      <w:numPr>
        <w:numId w:val="3"/>
      </w:numPr>
      <w:spacing w:before="120" w:after="120"/>
      <w:jc w:val="both"/>
    </w:pPr>
  </w:style>
  <w:style w:type="paragraph" w:customStyle="1" w:styleId="Fait">
    <w:name w:val="Fait à"/>
    <w:basedOn w:val="Normal"/>
    <w:next w:val="Institutionquisigne"/>
    <w:pPr>
      <w:keepNext/>
      <w:spacing w:before="120"/>
      <w:jc w:val="both"/>
    </w:pPr>
  </w:style>
  <w:style w:type="paragraph" w:customStyle="1" w:styleId="Formuledadoption">
    <w:name w:val="Formule d'adoption"/>
    <w:basedOn w:val="Normal"/>
    <w:next w:val="Normal"/>
    <w:pPr>
      <w:keepNext/>
      <w:spacing w:before="120" w:after="120"/>
      <w:jc w:val="both"/>
    </w:pPr>
  </w:style>
  <w:style w:type="paragraph" w:customStyle="1" w:styleId="Institutionquiagit">
    <w:name w:val="Institution qui agit"/>
    <w:basedOn w:val="Normal"/>
    <w:next w:val="Normal"/>
    <w:pPr>
      <w:keepNext/>
      <w:spacing w:before="600" w:after="120"/>
      <w:jc w:val="both"/>
    </w:pPr>
  </w:style>
  <w:style w:type="paragraph" w:customStyle="1" w:styleId="Institutionquisigne">
    <w:name w:val="Institution qui signe"/>
    <w:basedOn w:val="Normal"/>
    <w:next w:val="Personnequisigne"/>
    <w:pPr>
      <w:keepNext/>
      <w:tabs>
        <w:tab w:val="left" w:pos="4252"/>
      </w:tabs>
      <w:spacing w:before="720"/>
      <w:jc w:val="both"/>
    </w:pPr>
    <w:rPr>
      <w:i/>
    </w:rPr>
  </w:style>
  <w:style w:type="paragraph" w:customStyle="1" w:styleId="Personnequisigne">
    <w:name w:val="Personne qui signe"/>
    <w:basedOn w:val="Normal"/>
    <w:next w:val="Institutionquisigne"/>
    <w:pPr>
      <w:tabs>
        <w:tab w:val="left" w:pos="4252"/>
      </w:tabs>
    </w:pPr>
    <w:rPr>
      <w:i/>
    </w:rPr>
  </w:style>
  <w:style w:type="paragraph" w:customStyle="1" w:styleId="Statut">
    <w:name w:val="Statut"/>
    <w:basedOn w:val="Normal"/>
    <w:next w:val="Typedudocument"/>
    <w:pPr>
      <w:spacing w:before="360"/>
      <w:jc w:val="center"/>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jc w:val="center"/>
    </w:pPr>
    <w:rPr>
      <w:b/>
    </w:rPr>
  </w:style>
  <w:style w:type="character" w:customStyle="1" w:styleId="Added">
    <w:name w:val="Added"/>
    <w:basedOn w:val="DefaultParagraphFont"/>
    <w:rPr>
      <w:b/>
      <w:u w:val="single"/>
    </w:rPr>
  </w:style>
  <w:style w:type="character" w:customStyle="1" w:styleId="Deleted">
    <w:name w:val="Deleted"/>
    <w:basedOn w:val="DefaultParagraphFont"/>
    <w:rPr>
      <w:strike/>
    </w:rPr>
  </w:style>
  <w:style w:type="character" w:customStyle="1" w:styleId="FootnoteTextChar">
    <w:name w:val="Footnote Text Char"/>
    <w:basedOn w:val="DefaultParagraphFont"/>
    <w:link w:val="FootnoteText"/>
    <w:rPr>
      <w:lang w:val="sv-SE" w:eastAsia="sv-SE" w:bidi="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120" w:after="120"/>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Calibri"/>
      <w:szCs w:val="22"/>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Calibri"/>
      <w:szCs w:val="22"/>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HeaderCoverPage">
    <w:name w:val="Header Cover Page"/>
    <w:basedOn w:val="Normal"/>
    <w:pPr>
      <w:tabs>
        <w:tab w:val="center" w:pos="4535"/>
        <w:tab w:val="right" w:pos="9071"/>
      </w:tabs>
      <w:spacing w:after="120"/>
      <w:jc w:val="both"/>
    </w:p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20" w:after="120"/>
    </w:pPr>
    <w:rPr>
      <w:b/>
      <w:bCs/>
      <w: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classification">
    <w:name w:val="Declassification"/>
    <w:basedOn w:val="Normal"/>
    <w:next w:val="Normal"/>
    <w:pPr>
      <w:jc w:val="both"/>
    </w:pPr>
    <w:rPr>
      <w:rFonts w:eastAsiaTheme="minorHAnsi"/>
      <w:szCs w:val="22"/>
    </w:rPr>
  </w:style>
  <w:style w:type="character" w:customStyle="1" w:styleId="HeaderChar">
    <w:name w:val="Header Char"/>
    <w:link w:val="Header"/>
    <w:uiPriority w:val="99"/>
    <w:rPr>
      <w:rFonts w:eastAsia="Calibri"/>
      <w:sz w:val="24"/>
      <w:szCs w:val="22"/>
      <w:lang w:eastAsia="sv-SE"/>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link w:val="Footer"/>
    <w:uiPriority w:val="99"/>
    <w:rPr>
      <w:rFonts w:eastAsia="Calibri"/>
      <w:sz w:val="24"/>
      <w:szCs w:val="22"/>
      <w:lang w:eastAsia="sv-SE"/>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 w:type="paragraph" w:customStyle="1" w:styleId="Annexetitre">
    <w:name w:val="Annexe titre"/>
    <w:basedOn w:val="Normal"/>
    <w:next w:val="Normal"/>
    <w:pPr>
      <w:spacing w:before="120" w:after="120"/>
      <w:jc w:val="center"/>
    </w:pPr>
    <w:rPr>
      <w:rFonts w:eastAsiaTheme="minorHAnsi"/>
      <w:b/>
      <w:szCs w:val="22"/>
      <w:u w:val="single"/>
    </w:rPr>
  </w:style>
  <w:style w:type="paragraph" w:customStyle="1" w:styleId="NormalCentered">
    <w:name w:val="Normal Centered"/>
    <w:basedOn w:val="Normal"/>
    <w:pPr>
      <w:spacing w:before="120" w:after="120"/>
      <w:jc w:val="center"/>
    </w:pPr>
    <w:rPr>
      <w:rFonts w:eastAsiaTheme="minorHAnsi"/>
      <w:szCs w:val="22"/>
    </w:rPr>
  </w:style>
  <w:style w:type="paragraph" w:customStyle="1" w:styleId="Point0number">
    <w:name w:val="Point 0 (number)"/>
    <w:basedOn w:val="Normal"/>
    <w:pPr>
      <w:numPr>
        <w:numId w:val="8"/>
      </w:numPr>
      <w:spacing w:before="120" w:after="120"/>
      <w:jc w:val="both"/>
    </w:pPr>
    <w:rPr>
      <w:rFonts w:eastAsiaTheme="minorHAnsi"/>
      <w:szCs w:val="22"/>
    </w:rPr>
  </w:style>
  <w:style w:type="paragraph" w:customStyle="1" w:styleId="Point1number">
    <w:name w:val="Point 1 (number)"/>
    <w:basedOn w:val="Normal"/>
    <w:pPr>
      <w:numPr>
        <w:ilvl w:val="2"/>
        <w:numId w:val="8"/>
      </w:numPr>
      <w:spacing w:before="120" w:after="120"/>
      <w:jc w:val="both"/>
    </w:pPr>
    <w:rPr>
      <w:rFonts w:eastAsiaTheme="minorHAnsi"/>
      <w:szCs w:val="22"/>
    </w:rPr>
  </w:style>
  <w:style w:type="paragraph" w:customStyle="1" w:styleId="Point2number">
    <w:name w:val="Point 2 (number)"/>
    <w:basedOn w:val="Normal"/>
    <w:pPr>
      <w:numPr>
        <w:ilvl w:val="4"/>
        <w:numId w:val="8"/>
      </w:numPr>
      <w:spacing w:before="120" w:after="120"/>
      <w:jc w:val="both"/>
    </w:pPr>
    <w:rPr>
      <w:rFonts w:eastAsiaTheme="minorHAnsi"/>
      <w:szCs w:val="22"/>
    </w:rPr>
  </w:style>
  <w:style w:type="paragraph" w:customStyle="1" w:styleId="Point3number">
    <w:name w:val="Point 3 (number)"/>
    <w:basedOn w:val="Normal"/>
    <w:pPr>
      <w:numPr>
        <w:ilvl w:val="6"/>
        <w:numId w:val="8"/>
      </w:numPr>
      <w:spacing w:before="120" w:after="120"/>
      <w:jc w:val="both"/>
    </w:pPr>
    <w:rPr>
      <w:rFonts w:eastAsiaTheme="minorHAnsi"/>
      <w:szCs w:val="22"/>
    </w:rPr>
  </w:style>
  <w:style w:type="paragraph" w:customStyle="1" w:styleId="Point0letter">
    <w:name w:val="Point 0 (letter)"/>
    <w:basedOn w:val="Normal"/>
    <w:pPr>
      <w:numPr>
        <w:ilvl w:val="1"/>
        <w:numId w:val="8"/>
      </w:numPr>
      <w:spacing w:before="120" w:after="120"/>
      <w:jc w:val="both"/>
    </w:pPr>
    <w:rPr>
      <w:rFonts w:eastAsiaTheme="minorHAnsi"/>
      <w:szCs w:val="22"/>
    </w:rPr>
  </w:style>
  <w:style w:type="paragraph" w:customStyle="1" w:styleId="Point1letter">
    <w:name w:val="Point 1 (letter)"/>
    <w:basedOn w:val="Normal"/>
    <w:pPr>
      <w:numPr>
        <w:ilvl w:val="3"/>
        <w:numId w:val="8"/>
      </w:numPr>
      <w:spacing w:before="120" w:after="120"/>
      <w:jc w:val="both"/>
    </w:pPr>
    <w:rPr>
      <w:rFonts w:eastAsiaTheme="minorHAnsi"/>
      <w:szCs w:val="22"/>
    </w:rPr>
  </w:style>
  <w:style w:type="paragraph" w:customStyle="1" w:styleId="Point2letter">
    <w:name w:val="Point 2 (letter)"/>
    <w:basedOn w:val="Normal"/>
    <w:pPr>
      <w:numPr>
        <w:ilvl w:val="5"/>
        <w:numId w:val="8"/>
      </w:numPr>
      <w:spacing w:before="120" w:after="120"/>
      <w:jc w:val="both"/>
    </w:pPr>
    <w:rPr>
      <w:rFonts w:eastAsiaTheme="minorHAnsi"/>
      <w:szCs w:val="22"/>
    </w:rPr>
  </w:style>
  <w:style w:type="paragraph" w:customStyle="1" w:styleId="Point3letter">
    <w:name w:val="Point 3 (letter)"/>
    <w:basedOn w:val="Normal"/>
    <w:pPr>
      <w:numPr>
        <w:ilvl w:val="7"/>
        <w:numId w:val="8"/>
      </w:numPr>
      <w:spacing w:before="120" w:after="120"/>
      <w:jc w:val="both"/>
    </w:pPr>
    <w:rPr>
      <w:rFonts w:eastAsiaTheme="minorHAnsi"/>
      <w:szCs w:val="22"/>
    </w:rPr>
  </w:style>
  <w:style w:type="paragraph" w:customStyle="1" w:styleId="Point4letter">
    <w:name w:val="Point 4 (letter)"/>
    <w:basedOn w:val="Normal"/>
    <w:pPr>
      <w:numPr>
        <w:ilvl w:val="8"/>
        <w:numId w:val="8"/>
      </w:numPr>
      <w:spacing w:before="120" w:after="120"/>
      <w:jc w:val="both"/>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ind w:left="720" w:hanging="720"/>
      <w:jc w:val="both"/>
    </w:pPr>
    <w:rPr>
      <w:sz w:val="20"/>
      <w:szCs w:val="20"/>
    </w:rPr>
  </w:style>
  <w:style w:type="character" w:styleId="FootnoteReference">
    <w:name w:val="footnote reference"/>
    <w:aliases w:val="Footnote Reference Superscript"/>
    <w:basedOn w:val="DefaultParagraphFont"/>
    <w:rPr>
      <w:vertAlign w:val="superscript"/>
    </w:rPr>
  </w:style>
  <w:style w:type="paragraph" w:customStyle="1" w:styleId="Text1">
    <w:name w:val="Text 1"/>
    <w:basedOn w:val="Normal"/>
    <w:pPr>
      <w:spacing w:before="120" w:after="120"/>
      <w:ind w:left="850"/>
      <w:jc w:val="both"/>
    </w:pPr>
  </w:style>
  <w:style w:type="paragraph" w:customStyle="1" w:styleId="Point1">
    <w:name w:val="Point 1"/>
    <w:basedOn w:val="Normal"/>
    <w:pPr>
      <w:spacing w:before="120" w:after="120"/>
      <w:ind w:left="1417" w:hanging="567"/>
      <w:jc w:val="both"/>
    </w:pPr>
  </w:style>
  <w:style w:type="paragraph" w:customStyle="1" w:styleId="Tiret1">
    <w:name w:val="Tiret 1"/>
    <w:basedOn w:val="Point1"/>
    <w:pPr>
      <w:numPr>
        <w:numId w:val="1"/>
      </w:numPr>
    </w:pPr>
  </w:style>
  <w:style w:type="paragraph" w:customStyle="1" w:styleId="Tiret2">
    <w:name w:val="Tiret 2"/>
    <w:basedOn w:val="Normal"/>
    <w:pPr>
      <w:numPr>
        <w:numId w:val="2"/>
      </w:numPr>
      <w:spacing w:before="120" w:after="120"/>
      <w:jc w:val="both"/>
    </w:pPr>
  </w:style>
  <w:style w:type="paragraph" w:customStyle="1" w:styleId="NumPar1">
    <w:name w:val="NumPar 1"/>
    <w:basedOn w:val="Normal"/>
    <w:next w:val="Text1"/>
    <w:pPr>
      <w:numPr>
        <w:numId w:val="4"/>
      </w:numPr>
      <w:spacing w:before="120" w:after="120"/>
      <w:jc w:val="both"/>
    </w:pPr>
  </w:style>
  <w:style w:type="paragraph" w:customStyle="1" w:styleId="NumPar2">
    <w:name w:val="NumPar 2"/>
    <w:basedOn w:val="Normal"/>
    <w:next w:val="Normal"/>
    <w:pPr>
      <w:numPr>
        <w:ilvl w:val="1"/>
        <w:numId w:val="4"/>
      </w:numPr>
      <w:spacing w:before="120" w:after="120"/>
      <w:jc w:val="both"/>
    </w:pPr>
  </w:style>
  <w:style w:type="paragraph" w:customStyle="1" w:styleId="NumPar3">
    <w:name w:val="NumPar 3"/>
    <w:basedOn w:val="Normal"/>
    <w:next w:val="Normal"/>
    <w:pPr>
      <w:numPr>
        <w:ilvl w:val="2"/>
        <w:numId w:val="4"/>
      </w:numPr>
      <w:spacing w:before="120" w:after="120"/>
      <w:jc w:val="both"/>
    </w:pPr>
  </w:style>
  <w:style w:type="paragraph" w:customStyle="1" w:styleId="NumPar4">
    <w:name w:val="NumPar 4"/>
    <w:basedOn w:val="Normal"/>
    <w:next w:val="Normal"/>
    <w:pPr>
      <w:numPr>
        <w:ilvl w:val="3"/>
        <w:numId w:val="4"/>
      </w:numPr>
      <w:spacing w:before="120" w:after="120"/>
      <w:jc w:val="both"/>
    </w:p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b/>
    </w:rPr>
  </w:style>
  <w:style w:type="paragraph" w:customStyle="1" w:styleId="ManualHeading3">
    <w:name w:val="Manual Heading 3"/>
    <w:basedOn w:val="Normal"/>
    <w:next w:val="Normal"/>
    <w:pPr>
      <w:keepNext/>
      <w:tabs>
        <w:tab w:val="left" w:pos="850"/>
      </w:tabs>
      <w:spacing w:before="120" w:after="120"/>
      <w:ind w:left="850" w:hanging="850"/>
      <w:jc w:val="both"/>
      <w:outlineLvl w:val="2"/>
    </w:pPr>
    <w:rPr>
      <w:i/>
    </w:rPr>
  </w:style>
  <w:style w:type="paragraph" w:customStyle="1" w:styleId="PartTitle">
    <w:name w:val="PartTitle"/>
    <w:basedOn w:val="Normal"/>
    <w:next w:val="Normal"/>
    <w:pPr>
      <w:keepNext/>
      <w:pageBreakBefore/>
      <w:spacing w:before="120" w:after="360"/>
      <w:jc w:val="center"/>
    </w:pPr>
    <w:rPr>
      <w:b/>
      <w:sz w:val="36"/>
    </w:r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ListDash1">
    <w:name w:val="List Dash 1"/>
    <w:basedOn w:val="Normal"/>
    <w:pPr>
      <w:numPr>
        <w:numId w:val="3"/>
      </w:numPr>
      <w:spacing w:before="120" w:after="120"/>
      <w:jc w:val="both"/>
    </w:pPr>
  </w:style>
  <w:style w:type="paragraph" w:customStyle="1" w:styleId="Fait">
    <w:name w:val="Fait à"/>
    <w:basedOn w:val="Normal"/>
    <w:next w:val="Institutionquisigne"/>
    <w:pPr>
      <w:keepNext/>
      <w:spacing w:before="120"/>
      <w:jc w:val="both"/>
    </w:pPr>
  </w:style>
  <w:style w:type="paragraph" w:customStyle="1" w:styleId="Formuledadoption">
    <w:name w:val="Formule d'adoption"/>
    <w:basedOn w:val="Normal"/>
    <w:next w:val="Normal"/>
    <w:pPr>
      <w:keepNext/>
      <w:spacing w:before="120" w:after="120"/>
      <w:jc w:val="both"/>
    </w:pPr>
  </w:style>
  <w:style w:type="paragraph" w:customStyle="1" w:styleId="Institutionquiagit">
    <w:name w:val="Institution qui agit"/>
    <w:basedOn w:val="Normal"/>
    <w:next w:val="Normal"/>
    <w:pPr>
      <w:keepNext/>
      <w:spacing w:before="600" w:after="120"/>
      <w:jc w:val="both"/>
    </w:pPr>
  </w:style>
  <w:style w:type="paragraph" w:customStyle="1" w:styleId="Institutionquisigne">
    <w:name w:val="Institution qui signe"/>
    <w:basedOn w:val="Normal"/>
    <w:next w:val="Personnequisigne"/>
    <w:pPr>
      <w:keepNext/>
      <w:tabs>
        <w:tab w:val="left" w:pos="4252"/>
      </w:tabs>
      <w:spacing w:before="720"/>
      <w:jc w:val="both"/>
    </w:pPr>
    <w:rPr>
      <w:i/>
    </w:rPr>
  </w:style>
  <w:style w:type="paragraph" w:customStyle="1" w:styleId="Personnequisigne">
    <w:name w:val="Personne qui signe"/>
    <w:basedOn w:val="Normal"/>
    <w:next w:val="Institutionquisigne"/>
    <w:pPr>
      <w:tabs>
        <w:tab w:val="left" w:pos="4252"/>
      </w:tabs>
    </w:pPr>
    <w:rPr>
      <w:i/>
    </w:rPr>
  </w:style>
  <w:style w:type="paragraph" w:customStyle="1" w:styleId="Statut">
    <w:name w:val="Statut"/>
    <w:basedOn w:val="Normal"/>
    <w:next w:val="Typedudocument"/>
    <w:pPr>
      <w:spacing w:before="360"/>
      <w:jc w:val="center"/>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jc w:val="center"/>
    </w:pPr>
    <w:rPr>
      <w:b/>
    </w:rPr>
  </w:style>
  <w:style w:type="character" w:customStyle="1" w:styleId="Added">
    <w:name w:val="Added"/>
    <w:basedOn w:val="DefaultParagraphFont"/>
    <w:rPr>
      <w:b/>
      <w:u w:val="single"/>
    </w:rPr>
  </w:style>
  <w:style w:type="character" w:customStyle="1" w:styleId="Deleted">
    <w:name w:val="Deleted"/>
    <w:basedOn w:val="DefaultParagraphFont"/>
    <w:rPr>
      <w:strike/>
    </w:rPr>
  </w:style>
  <w:style w:type="character" w:customStyle="1" w:styleId="FootnoteTextChar">
    <w:name w:val="Footnote Text Char"/>
    <w:basedOn w:val="DefaultParagraphFont"/>
    <w:link w:val="FootnoteText"/>
    <w:rPr>
      <w:lang w:val="sv-SE" w:eastAsia="sv-SE" w:bidi="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120" w:after="120"/>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Calibri"/>
      <w:szCs w:val="22"/>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Calibri"/>
      <w:szCs w:val="22"/>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HeaderCoverPage">
    <w:name w:val="Header Cover Page"/>
    <w:basedOn w:val="Normal"/>
    <w:pPr>
      <w:tabs>
        <w:tab w:val="center" w:pos="4535"/>
        <w:tab w:val="right" w:pos="9071"/>
      </w:tabs>
      <w:spacing w:after="120"/>
      <w:jc w:val="both"/>
    </w:p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20" w:after="120"/>
    </w:pPr>
    <w:rPr>
      <w:b/>
      <w:bCs/>
      <w: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classification">
    <w:name w:val="Declassification"/>
    <w:basedOn w:val="Normal"/>
    <w:next w:val="Normal"/>
    <w:pPr>
      <w:jc w:val="both"/>
    </w:pPr>
    <w:rPr>
      <w:rFonts w:eastAsiaTheme="minorHAnsi"/>
      <w:szCs w:val="22"/>
    </w:rPr>
  </w:style>
  <w:style w:type="character" w:customStyle="1" w:styleId="HeaderChar">
    <w:name w:val="Header Char"/>
    <w:link w:val="Header"/>
    <w:uiPriority w:val="99"/>
    <w:rPr>
      <w:rFonts w:eastAsia="Calibri"/>
      <w:sz w:val="24"/>
      <w:szCs w:val="22"/>
      <w:lang w:eastAsia="sv-SE"/>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link w:val="Footer"/>
    <w:uiPriority w:val="99"/>
    <w:rPr>
      <w:rFonts w:eastAsia="Calibri"/>
      <w:sz w:val="24"/>
      <w:szCs w:val="22"/>
      <w:lang w:eastAsia="sv-SE"/>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 w:type="paragraph" w:customStyle="1" w:styleId="Annexetitre">
    <w:name w:val="Annexe titre"/>
    <w:basedOn w:val="Normal"/>
    <w:next w:val="Normal"/>
    <w:pPr>
      <w:spacing w:before="120" w:after="120"/>
      <w:jc w:val="center"/>
    </w:pPr>
    <w:rPr>
      <w:rFonts w:eastAsiaTheme="minorHAnsi"/>
      <w:b/>
      <w:szCs w:val="22"/>
      <w:u w:val="single"/>
    </w:rPr>
  </w:style>
  <w:style w:type="paragraph" w:customStyle="1" w:styleId="NormalCentered">
    <w:name w:val="Normal Centered"/>
    <w:basedOn w:val="Normal"/>
    <w:pPr>
      <w:spacing w:before="120" w:after="120"/>
      <w:jc w:val="center"/>
    </w:pPr>
    <w:rPr>
      <w:rFonts w:eastAsiaTheme="minorHAnsi"/>
      <w:szCs w:val="22"/>
    </w:rPr>
  </w:style>
  <w:style w:type="paragraph" w:customStyle="1" w:styleId="Point0number">
    <w:name w:val="Point 0 (number)"/>
    <w:basedOn w:val="Normal"/>
    <w:pPr>
      <w:numPr>
        <w:numId w:val="8"/>
      </w:numPr>
      <w:spacing w:before="120" w:after="120"/>
      <w:jc w:val="both"/>
    </w:pPr>
    <w:rPr>
      <w:rFonts w:eastAsiaTheme="minorHAnsi"/>
      <w:szCs w:val="22"/>
    </w:rPr>
  </w:style>
  <w:style w:type="paragraph" w:customStyle="1" w:styleId="Point1number">
    <w:name w:val="Point 1 (number)"/>
    <w:basedOn w:val="Normal"/>
    <w:pPr>
      <w:numPr>
        <w:ilvl w:val="2"/>
        <w:numId w:val="8"/>
      </w:numPr>
      <w:spacing w:before="120" w:after="120"/>
      <w:jc w:val="both"/>
    </w:pPr>
    <w:rPr>
      <w:rFonts w:eastAsiaTheme="minorHAnsi"/>
      <w:szCs w:val="22"/>
    </w:rPr>
  </w:style>
  <w:style w:type="paragraph" w:customStyle="1" w:styleId="Point2number">
    <w:name w:val="Point 2 (number)"/>
    <w:basedOn w:val="Normal"/>
    <w:pPr>
      <w:numPr>
        <w:ilvl w:val="4"/>
        <w:numId w:val="8"/>
      </w:numPr>
      <w:spacing w:before="120" w:after="120"/>
      <w:jc w:val="both"/>
    </w:pPr>
    <w:rPr>
      <w:rFonts w:eastAsiaTheme="minorHAnsi"/>
      <w:szCs w:val="22"/>
    </w:rPr>
  </w:style>
  <w:style w:type="paragraph" w:customStyle="1" w:styleId="Point3number">
    <w:name w:val="Point 3 (number)"/>
    <w:basedOn w:val="Normal"/>
    <w:pPr>
      <w:numPr>
        <w:ilvl w:val="6"/>
        <w:numId w:val="8"/>
      </w:numPr>
      <w:spacing w:before="120" w:after="120"/>
      <w:jc w:val="both"/>
    </w:pPr>
    <w:rPr>
      <w:rFonts w:eastAsiaTheme="minorHAnsi"/>
      <w:szCs w:val="22"/>
    </w:rPr>
  </w:style>
  <w:style w:type="paragraph" w:customStyle="1" w:styleId="Point0letter">
    <w:name w:val="Point 0 (letter)"/>
    <w:basedOn w:val="Normal"/>
    <w:pPr>
      <w:numPr>
        <w:ilvl w:val="1"/>
        <w:numId w:val="8"/>
      </w:numPr>
      <w:spacing w:before="120" w:after="120"/>
      <w:jc w:val="both"/>
    </w:pPr>
    <w:rPr>
      <w:rFonts w:eastAsiaTheme="minorHAnsi"/>
      <w:szCs w:val="22"/>
    </w:rPr>
  </w:style>
  <w:style w:type="paragraph" w:customStyle="1" w:styleId="Point1letter">
    <w:name w:val="Point 1 (letter)"/>
    <w:basedOn w:val="Normal"/>
    <w:pPr>
      <w:numPr>
        <w:ilvl w:val="3"/>
        <w:numId w:val="8"/>
      </w:numPr>
      <w:spacing w:before="120" w:after="120"/>
      <w:jc w:val="both"/>
    </w:pPr>
    <w:rPr>
      <w:rFonts w:eastAsiaTheme="minorHAnsi"/>
      <w:szCs w:val="22"/>
    </w:rPr>
  </w:style>
  <w:style w:type="paragraph" w:customStyle="1" w:styleId="Point2letter">
    <w:name w:val="Point 2 (letter)"/>
    <w:basedOn w:val="Normal"/>
    <w:pPr>
      <w:numPr>
        <w:ilvl w:val="5"/>
        <w:numId w:val="8"/>
      </w:numPr>
      <w:spacing w:before="120" w:after="120"/>
      <w:jc w:val="both"/>
    </w:pPr>
    <w:rPr>
      <w:rFonts w:eastAsiaTheme="minorHAnsi"/>
      <w:szCs w:val="22"/>
    </w:rPr>
  </w:style>
  <w:style w:type="paragraph" w:customStyle="1" w:styleId="Point3letter">
    <w:name w:val="Point 3 (letter)"/>
    <w:basedOn w:val="Normal"/>
    <w:pPr>
      <w:numPr>
        <w:ilvl w:val="7"/>
        <w:numId w:val="8"/>
      </w:numPr>
      <w:spacing w:before="120" w:after="120"/>
      <w:jc w:val="both"/>
    </w:pPr>
    <w:rPr>
      <w:rFonts w:eastAsiaTheme="minorHAnsi"/>
      <w:szCs w:val="22"/>
    </w:rPr>
  </w:style>
  <w:style w:type="paragraph" w:customStyle="1" w:styleId="Point4letter">
    <w:name w:val="Point 4 (letter)"/>
    <w:basedOn w:val="Normal"/>
    <w:pPr>
      <w:numPr>
        <w:ilvl w:val="8"/>
        <w:numId w:val="8"/>
      </w:numPr>
      <w:spacing w:before="120" w:after="120"/>
      <w:jc w:val="both"/>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2078</Words>
  <Characters>13452</Characters>
  <Application>Microsoft Office Word</Application>
  <DocSecurity>0</DocSecurity>
  <Lines>231</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15448</CharactersWithSpaces>
  <SharedDoc>false</SharedDoc>
  <HLinks>
    <vt:vector size="156" baseType="variant">
      <vt:variant>
        <vt:i4>1638453</vt:i4>
      </vt:variant>
      <vt:variant>
        <vt:i4>152</vt:i4>
      </vt:variant>
      <vt:variant>
        <vt:i4>0</vt:i4>
      </vt:variant>
      <vt:variant>
        <vt:i4>5</vt:i4>
      </vt:variant>
      <vt:variant>
        <vt:lpwstr/>
      </vt:variant>
      <vt:variant>
        <vt:lpwstr>_Toc297024238</vt:lpwstr>
      </vt:variant>
      <vt:variant>
        <vt:i4>1638453</vt:i4>
      </vt:variant>
      <vt:variant>
        <vt:i4>146</vt:i4>
      </vt:variant>
      <vt:variant>
        <vt:i4>0</vt:i4>
      </vt:variant>
      <vt:variant>
        <vt:i4>5</vt:i4>
      </vt:variant>
      <vt:variant>
        <vt:lpwstr/>
      </vt:variant>
      <vt:variant>
        <vt:lpwstr>_Toc297024237</vt:lpwstr>
      </vt:variant>
      <vt:variant>
        <vt:i4>1638453</vt:i4>
      </vt:variant>
      <vt:variant>
        <vt:i4>140</vt:i4>
      </vt:variant>
      <vt:variant>
        <vt:i4>0</vt:i4>
      </vt:variant>
      <vt:variant>
        <vt:i4>5</vt:i4>
      </vt:variant>
      <vt:variant>
        <vt:lpwstr/>
      </vt:variant>
      <vt:variant>
        <vt:lpwstr>_Toc297024236</vt:lpwstr>
      </vt:variant>
      <vt:variant>
        <vt:i4>1638453</vt:i4>
      </vt:variant>
      <vt:variant>
        <vt:i4>134</vt:i4>
      </vt:variant>
      <vt:variant>
        <vt:i4>0</vt:i4>
      </vt:variant>
      <vt:variant>
        <vt:i4>5</vt:i4>
      </vt:variant>
      <vt:variant>
        <vt:lpwstr/>
      </vt:variant>
      <vt:variant>
        <vt:lpwstr>_Toc297024235</vt:lpwstr>
      </vt:variant>
      <vt:variant>
        <vt:i4>1638453</vt:i4>
      </vt:variant>
      <vt:variant>
        <vt:i4>128</vt:i4>
      </vt:variant>
      <vt:variant>
        <vt:i4>0</vt:i4>
      </vt:variant>
      <vt:variant>
        <vt:i4>5</vt:i4>
      </vt:variant>
      <vt:variant>
        <vt:lpwstr/>
      </vt:variant>
      <vt:variant>
        <vt:lpwstr>_Toc297024234</vt:lpwstr>
      </vt:variant>
      <vt:variant>
        <vt:i4>1638453</vt:i4>
      </vt:variant>
      <vt:variant>
        <vt:i4>122</vt:i4>
      </vt:variant>
      <vt:variant>
        <vt:i4>0</vt:i4>
      </vt:variant>
      <vt:variant>
        <vt:i4>5</vt:i4>
      </vt:variant>
      <vt:variant>
        <vt:lpwstr/>
      </vt:variant>
      <vt:variant>
        <vt:lpwstr>_Toc297024233</vt:lpwstr>
      </vt:variant>
      <vt:variant>
        <vt:i4>1638453</vt:i4>
      </vt:variant>
      <vt:variant>
        <vt:i4>116</vt:i4>
      </vt:variant>
      <vt:variant>
        <vt:i4>0</vt:i4>
      </vt:variant>
      <vt:variant>
        <vt:i4>5</vt:i4>
      </vt:variant>
      <vt:variant>
        <vt:lpwstr/>
      </vt:variant>
      <vt:variant>
        <vt:lpwstr>_Toc297024232</vt:lpwstr>
      </vt:variant>
      <vt:variant>
        <vt:i4>1638453</vt:i4>
      </vt:variant>
      <vt:variant>
        <vt:i4>110</vt:i4>
      </vt:variant>
      <vt:variant>
        <vt:i4>0</vt:i4>
      </vt:variant>
      <vt:variant>
        <vt:i4>5</vt:i4>
      </vt:variant>
      <vt:variant>
        <vt:lpwstr/>
      </vt:variant>
      <vt:variant>
        <vt:lpwstr>_Toc297024231</vt:lpwstr>
      </vt:variant>
      <vt:variant>
        <vt:i4>1638453</vt:i4>
      </vt:variant>
      <vt:variant>
        <vt:i4>104</vt:i4>
      </vt:variant>
      <vt:variant>
        <vt:i4>0</vt:i4>
      </vt:variant>
      <vt:variant>
        <vt:i4>5</vt:i4>
      </vt:variant>
      <vt:variant>
        <vt:lpwstr/>
      </vt:variant>
      <vt:variant>
        <vt:lpwstr>_Toc297024230</vt:lpwstr>
      </vt:variant>
      <vt:variant>
        <vt:i4>1572917</vt:i4>
      </vt:variant>
      <vt:variant>
        <vt:i4>98</vt:i4>
      </vt:variant>
      <vt:variant>
        <vt:i4>0</vt:i4>
      </vt:variant>
      <vt:variant>
        <vt:i4>5</vt:i4>
      </vt:variant>
      <vt:variant>
        <vt:lpwstr/>
      </vt:variant>
      <vt:variant>
        <vt:lpwstr>_Toc297024229</vt:lpwstr>
      </vt:variant>
      <vt:variant>
        <vt:i4>1572917</vt:i4>
      </vt:variant>
      <vt:variant>
        <vt:i4>92</vt:i4>
      </vt:variant>
      <vt:variant>
        <vt:i4>0</vt:i4>
      </vt:variant>
      <vt:variant>
        <vt:i4>5</vt:i4>
      </vt:variant>
      <vt:variant>
        <vt:lpwstr/>
      </vt:variant>
      <vt:variant>
        <vt:lpwstr>_Toc297024228</vt:lpwstr>
      </vt:variant>
      <vt:variant>
        <vt:i4>1572917</vt:i4>
      </vt:variant>
      <vt:variant>
        <vt:i4>86</vt:i4>
      </vt:variant>
      <vt:variant>
        <vt:i4>0</vt:i4>
      </vt:variant>
      <vt:variant>
        <vt:i4>5</vt:i4>
      </vt:variant>
      <vt:variant>
        <vt:lpwstr/>
      </vt:variant>
      <vt:variant>
        <vt:lpwstr>_Toc297024227</vt:lpwstr>
      </vt:variant>
      <vt:variant>
        <vt:i4>1572917</vt:i4>
      </vt:variant>
      <vt:variant>
        <vt:i4>80</vt:i4>
      </vt:variant>
      <vt:variant>
        <vt:i4>0</vt:i4>
      </vt:variant>
      <vt:variant>
        <vt:i4>5</vt:i4>
      </vt:variant>
      <vt:variant>
        <vt:lpwstr/>
      </vt:variant>
      <vt:variant>
        <vt:lpwstr>_Toc297024226</vt:lpwstr>
      </vt:variant>
      <vt:variant>
        <vt:i4>1572917</vt:i4>
      </vt:variant>
      <vt:variant>
        <vt:i4>74</vt:i4>
      </vt:variant>
      <vt:variant>
        <vt:i4>0</vt:i4>
      </vt:variant>
      <vt:variant>
        <vt:i4>5</vt:i4>
      </vt:variant>
      <vt:variant>
        <vt:lpwstr/>
      </vt:variant>
      <vt:variant>
        <vt:lpwstr>_Toc297024225</vt:lpwstr>
      </vt:variant>
      <vt:variant>
        <vt:i4>1572917</vt:i4>
      </vt:variant>
      <vt:variant>
        <vt:i4>68</vt:i4>
      </vt:variant>
      <vt:variant>
        <vt:i4>0</vt:i4>
      </vt:variant>
      <vt:variant>
        <vt:i4>5</vt:i4>
      </vt:variant>
      <vt:variant>
        <vt:lpwstr/>
      </vt:variant>
      <vt:variant>
        <vt:lpwstr>_Toc297024224</vt:lpwstr>
      </vt:variant>
      <vt:variant>
        <vt:i4>1572917</vt:i4>
      </vt:variant>
      <vt:variant>
        <vt:i4>62</vt:i4>
      </vt:variant>
      <vt:variant>
        <vt:i4>0</vt:i4>
      </vt:variant>
      <vt:variant>
        <vt:i4>5</vt:i4>
      </vt:variant>
      <vt:variant>
        <vt:lpwstr/>
      </vt:variant>
      <vt:variant>
        <vt:lpwstr>_Toc297024223</vt:lpwstr>
      </vt:variant>
      <vt:variant>
        <vt:i4>1572917</vt:i4>
      </vt:variant>
      <vt:variant>
        <vt:i4>56</vt:i4>
      </vt:variant>
      <vt:variant>
        <vt:i4>0</vt:i4>
      </vt:variant>
      <vt:variant>
        <vt:i4>5</vt:i4>
      </vt:variant>
      <vt:variant>
        <vt:lpwstr/>
      </vt:variant>
      <vt:variant>
        <vt:lpwstr>_Toc297024222</vt:lpwstr>
      </vt:variant>
      <vt:variant>
        <vt:i4>1572917</vt:i4>
      </vt:variant>
      <vt:variant>
        <vt:i4>50</vt:i4>
      </vt:variant>
      <vt:variant>
        <vt:i4>0</vt:i4>
      </vt:variant>
      <vt:variant>
        <vt:i4>5</vt:i4>
      </vt:variant>
      <vt:variant>
        <vt:lpwstr/>
      </vt:variant>
      <vt:variant>
        <vt:lpwstr>_Toc297024221</vt:lpwstr>
      </vt:variant>
      <vt:variant>
        <vt:i4>1572917</vt:i4>
      </vt:variant>
      <vt:variant>
        <vt:i4>44</vt:i4>
      </vt:variant>
      <vt:variant>
        <vt:i4>0</vt:i4>
      </vt:variant>
      <vt:variant>
        <vt:i4>5</vt:i4>
      </vt:variant>
      <vt:variant>
        <vt:lpwstr/>
      </vt:variant>
      <vt:variant>
        <vt:lpwstr>_Toc297024220</vt:lpwstr>
      </vt:variant>
      <vt:variant>
        <vt:i4>1769525</vt:i4>
      </vt:variant>
      <vt:variant>
        <vt:i4>38</vt:i4>
      </vt:variant>
      <vt:variant>
        <vt:i4>0</vt:i4>
      </vt:variant>
      <vt:variant>
        <vt:i4>5</vt:i4>
      </vt:variant>
      <vt:variant>
        <vt:lpwstr/>
      </vt:variant>
      <vt:variant>
        <vt:lpwstr>_Toc297024219</vt:lpwstr>
      </vt:variant>
      <vt:variant>
        <vt:i4>1769525</vt:i4>
      </vt:variant>
      <vt:variant>
        <vt:i4>32</vt:i4>
      </vt:variant>
      <vt:variant>
        <vt:i4>0</vt:i4>
      </vt:variant>
      <vt:variant>
        <vt:i4>5</vt:i4>
      </vt:variant>
      <vt:variant>
        <vt:lpwstr/>
      </vt:variant>
      <vt:variant>
        <vt:lpwstr>_Toc297024218</vt:lpwstr>
      </vt:variant>
      <vt:variant>
        <vt:i4>1769525</vt:i4>
      </vt:variant>
      <vt:variant>
        <vt:i4>26</vt:i4>
      </vt:variant>
      <vt:variant>
        <vt:i4>0</vt:i4>
      </vt:variant>
      <vt:variant>
        <vt:i4>5</vt:i4>
      </vt:variant>
      <vt:variant>
        <vt:lpwstr/>
      </vt:variant>
      <vt:variant>
        <vt:lpwstr>_Toc297024217</vt:lpwstr>
      </vt:variant>
      <vt:variant>
        <vt:i4>1769525</vt:i4>
      </vt:variant>
      <vt:variant>
        <vt:i4>20</vt:i4>
      </vt:variant>
      <vt:variant>
        <vt:i4>0</vt:i4>
      </vt:variant>
      <vt:variant>
        <vt:i4>5</vt:i4>
      </vt:variant>
      <vt:variant>
        <vt:lpwstr/>
      </vt:variant>
      <vt:variant>
        <vt:lpwstr>_Toc297024216</vt:lpwstr>
      </vt:variant>
      <vt:variant>
        <vt:i4>1769525</vt:i4>
      </vt:variant>
      <vt:variant>
        <vt:i4>14</vt:i4>
      </vt:variant>
      <vt:variant>
        <vt:i4>0</vt:i4>
      </vt:variant>
      <vt:variant>
        <vt:i4>5</vt:i4>
      </vt:variant>
      <vt:variant>
        <vt:lpwstr/>
      </vt:variant>
      <vt:variant>
        <vt:lpwstr>_Toc297024215</vt:lpwstr>
      </vt:variant>
      <vt:variant>
        <vt:i4>1769525</vt:i4>
      </vt:variant>
      <vt:variant>
        <vt:i4>8</vt:i4>
      </vt:variant>
      <vt:variant>
        <vt:i4>0</vt:i4>
      </vt:variant>
      <vt:variant>
        <vt:i4>5</vt:i4>
      </vt:variant>
      <vt:variant>
        <vt:lpwstr/>
      </vt:variant>
      <vt:variant>
        <vt:lpwstr>_Toc297024214</vt:lpwstr>
      </vt:variant>
      <vt:variant>
        <vt:i4>1769525</vt:i4>
      </vt:variant>
      <vt:variant>
        <vt:i4>2</vt:i4>
      </vt:variant>
      <vt:variant>
        <vt:i4>0</vt:i4>
      </vt:variant>
      <vt:variant>
        <vt:i4>5</vt:i4>
      </vt:variant>
      <vt:variant>
        <vt:lpwstr/>
      </vt:variant>
      <vt:variant>
        <vt:lpwstr>_Toc297024213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filiple</dc:creator>
  <cp:lastModifiedBy>DIGIT/A3</cp:lastModifiedBy>
  <cp:revision>14</cp:revision>
  <cp:lastPrinted>2018-03-19T14:45:00Z</cp:lastPrinted>
  <dcterms:created xsi:type="dcterms:W3CDTF">2018-04-30T15:12:00Z</dcterms:created>
  <dcterms:modified xsi:type="dcterms:W3CDTF">2018-05-04T16:13:00Z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ies>
</file>