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53" w:rsidRPr="005C3FFB" w:rsidRDefault="006A631A" w:rsidP="006A631A">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826135B8-0372-4F87-AEFF-A976777590DC" style="width:450.2pt;height:408.85pt">
            <v:imagedata r:id="rId9" o:title=""/>
          </v:shape>
        </w:pict>
      </w:r>
    </w:p>
    <w:p w:rsidR="006B6053" w:rsidRPr="005C3FFB" w:rsidRDefault="006B6053" w:rsidP="006B6053">
      <w:pPr>
        <w:sectPr w:rsidR="006B6053" w:rsidRPr="005C3FFB" w:rsidSect="006A631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6B6053" w:rsidRPr="005C3FFB" w:rsidRDefault="006B6053" w:rsidP="00095DF7">
      <w:pPr>
        <w:pStyle w:val="Exposdesmotifstitre"/>
      </w:pPr>
      <w:bookmarkStart w:id="0" w:name="_GoBack"/>
      <w:bookmarkEnd w:id="0"/>
      <w:r w:rsidRPr="005C3FFB">
        <w:lastRenderedPageBreak/>
        <w:t>ΑΙΤΙΟΛΟΓΙΚΗ ΕΚΘΕΣΗ</w:t>
      </w:r>
    </w:p>
    <w:p w:rsidR="006B6053" w:rsidRPr="005C3FFB" w:rsidRDefault="006B6053" w:rsidP="00D44A79">
      <w:pPr>
        <w:pStyle w:val="Heading1"/>
        <w:numPr>
          <w:ilvl w:val="0"/>
          <w:numId w:val="11"/>
        </w:numPr>
      </w:pPr>
      <w:r w:rsidRPr="005C3FFB">
        <w:t>ΠΛΑΙΣΙΟ ΤΗΣ ΠΡΟΤΑΣΗΣ</w:t>
      </w:r>
    </w:p>
    <w:p w:rsidR="006B6053" w:rsidRPr="005C3FFB" w:rsidRDefault="006B6053" w:rsidP="00A9604F">
      <w:pPr>
        <w:pStyle w:val="Heading2"/>
        <w:rPr>
          <w:rFonts w:eastAsia="Arial Unicode MS"/>
        </w:rPr>
      </w:pPr>
      <w:r w:rsidRPr="005C3FFB">
        <w:t>Αιτιολόγηση και στόχοι της πρότασης</w:t>
      </w:r>
    </w:p>
    <w:p w:rsidR="008B1488" w:rsidRPr="005C3FFB" w:rsidRDefault="00FD72C0" w:rsidP="00172358">
      <w:pPr>
        <w:pBdr>
          <w:top w:val="nil"/>
          <w:left w:val="nil"/>
          <w:bottom w:val="nil"/>
          <w:right w:val="nil"/>
          <w:between w:val="nil"/>
          <w:bar w:val="nil"/>
        </w:pBdr>
        <w:spacing w:before="0" w:after="240"/>
        <w:rPr>
          <w:rFonts w:eastAsia="Arial Unicode MS"/>
        </w:rPr>
      </w:pPr>
      <w:r w:rsidRPr="005C3FFB">
        <w:t xml:space="preserve">Η σημασία του ανθρώπινου παράγοντα για την ασφάλεια της ζωής στη θάλασσα και για την προστασία του θαλάσσιου περιβάλλοντος έχει αναγνωριστεί σε επίπεδο Ένωσης από τις αρχές της δεκαετίας του </w:t>
      </w:r>
      <w:r w:rsidRPr="00A2201F">
        <w:t>1990</w:t>
      </w:r>
      <w:r w:rsidRPr="005C3FFB">
        <w:rPr>
          <w:rStyle w:val="FootnoteReference"/>
        </w:rPr>
        <w:footnoteReference w:id="1"/>
      </w:r>
      <w:r w:rsidRPr="005C3FFB">
        <w:t xml:space="preserve">. Η ενίσχυση της ναυτικής εκπαίδευσης, κατάρτισης και πιστοποίησης των ναυτικών θεωρήθηκαν ιδιαίτερης σημασίας για την επίτευξη υψηλού επιπέδου ασφάλειας. Σε επίπεδο ΕΕ τούτο επιτεύχθηκε μέσω της οδηγίας </w:t>
      </w:r>
      <w:r w:rsidRPr="00A2201F">
        <w:t>2008</w:t>
      </w:r>
      <w:r w:rsidRPr="005C3FFB">
        <w:t>/</w:t>
      </w:r>
      <w:r w:rsidRPr="00A2201F">
        <w:t>106</w:t>
      </w:r>
      <w:r w:rsidRPr="005C3FFB">
        <w:t>/ΕΚ, όπως τροποποιήθηκε</w:t>
      </w:r>
      <w:r w:rsidRPr="005C3FFB">
        <w:rPr>
          <w:rStyle w:val="FootnoteReference"/>
        </w:rPr>
        <w:footnoteReference w:id="2"/>
      </w:r>
      <w:r w:rsidRPr="005C3FFB">
        <w:t>, με την οποία καθορίστηκαν ελάχιστα πρότυ</w:t>
      </w:r>
      <w:r w:rsidR="004E2F50">
        <w:t xml:space="preserve">πα κατάρτισης και εκπαίδευσης. </w:t>
      </w:r>
      <w:r w:rsidRPr="005C3FFB">
        <w:t xml:space="preserve">Η παρούσα οδηγία ενσωματώνει, σε επίπεδο ΕΕ, το διεθνές πλαίσιο για τις απαιτήσεις εκπαίδευσης, πιστοποίησης και τήρησης φυλακών για ναυτικούς που αναπτύχθηκαν από τον Διεθνή Ναυτιλιακό Οργανισμό (ΔΝΟ) και ορίζονται στη Διεθνή Σύμβαση για πρότυπα εκπαίδευσης, έκδοσης πιστοποιητικών και τήρησης φυλακών των ναυτικών του </w:t>
      </w:r>
      <w:r w:rsidRPr="00A2201F">
        <w:t>1978</w:t>
      </w:r>
      <w:r w:rsidRPr="005C3FFB">
        <w:t>, όπως τροποποιήθηκε (σύμβαση STCW).</w:t>
      </w:r>
    </w:p>
    <w:p w:rsidR="0094535B" w:rsidRPr="005C3FFB" w:rsidRDefault="0094535B" w:rsidP="00172358">
      <w:pPr>
        <w:pBdr>
          <w:top w:val="nil"/>
          <w:left w:val="nil"/>
          <w:bottom w:val="nil"/>
          <w:right w:val="nil"/>
          <w:between w:val="nil"/>
          <w:bar w:val="nil"/>
        </w:pBdr>
        <w:spacing w:before="0" w:after="240"/>
        <w:rPr>
          <w:rFonts w:eastAsia="Arial Unicode MS"/>
        </w:rPr>
      </w:pPr>
      <w:r w:rsidRPr="005C3FFB">
        <w:t xml:space="preserve">Η οδηγία </w:t>
      </w:r>
      <w:r w:rsidRPr="00A2201F">
        <w:t>2008</w:t>
      </w:r>
      <w:r w:rsidRPr="005C3FFB">
        <w:t>/</w:t>
      </w:r>
      <w:r w:rsidRPr="00A2201F">
        <w:t>106</w:t>
      </w:r>
      <w:r w:rsidRPr="005C3FFB">
        <w:t xml:space="preserve">/ΕΚ περιλαμβάνει και έναν κοινό μηχανισμό της ΕΕ για την αναγνώριση των συστημάτων ναυτικής εκπαίδευσης, κατάρτισης και πιστοποίησης των ναυτικών από τρίτες χώρες. Επιπροσθέτως, απαιτεί από την Επιτροπή, επικουρούμενη από τον Ευρωπαϊκό Οργανισμό για την Ασφάλεια στη Θάλασσα (EMSA), να επαληθεύει, σε τακτική βάση, ότι τα κράτη μέλη και τρίτες χώρες πληρούν τις απαιτήσεις της οδηγίας </w:t>
      </w:r>
      <w:r w:rsidRPr="00A2201F">
        <w:t>2008</w:t>
      </w:r>
      <w:r w:rsidRPr="005C3FFB">
        <w:t>/</w:t>
      </w:r>
      <w:r w:rsidRPr="00A2201F">
        <w:t>106</w:t>
      </w:r>
      <w:r w:rsidRPr="005C3FFB">
        <w:t xml:space="preserve">/ΕΚ και της σύμβασης STCW, αντίστοιχα. </w:t>
      </w:r>
    </w:p>
    <w:p w:rsidR="0094535B" w:rsidRPr="005C3FFB" w:rsidRDefault="00FD72C0" w:rsidP="00172358">
      <w:pPr>
        <w:pBdr>
          <w:top w:val="nil"/>
          <w:left w:val="nil"/>
          <w:bottom w:val="nil"/>
          <w:right w:val="nil"/>
          <w:between w:val="nil"/>
          <w:bar w:val="nil"/>
        </w:pBdr>
        <w:spacing w:before="0" w:after="240"/>
        <w:rPr>
          <w:rFonts w:eastAsia="Arial Unicode MS"/>
        </w:rPr>
      </w:pPr>
      <w:r w:rsidRPr="005C3FFB">
        <w:t xml:space="preserve">Στόχος της οδηγίας </w:t>
      </w:r>
      <w:r w:rsidRPr="00A2201F">
        <w:t>2005</w:t>
      </w:r>
      <w:r w:rsidRPr="005C3FFB">
        <w:t>/</w:t>
      </w:r>
      <w:r w:rsidRPr="00A2201F">
        <w:t>45</w:t>
      </w:r>
      <w:r w:rsidRPr="005C3FFB">
        <w:t>/ΕΚ</w:t>
      </w:r>
      <w:r w:rsidRPr="005C3FFB">
        <w:rPr>
          <w:rStyle w:val="FootnoteReference"/>
        </w:rPr>
        <w:footnoteReference w:id="3"/>
      </w:r>
      <w:r w:rsidRPr="005C3FFB">
        <w:t xml:space="preserve"> ήταν η ενίσχυση της επαγγελματικής κινητικότητας των ναυτικών εντός της Ευρωπαϊκής Ένωσης, με τη διευκόλυνση της αμοιβαίας αναγνώρισης πιστοποιητικών των ναυτικών τα οποία εκδίδονται από τα κράτη μέλη. Η οδηγία εισήγαγε μια απλουστευμένη διαδικασία για την αναγνώριση των πιστοποιητικών των ναυτικών τα οποία εκδίδονται από τα κράτη μέλη. Στόχος ήταν να διασφαλίζεται ότι όλοι οι ναυτικοί, των οποίων τα προσόντα έχουν αναγνωρισθεί σε ένα κράτος μέλος και οι οποίοι κατέχουν τέτοια πιστοποιητικά, έχουν το δικαίωμα να υπηρετούν σε πλοία που φέρουν τη σημαία οποιουδήποτε κράτους μέλους.</w:t>
      </w:r>
    </w:p>
    <w:p w:rsidR="00377C9B" w:rsidRPr="005C3FFB" w:rsidRDefault="00377C9B" w:rsidP="00172358">
      <w:pPr>
        <w:pBdr>
          <w:top w:val="nil"/>
          <w:left w:val="nil"/>
          <w:bottom w:val="nil"/>
          <w:right w:val="nil"/>
          <w:between w:val="nil"/>
          <w:bar w:val="nil"/>
        </w:pBdr>
        <w:spacing w:before="0" w:after="240"/>
      </w:pPr>
      <w:r w:rsidRPr="005C3FFB">
        <w:t>Διενεργήθηκε αξιολόγηση από την οποία προέκυψε το συμπέρασμα ότι αμφότερες οι οδηγίες είναι κατάλληλες για τον επιδιωκόμενο σκοπό και ότι ικανοποιούν σε μεγάλο βαθμό τους αρχικούς στόχους και προσδοκίες. Εντούτοις, εντοπίστηκαν επίσης στοιχεία τα οποία παρακωλύουν την αποτελεσματικότητα και την αποδοτικότητα του νομοθετικού πλαισίου. Η παρούσα πρόταση αποσκοπεί στην αντιμετώπιση των προβλημάτων που προσδιορίστηκαν.</w:t>
      </w:r>
    </w:p>
    <w:p w:rsidR="000D4CC8" w:rsidRPr="005C3FFB" w:rsidRDefault="00FE4E4E" w:rsidP="00172358">
      <w:pPr>
        <w:pBdr>
          <w:top w:val="nil"/>
          <w:left w:val="nil"/>
          <w:bottom w:val="nil"/>
          <w:right w:val="nil"/>
          <w:between w:val="nil"/>
          <w:bar w:val="nil"/>
        </w:pBdr>
        <w:spacing w:before="0" w:after="240"/>
        <w:rPr>
          <w:rFonts w:eastAsia="Arial Unicode MS"/>
        </w:rPr>
      </w:pPr>
      <w:r w:rsidRPr="005C3FFB">
        <w:lastRenderedPageBreak/>
        <w:t>Συνεπώς, ο πρωταρχικός στόχος της παρούσας αναθεώρησης είναι η απλούστευση και ο εξορθολογισμός του υφιστάμενου κανονιστικού πλαισίου της ΕΕ αναφορικά με την εκπαίδευση και την πιστοποίηση των ναυτικών, ούτως ώστε: i) οι κανόνες της ΕΕ να παραμένουν ευθυγραμμισμένοι με το διεθνές πλαίσιο· ii) να αναμορφωθεί ο κεντρικός μηχανισμός για την αναγνώριση τρίτων χωρών, ώστε να ενισχυθεί η αποδοτικότητα και η αποτελεσματικότητά του· και iii) να αυξηθεί η νομική σαφήνεια αναφορικά με την αμοιβαία αναγνώριση των πιστοποιητικών των ναυτικών που εκδίδονται από τα κράτη μέλη.</w:t>
      </w:r>
    </w:p>
    <w:p w:rsidR="006B6053" w:rsidRPr="005C3FFB" w:rsidRDefault="006B6053" w:rsidP="00E03D62">
      <w:pPr>
        <w:pStyle w:val="Heading2"/>
        <w:rPr>
          <w:rFonts w:eastAsia="Arial Unicode MS"/>
          <w:u w:color="000000"/>
          <w:bdr w:val="nil"/>
        </w:rPr>
      </w:pPr>
      <w:r w:rsidRPr="005C3FFB">
        <w:t>Συνέπεια με τις ισχύουσες διατάξεις στον τομέα πολιτικής</w:t>
      </w:r>
    </w:p>
    <w:p w:rsidR="006B6053" w:rsidRPr="005C3FFB" w:rsidRDefault="00360F1B" w:rsidP="00A03951">
      <w:pPr>
        <w:pBdr>
          <w:top w:val="nil"/>
          <w:left w:val="nil"/>
          <w:bottom w:val="nil"/>
          <w:right w:val="nil"/>
          <w:between w:val="nil"/>
          <w:bar w:val="nil"/>
        </w:pBdr>
        <w:spacing w:before="0" w:after="240"/>
        <w:rPr>
          <w:rFonts w:eastAsia="Arial Unicode MS"/>
        </w:rPr>
      </w:pPr>
      <w:r w:rsidRPr="005C3FFB">
        <w:t xml:space="preserve">Η πρόταση συνάδει πλήρως με τους στόχους της στρατηγικής θαλάσσιων μεταφορών </w:t>
      </w:r>
      <w:r w:rsidRPr="00A2201F">
        <w:t>2018</w:t>
      </w:r>
      <w:r w:rsidRPr="005C3FFB">
        <w:rPr>
          <w:rStyle w:val="FootnoteReference"/>
        </w:rPr>
        <w:footnoteReference w:id="4"/>
      </w:r>
      <w:r w:rsidRPr="005C3FFB">
        <w:t xml:space="preserve">, στην οποία ζητούνταν η συνέχιση της ευθυγράμμισης του ευρωπαϊκού πλαισίου με τη σύμβαση STCW και την επίτευξη ισότιμων όρων ανταγωνισμού στην εφαρμογή του διεθνούς πλαισίου μεταξύ ΕΕ και τρίτων χωρών. Επιπροσθέτως, μετά την εισαγωγή, με την οδηγία </w:t>
      </w:r>
      <w:r w:rsidRPr="00A2201F">
        <w:t>2005</w:t>
      </w:r>
      <w:r w:rsidRPr="005C3FFB">
        <w:t>/</w:t>
      </w:r>
      <w:r w:rsidRPr="00A2201F">
        <w:t>45</w:t>
      </w:r>
      <w:r w:rsidRPr="005C3FFB">
        <w:t xml:space="preserve">/ΕΚ, του καθεστώτος αμοιβαίας αναγνώρισης των πιστοποιητικών των ναυτικών τα οποία εκδίδονται από τα κράτη μέλη, οι διατάξεις για την αναγνώριση των επαγγελματικών προσόντων της οδηγίας </w:t>
      </w:r>
      <w:r w:rsidRPr="00A2201F">
        <w:t>2005</w:t>
      </w:r>
      <w:r w:rsidRPr="005C3FFB">
        <w:t>/</w:t>
      </w:r>
      <w:r w:rsidRPr="00A2201F">
        <w:t>36</w:t>
      </w:r>
      <w:r w:rsidRPr="005C3FFB">
        <w:t>/ΕΚ του Ευρωπαϊκού Κοινοβουλίου και του Συμβουλίου</w:t>
      </w:r>
      <w:r w:rsidRPr="005C3FFB">
        <w:rPr>
          <w:rStyle w:val="FootnoteReference"/>
        </w:rPr>
        <w:footnoteReference w:id="5"/>
      </w:r>
      <w:r w:rsidRPr="005C3FFB">
        <w:t xml:space="preserve"> δεν εφαρμόζονται όσον αφορά την αναγνώριση πιστοποιητικών των ναυτικών δυνάμει της οδηγίας </w:t>
      </w:r>
      <w:r w:rsidRPr="00A2201F">
        <w:t>2008</w:t>
      </w:r>
      <w:r w:rsidRPr="005C3FFB">
        <w:t>/</w:t>
      </w:r>
      <w:r w:rsidRPr="00A2201F">
        <w:t>106</w:t>
      </w:r>
      <w:r w:rsidRPr="005C3FFB">
        <w:t>/ΕΚ.</w:t>
      </w:r>
    </w:p>
    <w:p w:rsidR="006B6053" w:rsidRPr="005C3FFB" w:rsidRDefault="006B6053" w:rsidP="00A47650">
      <w:pPr>
        <w:pStyle w:val="Heading2"/>
        <w:rPr>
          <w:rFonts w:eastAsia="Arial Unicode MS"/>
        </w:rPr>
      </w:pPr>
      <w:r w:rsidRPr="005C3FFB">
        <w:t>Συνέπεια με άλλες πολιτικές της Ένωσης</w:t>
      </w:r>
    </w:p>
    <w:p w:rsidR="006B6053" w:rsidRPr="005C3FFB" w:rsidRDefault="00A47650" w:rsidP="00095DF7">
      <w:pPr>
        <w:pBdr>
          <w:top w:val="nil"/>
          <w:left w:val="nil"/>
          <w:bottom w:val="nil"/>
          <w:right w:val="nil"/>
          <w:between w:val="nil"/>
          <w:bar w:val="nil"/>
        </w:pBdr>
        <w:spacing w:before="0" w:after="240"/>
        <w:rPr>
          <w:rFonts w:eastAsia="Arial Unicode MS"/>
        </w:rPr>
      </w:pPr>
      <w:r w:rsidRPr="005C3FFB">
        <w:t xml:space="preserve">Η πρόταση διασφαλίζει ότι η υφιστάμενη νομοθεσία είναι απλή και σαφής, ότι δεν δημιουργεί περιττές επιβαρύνσεις και ότι συμβαδίζει με τις συνεχείς πολιτικές και κοινωνικές εξελίξεις σε ευρωπαϊκό και διεθνές επίπεδο. Η πρόταση ευθυγραμμίζεται πλήρως με τη Λευκή Βίβλο του </w:t>
      </w:r>
      <w:r w:rsidRPr="00A2201F">
        <w:t>2011</w:t>
      </w:r>
      <w:r w:rsidRPr="005C3FFB">
        <w:t xml:space="preserve"> για το μέλλον των μεταφορών</w:t>
      </w:r>
      <w:r w:rsidRPr="005C3FFB">
        <w:rPr>
          <w:rStyle w:val="FootnoteReference"/>
        </w:rPr>
        <w:footnoteReference w:id="6"/>
      </w:r>
      <w:r w:rsidRPr="005C3FFB">
        <w:t>, διασφαλίζοντας την εναρμονισμένη υλοποίηση των απαιτήσεων της σύμβασης STCW στην Ένωση και ίσους όρους ανταγωνισμού μεταξύ των κρατών μελών και τρίτων χωρών.</w:t>
      </w:r>
    </w:p>
    <w:p w:rsidR="000D5DB0" w:rsidRPr="005C3FFB" w:rsidRDefault="006B6053" w:rsidP="00E9670F">
      <w:pPr>
        <w:pStyle w:val="Heading1"/>
        <w:rPr>
          <w:bCs w:val="0"/>
          <w:smallCaps w:val="0"/>
        </w:rPr>
      </w:pPr>
      <w:r w:rsidRPr="005C3FFB">
        <w:t>ΝΟΜΙΚΗ ΒΑΣΗ, ΕΠΙΚΟΥΡΙΚΟΤΗΤΑ ΚΑΙ ΑΝΑΛΟΓΙΚΟΤΗΤΑ</w:t>
      </w:r>
    </w:p>
    <w:p w:rsidR="006B6053" w:rsidRPr="005C3FFB" w:rsidRDefault="006B6053" w:rsidP="00E9670F">
      <w:pPr>
        <w:pStyle w:val="Heading2"/>
        <w:rPr>
          <w:rFonts w:eastAsia="Arial Unicode MS"/>
        </w:rPr>
      </w:pPr>
      <w:r w:rsidRPr="005C3FFB">
        <w:t>Νομική βάση</w:t>
      </w:r>
    </w:p>
    <w:p w:rsidR="006B6053" w:rsidRPr="005C3FFB" w:rsidRDefault="000D5DB0" w:rsidP="000D5DB0">
      <w:pPr>
        <w:pBdr>
          <w:top w:val="nil"/>
          <w:left w:val="nil"/>
          <w:bottom w:val="nil"/>
          <w:right w:val="nil"/>
          <w:between w:val="nil"/>
          <w:bar w:val="nil"/>
        </w:pBdr>
        <w:spacing w:before="0" w:after="240"/>
        <w:rPr>
          <w:rFonts w:eastAsia="Arial Unicode MS"/>
        </w:rPr>
      </w:pPr>
      <w:r w:rsidRPr="005C3FFB">
        <w:t xml:space="preserve">Δεδομένου ότι η πρόταση τροποποιεί την ισχύουσα οδηγία </w:t>
      </w:r>
      <w:r w:rsidRPr="00A2201F">
        <w:t>2008</w:t>
      </w:r>
      <w:r w:rsidRPr="005C3FFB">
        <w:t>/</w:t>
      </w:r>
      <w:r w:rsidRPr="00A2201F">
        <w:t>106</w:t>
      </w:r>
      <w:r w:rsidRPr="005C3FFB">
        <w:t xml:space="preserve">/ΕΚ και καταργεί την οδηγία </w:t>
      </w:r>
      <w:r w:rsidRPr="00A2201F">
        <w:t>2005</w:t>
      </w:r>
      <w:r w:rsidRPr="005C3FFB">
        <w:t>/</w:t>
      </w:r>
      <w:r w:rsidRPr="00A2201F">
        <w:t>45</w:t>
      </w:r>
      <w:r w:rsidRPr="005C3FFB">
        <w:t>/ΕΚ, η νομική βάση εξακολουθεί να είναι το άρθρο </w:t>
      </w:r>
      <w:r w:rsidRPr="00A2201F">
        <w:t>100</w:t>
      </w:r>
      <w:r w:rsidRPr="005C3FFB">
        <w:t xml:space="preserve"> παράγραφος </w:t>
      </w:r>
      <w:r w:rsidRPr="00A2201F">
        <w:t>2</w:t>
      </w:r>
      <w:r w:rsidRPr="005C3FFB">
        <w:t xml:space="preserve"> της ΣΛΕΕ (πρώην άρθρο </w:t>
      </w:r>
      <w:r w:rsidRPr="00A2201F">
        <w:t>80</w:t>
      </w:r>
      <w:r w:rsidRPr="005C3FFB">
        <w:t xml:space="preserve"> παράγραφος </w:t>
      </w:r>
      <w:r w:rsidRPr="00A2201F">
        <w:t>2</w:t>
      </w:r>
      <w:r w:rsidRPr="005C3FFB">
        <w:t xml:space="preserve"> της ΣΕΚ), το οποίο προβλέπει μέτρα στον τομέα των θαλάσσιων μεταφορών.</w:t>
      </w:r>
    </w:p>
    <w:p w:rsidR="006B6053" w:rsidRPr="005C3FFB" w:rsidRDefault="006B6053" w:rsidP="000D5DB0">
      <w:pPr>
        <w:pStyle w:val="Heading2"/>
        <w:rPr>
          <w:rFonts w:eastAsia="Arial Unicode MS"/>
          <w:u w:color="000000"/>
          <w:bdr w:val="nil"/>
        </w:rPr>
      </w:pPr>
      <w:r w:rsidRPr="005C3FFB">
        <w:t xml:space="preserve">Επικουρικότητα (σε περίπτωση μη αποκλειστικής αρμοδιότητας) </w:t>
      </w:r>
    </w:p>
    <w:p w:rsidR="000D5DB0" w:rsidRPr="005C3FFB" w:rsidRDefault="006B474D" w:rsidP="000D5DB0">
      <w:pPr>
        <w:pBdr>
          <w:top w:val="nil"/>
          <w:left w:val="nil"/>
          <w:bottom w:val="nil"/>
          <w:right w:val="nil"/>
          <w:between w:val="nil"/>
          <w:bar w:val="nil"/>
        </w:pBdr>
        <w:spacing w:before="0" w:after="240"/>
      </w:pPr>
      <w:r w:rsidRPr="005C3FFB">
        <w:t>Η νομοθεσία της ΕΕ αναφορικά με τις απαιτήσεις εκπαίδευσης και πιστοποίησης των ναυτικών έχει διατυπωθεί και διαμορφωθεί κυρίως σύμφωνα με τις διεθνείς απαιτήσεις, και συγκεκριμένα τη σύμβαση STCW. Καθώς η σύμβαση STCW έχει ήδη πλήρως μεταφερθεί στο ενωσιακό δίκαιο και όλα τα κράτη μέλη είναι μέρη της σύμβασης, η οδηγία πρέπει να ευθυγραμμιστεί με τις πρόσφατες τροποποιήσεις του διεθνούς πλαισίου.</w:t>
      </w:r>
    </w:p>
    <w:p w:rsidR="006B474D" w:rsidRPr="005C3FFB" w:rsidRDefault="00D33299" w:rsidP="000D5DB0">
      <w:pPr>
        <w:pBdr>
          <w:top w:val="nil"/>
          <w:left w:val="nil"/>
          <w:bottom w:val="nil"/>
          <w:right w:val="nil"/>
          <w:between w:val="nil"/>
          <w:bar w:val="nil"/>
        </w:pBdr>
        <w:spacing w:before="0" w:after="240"/>
      </w:pPr>
      <w:r w:rsidRPr="005C3FFB">
        <w:t xml:space="preserve">Με δεδομένη τη διεθνή φύση της ναυτιλίας, θα πρέπει να αποφευχθεί η σύγκρουση μεταξύ των διεθνών δεσμεύσεων των κρατών μελών και των δεσμεύσεών τους έναντι της Ένωσης. Από την άποψη αυτή, είναι ζωτικής σημασίας η σύμβαση STCW να εφαρμοστεί με εναρμονισμένο τρόπο σε ολόκληρη την Ένωση, ώστε να είναι εφικτή η διατήρηση ισότιμων όρων ανταγωνισμού μεταξύ των κρατών μελών. </w:t>
      </w:r>
    </w:p>
    <w:p w:rsidR="00A03951" w:rsidRPr="005C3FFB" w:rsidRDefault="00D33299" w:rsidP="000D5DB0">
      <w:pPr>
        <w:pBdr>
          <w:top w:val="nil"/>
          <w:left w:val="nil"/>
          <w:bottom w:val="nil"/>
          <w:right w:val="nil"/>
          <w:between w:val="nil"/>
          <w:bar w:val="nil"/>
        </w:pBdr>
        <w:spacing w:before="0" w:after="240"/>
      </w:pPr>
      <w:r w:rsidRPr="005C3FFB">
        <w:t>Επιπλέον, ο κεντρικός μηχανισμός για την αναγνώριση τρίτων χωρών ενσωματώνει, σε επίπεδο Ένωσης, την υποχρέωση των κρατών μελών δυνάμει της σύμβασης STCW να αξιολογούν τα συστήματα κατάρτισης, εκπαίδευσης και πιστοποίησης τρίτων χωρών των οποίων τα πιστοποιητικά ναυτικών αναγνωρίζουν. Όπως προέκυψε από την αξιολόγηση, ο κεντρικός μηχανισμός συνέβαλε στη δημιουργία ίσων όρων ανταγωνισμού μεταξύ της ΕΕ και τρίτων χωρών, ενώ παράλληλα οδήγησε σε σημαντικό περιορισμό του κόστους εν συγκρίσει με την περίπτωση διενέργειας ελέγχων στις τρίτες χώρες από κάθε κράτος μέλος χωριστά.</w:t>
      </w:r>
    </w:p>
    <w:p w:rsidR="006B6053" w:rsidRPr="004E2F50" w:rsidRDefault="00A03951" w:rsidP="000D5DB0">
      <w:pPr>
        <w:pBdr>
          <w:top w:val="nil"/>
          <w:left w:val="nil"/>
          <w:bottom w:val="nil"/>
          <w:right w:val="nil"/>
          <w:between w:val="nil"/>
          <w:bar w:val="nil"/>
        </w:pBdr>
        <w:spacing w:before="0" w:after="240"/>
        <w:rPr>
          <w:rFonts w:eastAsia="Arial Unicode MS"/>
        </w:rPr>
      </w:pPr>
      <w:r w:rsidRPr="005C3FFB">
        <w:t>Τα προτεινόμενα μέτρα θα διασφαλίζουν ότι το διεθνές πλαίσιο εφαρμόζεται από τα κράτη μέλη με εναρμονισμένο τρόπο, ενώ παράλληλα θα εγγυώνται την αποδοτική κατανομή των διαθέσιμων ανθρώπινων και οικονομικών πόρων που δεσμεύονται στο πλαίσιο του κεντρικού μηχανισμού για την αναγνώριση τρίτων χωρ</w:t>
      </w:r>
      <w:r w:rsidR="004E2F50">
        <w:t xml:space="preserve">ών. </w:t>
      </w:r>
    </w:p>
    <w:p w:rsidR="006B6053" w:rsidRPr="005C3FFB" w:rsidRDefault="006B6053" w:rsidP="008A699D">
      <w:pPr>
        <w:pStyle w:val="Heading2"/>
        <w:rPr>
          <w:rFonts w:eastAsia="Arial Unicode MS"/>
          <w:u w:color="000000"/>
          <w:bdr w:val="nil"/>
        </w:rPr>
      </w:pPr>
      <w:r w:rsidRPr="005C3FFB">
        <w:t>Αναλογικότητα</w:t>
      </w:r>
    </w:p>
    <w:p w:rsidR="006B6053" w:rsidRPr="005C3FFB" w:rsidRDefault="00F77689" w:rsidP="00095DF7">
      <w:pPr>
        <w:pBdr>
          <w:top w:val="nil"/>
          <w:left w:val="nil"/>
          <w:bottom w:val="nil"/>
          <w:right w:val="nil"/>
          <w:between w:val="nil"/>
          <w:bar w:val="nil"/>
        </w:pBdr>
        <w:spacing w:before="0" w:after="240"/>
        <w:rPr>
          <w:rFonts w:eastAsia="Arial Unicode MS"/>
        </w:rPr>
      </w:pPr>
      <w:r w:rsidRPr="005C3FFB">
        <w:t>Λαμβανομένων υπόψη των πρόσφατων νομικών εξελίξεων και των τροποποιήσεων της σύμβασης STCW, η πρόταση για ευθυγράμμιση των υφιστάμενων ενωσιακών απαιτήσεων προς τις διεθνείς απαιτήσεις, για ενίσχυση της αποδοτικότητας του κεντρικού μηχανισμού αναγνώρισης των τρίτων χωρών και για διασαφήνιση του ορισμού των πιστοποιητικών ναυτικών που αναγνωρίζονται μεταξύ των κρατών μελών, θεωρείται ότι συνιστά τη μοναδική αναλογική και συνεκτική επιλογή. Διασφαλίζει ότι δεν διακυβεύεται το υφιστάμενο υψηλό επίπεδο ασφάλειας και επιτρέπει την καλύτερη χρήση των διαθέσιμων πόρων.</w:t>
      </w:r>
    </w:p>
    <w:p w:rsidR="006B6053" w:rsidRPr="005C3FFB" w:rsidRDefault="006B6053" w:rsidP="00F77689">
      <w:pPr>
        <w:pStyle w:val="Heading2"/>
        <w:rPr>
          <w:rFonts w:eastAsia="Arial Unicode MS"/>
          <w:u w:color="000000"/>
          <w:bdr w:val="nil"/>
        </w:rPr>
      </w:pPr>
      <w:r w:rsidRPr="005C3FFB">
        <w:t>Επιλογή της νομικής πράξης</w:t>
      </w:r>
    </w:p>
    <w:p w:rsidR="006B6053" w:rsidRPr="005C3FFB" w:rsidRDefault="00704F5D" w:rsidP="00095DF7">
      <w:pPr>
        <w:pBdr>
          <w:top w:val="nil"/>
          <w:left w:val="nil"/>
          <w:bottom w:val="nil"/>
          <w:right w:val="nil"/>
          <w:between w:val="nil"/>
          <w:bar w:val="nil"/>
        </w:pBdr>
        <w:spacing w:before="0" w:after="240"/>
        <w:rPr>
          <w:rFonts w:eastAsia="Arial Unicode MS"/>
        </w:rPr>
      </w:pPr>
      <w:r w:rsidRPr="005C3FFB">
        <w:t xml:space="preserve">Η οδηγία θεωρείται ως το πλέον κατάλληλο μέσο για την επίτευξη των στόχων που έχουν τεθεί. Καθιερώνει κοινές αρχές και εναρμονισμένο επίπεδο ασφάλειας, εξασφαλίζει την επιβολή των κανόνων, ενώ αφήνει στη διακριτική ευχέρεια κάθε κράτους μέλους την επιλογή των εφαρμοστέων νομικών και τεχνικών διαδικασιών. Ειδικότερα, τα προτεινόμενα μέτρα σχετίζονται με τις ελάχιστες απαιτήσεις εκπαίδευσης των ναυτικών και θεωρείται ότι μια οδηγία αφήνει στα κράτη μέλη την απαραίτητη ελευθερία ώστε να καθιερώνουν υψηλότερες απαιτήσεις στα εκπαιδευτικά τους συστήματα, εφόσον το θεωρούν δέον. </w:t>
      </w:r>
    </w:p>
    <w:p w:rsidR="00102833" w:rsidRPr="005C3FFB" w:rsidRDefault="006B6053" w:rsidP="00E9670F">
      <w:pPr>
        <w:pStyle w:val="Heading1"/>
        <w:rPr>
          <w:bCs w:val="0"/>
          <w:smallCaps w:val="0"/>
        </w:rPr>
      </w:pPr>
      <w:r w:rsidRPr="005C3FFB">
        <w:t>ΑΠΟΤΕΛΕΣΜΑΤΑ ΤΩΝ ΕΚ ΤΩΝ ΥΣΤΕΡΩΝ ΑΞΙΟΛΟΓΗΣΕΩΝ, ΤΩΝ ΔΙΑΒΟΥΛΕΥΣΕΩΝ ΜΕ ΤΑ ΕΝΔΙΑΦΕΡΟΜΕΝΑ ΜΕΡΗ ΚΑΙ ΤΩΝ ΕΚΤΙΜΗΣΕΩΝ ΕΠΙΠΤΩΣΕΩΝ</w:t>
      </w:r>
    </w:p>
    <w:p w:rsidR="006B6053" w:rsidRPr="005C3FFB" w:rsidRDefault="006B6053" w:rsidP="00102833">
      <w:pPr>
        <w:pStyle w:val="Heading2"/>
        <w:rPr>
          <w:rFonts w:eastAsia="Arial Unicode MS"/>
          <w:u w:color="000000"/>
          <w:bdr w:val="nil"/>
        </w:rPr>
      </w:pPr>
      <w:r w:rsidRPr="005C3FFB">
        <w:t>Εκ των υστέρων αξιολογήσεις / έλεγχοι καταλληλότητας της ισχύουσας νομοθεσίας</w:t>
      </w:r>
    </w:p>
    <w:p w:rsidR="00317F1F" w:rsidRPr="005C3FFB" w:rsidRDefault="00317F1F" w:rsidP="00317F1F">
      <w:pPr>
        <w:pBdr>
          <w:top w:val="nil"/>
          <w:left w:val="nil"/>
          <w:bottom w:val="nil"/>
          <w:right w:val="nil"/>
          <w:between w:val="nil"/>
          <w:bar w:val="nil"/>
        </w:pBdr>
        <w:spacing w:before="0" w:after="240"/>
      </w:pPr>
      <w:r w:rsidRPr="005C3FFB">
        <w:t>Η Επιτροπή αξιολόγησε το κανονιστικό πλαίσιο της ΕΕ σχετικά με το ελάχιστο επίπεδο απαιτήσεων εκπαίδευσης και πιστοποίησης των ναυτικών και με την αμοιβαία αναγνώριση των πιστοποιητικών ναυτικών από τα κράτη μέλη</w:t>
      </w:r>
      <w:r w:rsidRPr="005C3FFB">
        <w:rPr>
          <w:rStyle w:val="FootnoteReference"/>
        </w:rPr>
        <w:footnoteReference w:id="7"/>
      </w:r>
      <w:r w:rsidRPr="005C3FFB">
        <w:t xml:space="preserve"> στο πλαίσιο του προγράμματος βελτίωσης της καταλληλότητας και της αποδοτικότητας του κανονιστικού πλαισίου (REFIT). Η αξιολόγηση REFIT υπέδειξε ότι το πλαίσιο της ΕΕ που σχετίζεται με την εκπαίδευση και την πιστοποίηση των ναυτικών σε γενικές γραμμές ικανοποιεί τους βασικούς στόχους του και παραμένει συναφές. Ειδικότερα, το πλαίσιο της ΕΕ έχει συνεισφέρει στην εξάλειψη της εργασίας ανειδίκευτων πληρωμάτων σε πλοία που φέρουν τη σημαία κράτους μέλους της ΕΕ χάρη στην ενίσχυση της ναυτικής εκπαίδευσης, κατάρτισης και πιστοποίησης, ενώ επιτεύχθηκαν ισότιμοι όροι ανταγωνισμού μεταξύ των ναυτικών που έχουν εκπαιδευτεί στην Ένωση και των απασχολούμενων ναυτικών που προέρχονται από τρίτες χώρες μέσω της θέσπισης του κεντρικού μηχανισμού της ΕΕ. Επιπλέον, η αμοιβαία αναγνώριση των πιστοποιητικών των ναυτικών σύμφωνα με την οδηγία </w:t>
      </w:r>
      <w:r w:rsidRPr="00A2201F">
        <w:t>2005</w:t>
      </w:r>
      <w:r w:rsidRPr="005C3FFB">
        <w:t>/</w:t>
      </w:r>
      <w:r w:rsidRPr="00A2201F">
        <w:t>45</w:t>
      </w:r>
      <w:r w:rsidRPr="005C3FFB">
        <w:t>/ΕΚ έχει ευνοήσει την κινητικότητα των ναυτικών μεταξύ σκαφών που φέρουν σημαία της ΕΕ.</w:t>
      </w:r>
    </w:p>
    <w:p w:rsidR="00317F1F" w:rsidRPr="005C3FFB" w:rsidRDefault="00317F1F" w:rsidP="00317F1F">
      <w:pPr>
        <w:pBdr>
          <w:top w:val="nil"/>
          <w:left w:val="nil"/>
          <w:bottom w:val="nil"/>
          <w:right w:val="nil"/>
          <w:between w:val="nil"/>
          <w:bar w:val="nil"/>
        </w:pBdr>
        <w:spacing w:before="0" w:after="240"/>
      </w:pPr>
      <w:r w:rsidRPr="005C3FFB">
        <w:t>Η αξιολόγηση REFIT ανέδειξε επίσης ορισμένες αδυναμίες όσον αφορά την αποδοτικότητα και την αποτελεσματικότητα κάποιων κανονιστικών απαιτήσεων, ειδικότερα:</w:t>
      </w:r>
    </w:p>
    <w:p w:rsidR="00317F1F" w:rsidRPr="005C3FFB" w:rsidRDefault="00CB3B19" w:rsidP="00CB3B19">
      <w:pPr>
        <w:pStyle w:val="Point0"/>
      </w:pPr>
      <w:r>
        <w:t>α)</w:t>
      </w:r>
      <w:r w:rsidRPr="00CB3B19">
        <w:tab/>
      </w:r>
      <w:r w:rsidR="00317F1F" w:rsidRPr="005C3FFB">
        <w:t>Το διοικητικό πλαίσιο αναφορικά με τη διαδικασία αναγνώρισης και επαναξιολόγησης τρίτων χωρών υπολείπεται σε αποτελεσματικότητα και αποδοτικότητα:</w:t>
      </w:r>
    </w:p>
    <w:p w:rsidR="00317F1F" w:rsidRPr="005C3FFB" w:rsidRDefault="00317F1F" w:rsidP="00D44A79">
      <w:pPr>
        <w:pStyle w:val="Bullet0"/>
        <w:numPr>
          <w:ilvl w:val="0"/>
          <w:numId w:val="13"/>
        </w:numPr>
      </w:pPr>
      <w:r w:rsidRPr="005C3FFB">
        <w:t>Η προθεσμία που ορίζεται στη νομοθεσία για την αναγνώριση νέων τρίτων χωρών δεν είναι ρεαλιστική, διότι δεν λαμβάνει επαρκώς υπόψη όλα τα απαραίτητα διαδικαστικά στάδια.</w:t>
      </w:r>
    </w:p>
    <w:p w:rsidR="00317F1F" w:rsidRPr="005C3FFB" w:rsidRDefault="00317F1F" w:rsidP="00EB551C">
      <w:pPr>
        <w:pStyle w:val="Bullet0"/>
      </w:pPr>
      <w:r w:rsidRPr="005C3FFB">
        <w:t xml:space="preserve">Οι διαθέσιμοι οικονομικοί και ανθρώπινοι πόροι που ενέχονται στη διαδικασία αναγνώρισης τρίτων χωρών δεν αξιοποιούνται αποδοτικά. Επί του παρόντος, η διαδικασία δεν λαμβάνει υπόψη τον αριθμό των πλοιάρχων και αξιωματικών που είναι πιθανόν να προσλαμβάνονται από τις τρίτες χώρες. </w:t>
      </w:r>
    </w:p>
    <w:p w:rsidR="00317F1F" w:rsidRPr="005C3FFB" w:rsidRDefault="00317F1F" w:rsidP="00EB551C">
      <w:pPr>
        <w:pStyle w:val="Bullet0"/>
      </w:pPr>
      <w:r w:rsidRPr="005C3FFB">
        <w:t>Η διαδικασία επαναξιολόγησης για τρίτες χώρες δεν διενεργείται με αναλογικό τρόπο. Η προθεσμία της επαναξιολόγησης δεν λαμβάνει υπόψη το ποσοστό συμμόρφωσης μιας χώρας προς τις απαιτήσεις της σύμβασης STCW ούτε τον αριθμό των θεωρήσεων που εκδίδουν τα κράτη μέλη.</w:t>
      </w:r>
    </w:p>
    <w:p w:rsidR="00317F1F" w:rsidRPr="005C3FFB" w:rsidRDefault="00CB3B19" w:rsidP="00CB3B19">
      <w:pPr>
        <w:pStyle w:val="Point0"/>
      </w:pPr>
      <w:r>
        <w:t>β)</w:t>
      </w:r>
      <w:r w:rsidRPr="00CB3B19">
        <w:tab/>
      </w:r>
      <w:r w:rsidR="00317F1F" w:rsidRPr="005C3FFB">
        <w:t>Το πεδίο εφαρμογής του καθεστώτος αμοιβαίας αναγνώρισης των πιστοποιητικών των ναυτικών τα οποία εκδίδονται από τα κράτη μέλη υπολείπεται σε σαφήνεια και ασφάλεια δικαίου.</w:t>
      </w:r>
    </w:p>
    <w:p w:rsidR="00317F1F" w:rsidRPr="005C3FFB" w:rsidRDefault="00CB3B19" w:rsidP="00CB3B19">
      <w:pPr>
        <w:pStyle w:val="Point0"/>
      </w:pPr>
      <w:r>
        <w:t>γ)</w:t>
      </w:r>
      <w:r w:rsidRPr="00CB3B19">
        <w:tab/>
      </w:r>
      <w:r w:rsidR="00317F1F" w:rsidRPr="005C3FFB">
        <w:t xml:space="preserve">Η οδηγία </w:t>
      </w:r>
      <w:r w:rsidR="00317F1F" w:rsidRPr="00A2201F">
        <w:t>2008</w:t>
      </w:r>
      <w:r w:rsidR="00317F1F" w:rsidRPr="005C3FFB">
        <w:t>/</w:t>
      </w:r>
      <w:r w:rsidR="00317F1F" w:rsidRPr="00A2201F">
        <w:t>106</w:t>
      </w:r>
      <w:r w:rsidR="00317F1F" w:rsidRPr="005C3FFB">
        <w:t>/ΕΚ πρέπει να ευθυγραμμίζεται ανά τακτικά χρονικά διαστήματα με τις πρόσφατες τροποποιήσεις της σύμβασης STCW. Από την άποψη αυτή, η τρέχουσα διαδικασία ενσωμάτωσης των τροποποιήσεων της σύμβασης STCW προκαλεί σημαντικές καθυστερήσεις και εγκυμονεί τον κίνδυνο το ενωσιακό δίκαιο να είναι ασυνεπές προς το διεθνές πλαίσιο για σημαντικό χρονικό διάστημα.</w:t>
      </w:r>
    </w:p>
    <w:p w:rsidR="006B6053" w:rsidRPr="005C3FFB" w:rsidRDefault="006B6053" w:rsidP="00C8498C">
      <w:pPr>
        <w:pStyle w:val="Heading2"/>
        <w:rPr>
          <w:rFonts w:eastAsia="Arial Unicode MS"/>
          <w:u w:color="000000"/>
          <w:bdr w:val="nil"/>
        </w:rPr>
      </w:pPr>
      <w:r w:rsidRPr="005C3FFB">
        <w:t>Διαβουλεύσεις με τα ενδιαφερόμενα μέρη</w:t>
      </w:r>
    </w:p>
    <w:p w:rsidR="00DC5662" w:rsidRPr="005C3FFB" w:rsidRDefault="00DE61CA" w:rsidP="00095DF7">
      <w:pPr>
        <w:pBdr>
          <w:top w:val="nil"/>
          <w:left w:val="nil"/>
          <w:bottom w:val="nil"/>
          <w:right w:val="nil"/>
          <w:between w:val="nil"/>
          <w:bar w:val="nil"/>
        </w:pBdr>
        <w:spacing w:before="0" w:after="240"/>
        <w:rPr>
          <w:rFonts w:eastAsia="Arial Unicode MS"/>
        </w:rPr>
      </w:pPr>
      <w:r w:rsidRPr="005C3FFB">
        <w:t xml:space="preserve">Λόγω της τεχνικής φύσης της προβλεπόμενης πρότασης, διενεργήθηκε στοχευμένη διαβούλευση. Εθνικοί εμπειρογνώμονες στη STCW, ενώσεις εφοπλιστών και συνδικαλιστικές ενώσεις ναυτικών εξέφρασαν τις απόψεις τους σε ηλεκτρονική έρευνα διάρκειας </w:t>
      </w:r>
      <w:r w:rsidRPr="00A2201F">
        <w:t>4</w:t>
      </w:r>
      <w:r w:rsidRPr="005C3FFB">
        <w:t xml:space="preserve"> εβδομάδων. Διοργανώθηκε εργαστήριο στο οποίο τα κράτη μέλη και οι ευρωπαϊκές ενώσεις εφοπλιστών και ναυτικών συμμετείχαν και αντάλλαξαν απόψεις σχετικά με τα προβλεπόμενα μέτρα. Η σύνοψη της διαβούλευσης, καθώς και λεπτομερείς παρατηρήσεις σχετικά με τα σχόλια που διατυπώθηκαν κατά τη διαδικασία διαβούλευσης παρέχονται στο έγγραφο εργασίας των υπηρεσιών της Επιτροπής που συνοδεύει την πρόταση. Τα προβλεπόμενα μέτρα υποστηρίχτηκαν από τη μεγάλη πλειοψηφία των εθνικών εμπειρογνωμόνων και των ενδιαφερομένων που συμμετείχαν. Μόνο οι ενδιαφερόμενοι που εκπροσωπούσαν τους εφοπλιστές εξέφρασαν ανησυχίες σχετικά με την αναμόρφωση του κεντρικού μηχανισμού και ξεκίνησαν διάλογο μεταξύ των κρατών μελών αναφορικά με την ανάγκη αναγνώρισης νέων τρίτων χωρών. Εντούτοις, οι ανησυχίες τους ενσωματώθηκαν στα τελικά μέτρα, ούτως ώστε οποιαδήποτε μέτρα αποδοτικότητας να αντισταθμίζονται με την ανάγκη διατήρησης της ανταγωνιστικότητας του ευρωπαϊκού στόλου, με την παροχή στο αιτούν κράτος μέλος της δυνατότητας να αναγνωρίζει μονομερώς την τρίτη χώρα έως ότου ληφθεί απόφαση σχετικά με την αναγνώρισή της.</w:t>
      </w:r>
    </w:p>
    <w:p w:rsidR="006B6053" w:rsidRPr="005C3FFB" w:rsidRDefault="006B6053" w:rsidP="00C05190">
      <w:pPr>
        <w:pStyle w:val="Heading2"/>
        <w:rPr>
          <w:rFonts w:eastAsia="Arial Unicode MS"/>
          <w:u w:color="000000"/>
          <w:bdr w:val="nil"/>
        </w:rPr>
      </w:pPr>
      <w:r w:rsidRPr="005C3FFB">
        <w:t>Συλλογή και χρήση εμπειρογνωσίας</w:t>
      </w:r>
    </w:p>
    <w:p w:rsidR="006B6053" w:rsidRPr="005C3FFB" w:rsidRDefault="00C05190" w:rsidP="00095DF7">
      <w:pPr>
        <w:pBdr>
          <w:top w:val="nil"/>
          <w:left w:val="nil"/>
          <w:bottom w:val="nil"/>
          <w:right w:val="nil"/>
          <w:between w:val="nil"/>
          <w:bar w:val="nil"/>
        </w:pBdr>
        <w:spacing w:before="0" w:after="240"/>
      </w:pPr>
      <w:r w:rsidRPr="005C3FFB">
        <w:t>Η παρούσα πρόταση βασίζεται κατά κύριο λόγο στα δεδομένα που συγκεντρώθηκαν κατά τη διάρκεια της αξιολόγησης REFIT, όπως αναφέρεται στο οικείο έγγραφο εργασίας των υπηρεσιών της Επιτροπής</w:t>
      </w:r>
      <w:r w:rsidRPr="005C3FFB">
        <w:rPr>
          <w:rStyle w:val="FootnoteReference"/>
        </w:rPr>
        <w:footnoteReference w:id="8"/>
      </w:r>
      <w:r w:rsidRPr="005C3FFB">
        <w:t>.</w:t>
      </w:r>
    </w:p>
    <w:p w:rsidR="00A7750E" w:rsidRPr="005C3FFB" w:rsidRDefault="00A7750E" w:rsidP="00095DF7">
      <w:pPr>
        <w:pBdr>
          <w:top w:val="nil"/>
          <w:left w:val="nil"/>
          <w:bottom w:val="nil"/>
          <w:right w:val="nil"/>
          <w:between w:val="nil"/>
          <w:bar w:val="nil"/>
        </w:pBdr>
        <w:spacing w:before="0" w:after="240"/>
      </w:pPr>
      <w:r w:rsidRPr="005C3FFB">
        <w:t xml:space="preserve">Επιπροσθέτως, στο πλαίσιο της προετοιμασίας της παρούσας πρότασης, διοργανώθηκε εργαστήριο με εθνικούς εμπειρογνώμονες και ενδιαφερομένους. Επιπλέον, η τεχνική εμπειρογνωσία συγκεντρώθηκε εσωτερικά σε συνεργασία με τον Ευρωπαϊκό Οργανισμό για την Ασφάλεια στη Θάλασσα. </w:t>
      </w:r>
    </w:p>
    <w:p w:rsidR="00A7750E" w:rsidRPr="005C3FFB" w:rsidRDefault="00A7750E" w:rsidP="00095DF7">
      <w:pPr>
        <w:pBdr>
          <w:top w:val="nil"/>
          <w:left w:val="nil"/>
          <w:bottom w:val="nil"/>
          <w:right w:val="nil"/>
          <w:between w:val="nil"/>
          <w:bar w:val="nil"/>
        </w:pBdr>
        <w:spacing w:before="0" w:after="240"/>
        <w:rPr>
          <w:rFonts w:eastAsia="Arial Unicode MS"/>
        </w:rPr>
      </w:pPr>
      <w:r w:rsidRPr="005C3FFB">
        <w:t>Τα αποτελέσματα του εργαστηρίου, οι συζητήσεις με τους εθνικούς εμπειρογνώμονες και οι απόψεις άλλων σχετικών ενδιαφερομένων αναφέρονται στο έγγραφο εργασίας που συνοδεύει την πρόταση.</w:t>
      </w:r>
    </w:p>
    <w:p w:rsidR="006B6053" w:rsidRPr="005C3FFB" w:rsidRDefault="006B6053" w:rsidP="00A7750E">
      <w:pPr>
        <w:pStyle w:val="Heading2"/>
        <w:rPr>
          <w:rFonts w:eastAsia="Arial Unicode MS"/>
          <w:u w:color="000000"/>
          <w:bdr w:val="nil"/>
        </w:rPr>
      </w:pPr>
      <w:r w:rsidRPr="005C3FFB">
        <w:t>Εκτίμηση επιπτώσεων</w:t>
      </w:r>
    </w:p>
    <w:p w:rsidR="00A7750E" w:rsidRPr="005C3FFB" w:rsidRDefault="00A7750E" w:rsidP="00095DF7">
      <w:pPr>
        <w:pBdr>
          <w:top w:val="nil"/>
          <w:left w:val="nil"/>
          <w:bottom w:val="nil"/>
          <w:right w:val="nil"/>
          <w:between w:val="nil"/>
          <w:bar w:val="nil"/>
        </w:pBdr>
        <w:spacing w:before="0" w:after="240"/>
        <w:rPr>
          <w:rFonts w:eastAsia="Arial Unicode MS"/>
        </w:rPr>
      </w:pPr>
      <w:r w:rsidRPr="005C3FFB">
        <w:t>Η πρόταση αποτελεί άμεση συνέχεια της αξιολόγησης REFIT που προσδιόρισε τα ζητήματα σχετικά με την ανάγκη για ευθυγράμμιση με το διεθνές πλαίσιο, για ενίσχυση της αποτελεσματικότητας του κεντρικού μηχανισμού αναγνώρισης τρίτων χωρών και για νομική σαφήνεια αναφορικά με την αναγνώριση των πιστοποιητικών των ναυτικών. Τα προβλεπόμενα μέτρα δεν αναμένεται να επιφέρουν σημαντικές επιπτώσεις (δηλ. πέραν της νομικής σαφήνειας, της ασφάλειας ή της απλότητας του δικαίου) και δεν εντοπίζονται ουσιωδώς διαφορετικές λύσεις. Σύμφωνα με τις κατευθυντήριες γραμμές της Επιτροπής για τη βελτίωση της νομοθεσίας, δεν πραγματοποιήθηκε πλήρης εκτίμηση των επιπτώσεων.</w:t>
      </w:r>
    </w:p>
    <w:p w:rsidR="006B6053" w:rsidRPr="005C3FFB" w:rsidRDefault="00735EEE" w:rsidP="005D6415">
      <w:pPr>
        <w:pBdr>
          <w:top w:val="nil"/>
          <w:left w:val="nil"/>
          <w:bottom w:val="nil"/>
          <w:right w:val="nil"/>
          <w:between w:val="nil"/>
          <w:bar w:val="nil"/>
        </w:pBdr>
        <w:spacing w:before="0" w:after="240"/>
        <w:rPr>
          <w:rFonts w:eastAsia="Arial Unicode MS"/>
        </w:rPr>
      </w:pPr>
      <w:r w:rsidRPr="005C3FFB">
        <w:t xml:space="preserve">Ωστόσο, η πρόταση συνοδεύεται από έγγραφο εργασίας των υπηρεσιών της Επιτροπής στο οποίο εξηγείται το σκεπτικό των προτεινόμενων λύσεων από τεχνικής και νομικής άποψης και συνοψίζονται οι απόψεις των ενδιαφερομένων που συμμετείχαν στη διαβούλευση κατά την κατάρτιση της παρούσας πρωτοβουλίας. </w:t>
      </w:r>
    </w:p>
    <w:p w:rsidR="006B6053" w:rsidRPr="005C3FFB" w:rsidRDefault="006B6053" w:rsidP="005D6415">
      <w:pPr>
        <w:pStyle w:val="Heading2"/>
        <w:rPr>
          <w:rFonts w:eastAsia="Arial Unicode MS"/>
          <w:u w:color="000000"/>
          <w:bdr w:val="nil"/>
        </w:rPr>
      </w:pPr>
      <w:r w:rsidRPr="005C3FFB">
        <w:t>Καταλληλότητα και απλούστευση του κανονιστικού πλαισίου</w:t>
      </w:r>
    </w:p>
    <w:p w:rsidR="00317F1F" w:rsidRPr="005C3FFB" w:rsidRDefault="00317F1F" w:rsidP="00317F1F">
      <w:pPr>
        <w:pBdr>
          <w:top w:val="nil"/>
          <w:left w:val="nil"/>
          <w:bottom w:val="nil"/>
          <w:right w:val="nil"/>
          <w:between w:val="nil"/>
          <w:bar w:val="nil"/>
        </w:pBdr>
        <w:spacing w:before="0" w:after="240"/>
      </w:pPr>
      <w:r w:rsidRPr="005C3FFB">
        <w:t>Δεδομένου ότι πρόκειται για αναθεώρηση υφιστάμενης νομοθετικής πράξης που εμπίπτει στο πεδίο εφαρμογής του προγράμματος βελτίωσης της καταλληλότητας και της αποδοτικότητας του κανονιστικού πλαισίου (REFIT) της Επιτροπής, η Επιτροπή διερεύνησε τις δυνατότητες απλούστευσης και μείωσης των επιβαρύνσεων.</w:t>
      </w:r>
    </w:p>
    <w:p w:rsidR="00317F1F" w:rsidRPr="005C3FFB" w:rsidRDefault="00317F1F" w:rsidP="00095DF7">
      <w:pPr>
        <w:pBdr>
          <w:top w:val="nil"/>
          <w:left w:val="nil"/>
          <w:bottom w:val="nil"/>
          <w:right w:val="nil"/>
          <w:between w:val="nil"/>
          <w:bar w:val="nil"/>
        </w:pBdr>
        <w:spacing w:before="0" w:after="240"/>
      </w:pPr>
      <w:r w:rsidRPr="005C3FFB">
        <w:t xml:space="preserve">Όπως προκύπτει από την ανάλυση, μπορεί να επιτευχθεί σημαντική απλούστευση με την κατάργηση της οδηγίας </w:t>
      </w:r>
      <w:r w:rsidRPr="00A2201F">
        <w:t>2005</w:t>
      </w:r>
      <w:r w:rsidRPr="005C3FFB">
        <w:t>/</w:t>
      </w:r>
      <w:r w:rsidRPr="00A2201F">
        <w:t>45</w:t>
      </w:r>
      <w:r w:rsidRPr="005C3FFB">
        <w:t xml:space="preserve">/ΕΚ και την ευθυγράμμιση της οδηγίας </w:t>
      </w:r>
      <w:r w:rsidRPr="00A2201F">
        <w:t>2008</w:t>
      </w:r>
      <w:r w:rsidRPr="005C3FFB">
        <w:t>/</w:t>
      </w:r>
      <w:r w:rsidRPr="00A2201F">
        <w:t>106</w:t>
      </w:r>
      <w:r w:rsidRPr="005C3FFB">
        <w:t xml:space="preserve">/ΕΚ με το διεθνές πλαίσιο. </w:t>
      </w:r>
    </w:p>
    <w:p w:rsidR="004A3F48" w:rsidRPr="005C3FFB" w:rsidRDefault="00391A7E" w:rsidP="00095DF7">
      <w:pPr>
        <w:pBdr>
          <w:top w:val="nil"/>
          <w:left w:val="nil"/>
          <w:bottom w:val="nil"/>
          <w:right w:val="nil"/>
          <w:between w:val="nil"/>
          <w:bar w:val="nil"/>
        </w:pBdr>
        <w:spacing w:before="0" w:after="240"/>
      </w:pPr>
      <w:r w:rsidRPr="005C3FFB">
        <w:t>Το βασικό στοιχείο που σχετίζεται με την αύξηση της αποδοτικότητας είναι η αναμόρφωση του κεντρικού μηχανισμού αναγνώρισης των συστημάτων ναυτικής εκπαίδευσης και πιστοποίησης τρίτων χωρών. Η εισαγωγή του διαλόγου μεταξύ των κρατών μελών σχετικά με την ανάγκη αναγνώρισης μιας νέας τρίτης χώρας θα καταστήσει την όλη διαδικασία περισσότερο διάφανη όσον αφορά την ανάγκη πραγματοποίησης μιας τέτοιας αναγνώρισης. Αποτέλεσμα αυτού θα είναι μια περισσότερο εύλογη και αποδοτική χρήση των διαθέσιμων ανθρώπινων και οικονομικών πόρων, καθώς το κόστος της αναγνώρισης θα εξετάζεται ενδελεχώς σε σύγκριση με το ανταγωνιστικό πλεονέκτημα που παρέχει η απασχόληση ναυτικών από την οικεία τρίτη χώρα για τον στόλο της ΕΕ.</w:t>
      </w:r>
    </w:p>
    <w:p w:rsidR="004A3F48" w:rsidRPr="005C3FFB" w:rsidRDefault="004A3F48" w:rsidP="00095DF7">
      <w:pPr>
        <w:pBdr>
          <w:top w:val="nil"/>
          <w:left w:val="nil"/>
          <w:bottom w:val="nil"/>
          <w:right w:val="nil"/>
          <w:between w:val="nil"/>
          <w:bar w:val="nil"/>
        </w:pBdr>
        <w:spacing w:before="0" w:after="240"/>
      </w:pPr>
      <w:r w:rsidRPr="005C3FFB">
        <w:t xml:space="preserve">Επιπροσθέτως, η παράταση της περιόδου επαναξιολόγησης για τις ήδη αναγνωρισμένες χώρες βάσει προσδιορισμένων κριτηρίων προτεραιότητας θα αποδεσμεύσει πόρους που επί του παρόντος χρησιμοποιούνται με μη αποδοτικό τρόπο. Πιο συγκεκριμένα, οι διαθέσιμοι πόροι θα διοχετευτούν από χώρες που παρέχουν μικρό αριθμό ναυτικών στον στόλο της ΕΕ και θέτουν απειλή ήσσονος σημασίας για την ασφάλεια σε χώρες οι οποίες θα επαναξιολογούνται συχνότερα, καθώς παρέχουν το μεγαλύτερο ποσοστό ναυτικών που έχουν </w:t>
      </w:r>
      <w:r w:rsidR="004E2F50">
        <w:t>πιστοποιηθεί από χώρα εκτός της</w:t>
      </w:r>
      <w:r w:rsidRPr="005C3FFB">
        <w:t xml:space="preserve"> Ένωσης.</w:t>
      </w:r>
    </w:p>
    <w:p w:rsidR="001D39F4" w:rsidRPr="005C3FFB" w:rsidRDefault="001D39F4" w:rsidP="00095DF7">
      <w:pPr>
        <w:pBdr>
          <w:top w:val="nil"/>
          <w:left w:val="nil"/>
          <w:bottom w:val="nil"/>
          <w:right w:val="nil"/>
          <w:between w:val="nil"/>
          <w:bar w:val="nil"/>
        </w:pBdr>
        <w:spacing w:before="0" w:after="240"/>
        <w:rPr>
          <w:rFonts w:eastAsia="Arial Unicode MS"/>
        </w:rPr>
      </w:pPr>
      <w:r w:rsidRPr="005C3FFB">
        <w:t>Στο ίδιο πνεύμα, η ανάκληση της αναγνώρισης τρίτων χωρών, οι οποίες δεν έχουν παράσχει πλοίαρχο ή αξιωματικό στον στόλο της ΕΕ επί διάστημα τουλάχιστον πέντε ετών, θα αποδεσμεύσει πόρους για την αναγνώριση νέων τρίτων χωρών που έχουν περισσότερες πιθανότητες να παράσχουν εργατικό δυναμικό στα ευρωπαϊκά σκάφη. Δεδομένης της έλλειψης διαθέσιμων στοιχείων και της νομικής φύσης των αλλαγών, τα στοιχεία απλούστευσης δεν έχουν ποσοτικοποιηθεί.</w:t>
      </w:r>
    </w:p>
    <w:p w:rsidR="006B6053" w:rsidRPr="005C3FFB" w:rsidRDefault="006B6053" w:rsidP="0033413D">
      <w:pPr>
        <w:pStyle w:val="Heading2"/>
        <w:rPr>
          <w:rFonts w:eastAsia="Arial Unicode MS"/>
          <w:u w:color="000000"/>
          <w:bdr w:val="nil"/>
        </w:rPr>
      </w:pPr>
      <w:r w:rsidRPr="005C3FFB">
        <w:t>Θεμελιώδη δικαιώματα</w:t>
      </w:r>
    </w:p>
    <w:p w:rsidR="006B6053" w:rsidRPr="005C3FFB" w:rsidRDefault="0070180D" w:rsidP="00095DF7">
      <w:pPr>
        <w:pBdr>
          <w:top w:val="nil"/>
          <w:left w:val="nil"/>
          <w:bottom w:val="nil"/>
          <w:right w:val="nil"/>
          <w:between w:val="nil"/>
          <w:bar w:val="nil"/>
        </w:pBdr>
        <w:spacing w:before="0" w:after="240"/>
        <w:rPr>
          <w:rFonts w:eastAsia="Arial Unicode MS"/>
        </w:rPr>
      </w:pPr>
      <w:r w:rsidRPr="005C3FFB">
        <w:t>Η πρόταση δεν έχει επιπτώσεις στην προστασία των θεμελιωδών δικαιωμάτων.</w:t>
      </w:r>
    </w:p>
    <w:p w:rsidR="006B6053" w:rsidRPr="005C3FFB" w:rsidRDefault="006B6053" w:rsidP="00E9670F">
      <w:pPr>
        <w:pStyle w:val="Heading1"/>
        <w:rPr>
          <w:bCs w:val="0"/>
          <w:smallCaps w:val="0"/>
        </w:rPr>
      </w:pPr>
      <w:r w:rsidRPr="005C3FFB">
        <w:t>ΔΗΜΟΣΙΟΝΟΜΙΚΕΣ ΕΠΙΠΤΩΣΕΙΣ</w:t>
      </w:r>
    </w:p>
    <w:p w:rsidR="006B6053" w:rsidRPr="005C3FFB" w:rsidRDefault="0070180D" w:rsidP="00095DF7">
      <w:pPr>
        <w:pBdr>
          <w:top w:val="nil"/>
          <w:left w:val="nil"/>
          <w:bottom w:val="nil"/>
          <w:right w:val="nil"/>
          <w:between w:val="nil"/>
          <w:bar w:val="nil"/>
        </w:pBdr>
        <w:spacing w:before="0" w:after="240"/>
        <w:rPr>
          <w:rFonts w:eastAsia="Arial Unicode MS"/>
        </w:rPr>
      </w:pPr>
      <w:r w:rsidRPr="005C3FFB">
        <w:t>Η πρόταση δεν έχει επιπτώσεις στον προϋπολογισμό της Ένωσης.</w:t>
      </w:r>
    </w:p>
    <w:p w:rsidR="0070180D" w:rsidRPr="005C3FFB" w:rsidRDefault="006B6053" w:rsidP="00E9670F">
      <w:pPr>
        <w:pStyle w:val="Heading1"/>
        <w:rPr>
          <w:bCs w:val="0"/>
          <w:smallCaps w:val="0"/>
        </w:rPr>
      </w:pPr>
      <w:r w:rsidRPr="005C3FFB">
        <w:t>ΛΟΙΠΑ ΣΤΟΙΧΕΙΑ</w:t>
      </w:r>
    </w:p>
    <w:p w:rsidR="006B6053" w:rsidRPr="005C3FFB" w:rsidRDefault="006B6053" w:rsidP="0070180D">
      <w:pPr>
        <w:pStyle w:val="Heading2"/>
        <w:rPr>
          <w:rFonts w:eastAsia="Arial Unicode MS"/>
          <w:u w:color="000000"/>
          <w:bdr w:val="nil"/>
        </w:rPr>
      </w:pPr>
      <w:r w:rsidRPr="005C3FFB">
        <w:t>Σχέδια εφαρμογής και ρυθμίσεις παρακολούθησης, αξιολόγησης και υποβολής εκθέσεων</w:t>
      </w:r>
    </w:p>
    <w:p w:rsidR="006B6053" w:rsidRPr="005C3FFB" w:rsidRDefault="00D25375" w:rsidP="00095DF7">
      <w:pPr>
        <w:pBdr>
          <w:top w:val="nil"/>
          <w:left w:val="nil"/>
          <w:bottom w:val="nil"/>
          <w:right w:val="nil"/>
          <w:between w:val="nil"/>
          <w:bar w:val="nil"/>
        </w:pBdr>
        <w:spacing w:before="0" w:after="240"/>
        <w:rPr>
          <w:rFonts w:eastAsia="Arial Unicode MS"/>
        </w:rPr>
      </w:pPr>
      <w:r w:rsidRPr="005C3FFB">
        <w:t>Η παρούσα πρόταση έχει ιδιαίτερα τεχνικό πεδίο εφαρμογής ως προς τα μέτρα που πρόκειται να μεταφερθούν στο εθνικό δίκαιο από τα κράτη μέλη, ενώ τροποποιεί πολύ περιορισμένο αριθμό των υφιστάμενων νομικών υποχρεώσεων. Συνεπώς, δεν υπάρχει απαίτηση για σχέδιο εφαρμογής, δεδομένων των περιορισμένων δράσεων που απαιτούνται από τα κράτη μέλη για την υλοποίηση των προτεινόμενων μέτρων.</w:t>
      </w:r>
    </w:p>
    <w:p w:rsidR="006B6053" w:rsidRPr="005C3FFB" w:rsidRDefault="006B6053" w:rsidP="00D25375">
      <w:pPr>
        <w:pStyle w:val="Heading2"/>
        <w:rPr>
          <w:rFonts w:eastAsia="Arial Unicode MS"/>
          <w:u w:color="000000"/>
          <w:bdr w:val="nil"/>
        </w:rPr>
      </w:pPr>
      <w:r w:rsidRPr="005C3FFB">
        <w:t>Επεξηγηματικά έγγραφα (για οδηγίες)</w:t>
      </w:r>
    </w:p>
    <w:p w:rsidR="006B6053" w:rsidRPr="005C3FFB" w:rsidRDefault="00D25375" w:rsidP="00095DF7">
      <w:pPr>
        <w:pBdr>
          <w:top w:val="nil"/>
          <w:left w:val="nil"/>
          <w:bottom w:val="nil"/>
          <w:right w:val="nil"/>
          <w:between w:val="nil"/>
          <w:bar w:val="nil"/>
        </w:pBdr>
        <w:spacing w:before="0" w:after="240"/>
        <w:rPr>
          <w:rFonts w:eastAsia="Arial Unicode MS"/>
        </w:rPr>
      </w:pPr>
      <w:r w:rsidRPr="005C3FFB">
        <w:t>Δεν απαιτούνται επεξηγηματικά έγγραφα, καθώς τα προτεινόμενα μέτρα που πρέπει να μεταφερθούν στο εθνικό δίκαιο των κρατών μελών δεν είναι ουσιώδους χαρακτήρα.</w:t>
      </w:r>
    </w:p>
    <w:p w:rsidR="006B6053" w:rsidRPr="005C3FFB" w:rsidRDefault="006B6053" w:rsidP="00D25375">
      <w:pPr>
        <w:pStyle w:val="Heading2"/>
        <w:rPr>
          <w:rFonts w:eastAsia="Arial Unicode MS"/>
          <w:u w:color="000000"/>
          <w:bdr w:val="nil"/>
        </w:rPr>
      </w:pPr>
      <w:r w:rsidRPr="005C3FFB">
        <w:t>Αναλυτική επεξήγηση των επιμέρους διατάξεων της πρότασης</w:t>
      </w:r>
    </w:p>
    <w:p w:rsidR="006B6053" w:rsidRPr="005C3FFB" w:rsidRDefault="001A59F2" w:rsidP="00095DF7">
      <w:pPr>
        <w:pBdr>
          <w:top w:val="nil"/>
          <w:left w:val="nil"/>
          <w:bottom w:val="nil"/>
          <w:right w:val="nil"/>
          <w:between w:val="nil"/>
          <w:bar w:val="nil"/>
        </w:pBdr>
        <w:spacing w:before="0" w:after="240"/>
        <w:rPr>
          <w:b/>
          <w:bCs/>
          <w:szCs w:val="26"/>
          <w:u w:color="000000"/>
          <w:bdr w:val="nil"/>
        </w:rPr>
      </w:pPr>
      <w:r w:rsidRPr="005C3FFB">
        <w:rPr>
          <w:b/>
          <w:u w:color="000000"/>
          <w:bdr w:val="nil"/>
        </w:rPr>
        <w:t>Ορισμοί και πεδίο εφαρμογής</w:t>
      </w:r>
    </w:p>
    <w:p w:rsidR="009F298A" w:rsidRPr="005C3FFB" w:rsidRDefault="00316C29" w:rsidP="00095DF7">
      <w:pPr>
        <w:pBdr>
          <w:top w:val="nil"/>
          <w:left w:val="nil"/>
          <w:bottom w:val="nil"/>
          <w:right w:val="nil"/>
          <w:between w:val="nil"/>
          <w:bar w:val="nil"/>
        </w:pBdr>
        <w:spacing w:before="0" w:after="240"/>
      </w:pPr>
      <w:r w:rsidRPr="005C3FFB">
        <w:t>Το άρθρο </w:t>
      </w:r>
      <w:r w:rsidRPr="00A2201F">
        <w:t>1</w:t>
      </w:r>
      <w:r w:rsidRPr="005C3FFB">
        <w:t xml:space="preserve"> τροποποιείται προκειμένου να παρέχει νέους ορισμούς αναφορικά με τον νέο κανονισμό V/</w:t>
      </w:r>
      <w:r w:rsidRPr="00A2201F">
        <w:t>3</w:t>
      </w:r>
      <w:r w:rsidRPr="005C3FFB">
        <w:t xml:space="preserve"> και τον κανονισμό V/</w:t>
      </w:r>
      <w:r w:rsidRPr="00A2201F">
        <w:t>4</w:t>
      </w:r>
      <w:r w:rsidRPr="005C3FFB">
        <w:t xml:space="preserve">, που εισάγονται στο παράρτημα της οδηγίας </w:t>
      </w:r>
      <w:r w:rsidRPr="00A2201F">
        <w:t>2008</w:t>
      </w:r>
      <w:r w:rsidRPr="005C3FFB">
        <w:t>/</w:t>
      </w:r>
      <w:r w:rsidRPr="00A2201F">
        <w:t>106</w:t>
      </w:r>
      <w:r w:rsidRPr="005C3FFB">
        <w:t>/ΕΚ. Πέραν αυτού, ένας νέος ορισμός αναφορικά με το «κράτος μέλος υποδοχής» θεωρήθηκε αναγκαίος μετά την εισαγωγή του νέου άρθρου </w:t>
      </w:r>
      <w:r w:rsidRPr="00A2201F">
        <w:t>5</w:t>
      </w:r>
      <w:r w:rsidRPr="005C3FFB">
        <w:t>β και προκειμένου να διασαφηνιστεί η εφαρμογή του τρέχοντος άρθρου </w:t>
      </w:r>
      <w:r w:rsidRPr="00A2201F">
        <w:t>8</w:t>
      </w:r>
      <w:r w:rsidRPr="005C3FFB">
        <w:t>.</w:t>
      </w:r>
    </w:p>
    <w:p w:rsidR="00886829" w:rsidRPr="005C3FFB" w:rsidRDefault="009F298A" w:rsidP="00095DF7">
      <w:pPr>
        <w:pBdr>
          <w:top w:val="nil"/>
          <w:left w:val="nil"/>
          <w:bottom w:val="nil"/>
          <w:right w:val="nil"/>
          <w:between w:val="nil"/>
          <w:bar w:val="nil"/>
        </w:pBdr>
        <w:spacing w:before="0" w:after="240"/>
      </w:pPr>
      <w:r w:rsidRPr="005C3FFB">
        <w:t>Επίσης, το άρθρο </w:t>
      </w:r>
      <w:r w:rsidRPr="00A2201F">
        <w:t>2</w:t>
      </w:r>
      <w:r w:rsidRPr="005C3FFB">
        <w:t xml:space="preserve"> τροποποιείται προκειμένου να ενσωματώνει το πεδίο εφαρμογής της καταργηθείσας οδηγίας </w:t>
      </w:r>
      <w:r w:rsidRPr="00A2201F">
        <w:t>2005</w:t>
      </w:r>
      <w:r w:rsidRPr="005C3FFB">
        <w:t>/</w:t>
      </w:r>
      <w:r w:rsidRPr="00A2201F">
        <w:t>45</w:t>
      </w:r>
      <w:r w:rsidRPr="005C3FFB">
        <w:t>/ΕΚ.</w:t>
      </w:r>
    </w:p>
    <w:p w:rsidR="00886829" w:rsidRPr="005C3FFB" w:rsidRDefault="00886829" w:rsidP="00095DF7">
      <w:pPr>
        <w:pBdr>
          <w:top w:val="nil"/>
          <w:left w:val="nil"/>
          <w:bottom w:val="nil"/>
          <w:right w:val="nil"/>
          <w:between w:val="nil"/>
          <w:bar w:val="nil"/>
        </w:pBdr>
        <w:spacing w:before="0" w:after="240"/>
        <w:rPr>
          <w:b/>
          <w:bCs/>
          <w:szCs w:val="26"/>
          <w:u w:color="000000"/>
          <w:bdr w:val="nil"/>
        </w:rPr>
      </w:pPr>
      <w:r w:rsidRPr="005C3FFB">
        <w:rPr>
          <w:b/>
          <w:u w:color="000000"/>
          <w:bdr w:val="nil"/>
        </w:rPr>
        <w:t>Αμοιβαία αναγνώριση πιστοποιητικών των ναυτικών τα οποία εκδίδονται από τα κράτη μέλη</w:t>
      </w:r>
    </w:p>
    <w:p w:rsidR="00886829" w:rsidRPr="005C3FFB" w:rsidRDefault="00F51CAC" w:rsidP="00095DF7">
      <w:pPr>
        <w:pBdr>
          <w:top w:val="nil"/>
          <w:left w:val="nil"/>
          <w:bottom w:val="nil"/>
          <w:right w:val="nil"/>
          <w:between w:val="nil"/>
          <w:bar w:val="nil"/>
        </w:pBdr>
        <w:spacing w:before="0" w:after="240"/>
      </w:pPr>
      <w:r w:rsidRPr="005C3FFB">
        <w:t>Προστίθεται ένα νέο άρθρο </w:t>
      </w:r>
      <w:r w:rsidRPr="00A2201F">
        <w:t>5</w:t>
      </w:r>
      <w:r w:rsidRPr="005C3FFB">
        <w:t>β προκειμένου να ενσωματωθεί το καθεστώς αμοιβαίας αναγνώρισης των πιστοποιητικών των ναυτικών τα οποία εκδίδονται από τα κράτη μέλη. Το άρθρο </w:t>
      </w:r>
      <w:r w:rsidRPr="00A2201F">
        <w:t>5</w:t>
      </w:r>
      <w:r w:rsidRPr="005C3FFB">
        <w:t>β αποτυπώνει κυρίως το καταργηθέν άρθρο </w:t>
      </w:r>
      <w:r w:rsidRPr="00A2201F">
        <w:t>3</w:t>
      </w:r>
      <w:r w:rsidRPr="005C3FFB">
        <w:t xml:space="preserve"> της οδηγίας </w:t>
      </w:r>
      <w:r w:rsidRPr="00A2201F">
        <w:t>2005</w:t>
      </w:r>
      <w:r w:rsidRPr="005C3FFB">
        <w:t>/</w:t>
      </w:r>
      <w:r w:rsidRPr="00A2201F">
        <w:t>45</w:t>
      </w:r>
      <w:r w:rsidRPr="005C3FFB">
        <w:t>/ΕΚ και διασαφηνίζει ποια πιστοποιητικά αναγνωρίζονται αμοιβαία, ώστε οι ναυτικοί που πιστοποιούνται από ένα κράτος μέλος να δύνανται να εργάζονται σε σκάφη που φέρουν σημαία άλλου κράτους μέλους.</w:t>
      </w:r>
    </w:p>
    <w:p w:rsidR="00316C29" w:rsidRPr="005C3FFB" w:rsidRDefault="00886829" w:rsidP="00095DF7">
      <w:pPr>
        <w:pBdr>
          <w:top w:val="nil"/>
          <w:left w:val="nil"/>
          <w:bottom w:val="nil"/>
          <w:right w:val="nil"/>
          <w:between w:val="nil"/>
          <w:bar w:val="nil"/>
        </w:pBdr>
        <w:spacing w:before="0" w:after="240"/>
        <w:rPr>
          <w:b/>
          <w:bCs/>
          <w:szCs w:val="26"/>
          <w:u w:color="000000"/>
          <w:bdr w:val="nil"/>
        </w:rPr>
      </w:pPr>
      <w:r w:rsidRPr="005C3FFB">
        <w:rPr>
          <w:b/>
          <w:u w:color="000000"/>
          <w:bdr w:val="nil"/>
        </w:rPr>
        <w:t xml:space="preserve">Ευθυγράμμιση με το διεθνές πλαίσιο </w:t>
      </w:r>
    </w:p>
    <w:p w:rsidR="00886829" w:rsidRPr="005C3FFB" w:rsidRDefault="00886829" w:rsidP="00095DF7">
      <w:pPr>
        <w:pBdr>
          <w:top w:val="nil"/>
          <w:left w:val="nil"/>
          <w:bottom w:val="nil"/>
          <w:right w:val="nil"/>
          <w:between w:val="nil"/>
          <w:bar w:val="nil"/>
        </w:pBdr>
        <w:spacing w:before="0" w:after="240"/>
      </w:pPr>
      <w:r w:rsidRPr="005C3FFB">
        <w:t>Το άρθρο </w:t>
      </w:r>
      <w:r w:rsidRPr="00A2201F">
        <w:t>12</w:t>
      </w:r>
      <w:r w:rsidRPr="005C3FFB">
        <w:t xml:space="preserve"> και το παράρτημα I ενσωματώνουν τις νέες τροποποιήσεις στη σύμβαση STCW σε σχέση με τις νέες απαιτήσεις εκπαίδευσης και προσόντων για ναυτικούς που εργάζονται σε επιβατηγά πλοία και πλοία που εμπίπτουν στον κώδικα IGF και στον πολικό κώδικα.</w:t>
      </w:r>
    </w:p>
    <w:p w:rsidR="00F51CAC" w:rsidRPr="005C3FFB" w:rsidRDefault="00F51CAC" w:rsidP="00095DF7">
      <w:pPr>
        <w:pBdr>
          <w:top w:val="nil"/>
          <w:left w:val="nil"/>
          <w:bottom w:val="nil"/>
          <w:right w:val="nil"/>
          <w:between w:val="nil"/>
          <w:bar w:val="nil"/>
        </w:pBdr>
        <w:spacing w:before="0" w:after="240"/>
        <w:rPr>
          <w:b/>
          <w:bCs/>
          <w:szCs w:val="26"/>
          <w:u w:color="000000"/>
          <w:bdr w:val="nil"/>
        </w:rPr>
      </w:pPr>
      <w:r w:rsidRPr="005C3FFB">
        <w:rPr>
          <w:b/>
          <w:u w:color="000000"/>
          <w:bdr w:val="nil"/>
        </w:rPr>
        <w:t>Αναγνώριση πιστοποιητικών των ναυτικών που εκδίδονται από τρίτες χώρες</w:t>
      </w:r>
    </w:p>
    <w:p w:rsidR="00195E0A" w:rsidRPr="005C3FFB" w:rsidRDefault="00F51CAC" w:rsidP="00095DF7">
      <w:pPr>
        <w:pBdr>
          <w:top w:val="nil"/>
          <w:left w:val="nil"/>
          <w:bottom w:val="nil"/>
          <w:right w:val="nil"/>
          <w:between w:val="nil"/>
          <w:bar w:val="nil"/>
        </w:pBdr>
        <w:spacing w:before="0" w:after="240"/>
      </w:pPr>
      <w:r w:rsidRPr="005C3FFB">
        <w:t>Το άρθρο </w:t>
      </w:r>
      <w:r w:rsidRPr="00A2201F">
        <w:t>19</w:t>
      </w:r>
      <w:r w:rsidRPr="005C3FFB">
        <w:t xml:space="preserve"> τροποποιείται ώστε να περιλαμβάνει μια εκτελεστική απόφαση σχετικά με την ανάγκη κίνησης διαδικασίας αναγνώρισης νέων τρίτων χωρών. Το νέο αυτό διαδικαστικό στάδιο θα επιτρέπει στο αιτούν κράτος μέλος να παρουσιάζει τους λόγους για τους οποίους υποβάλλει την αίτηση αναγνώρισης, ενώ τα κράτη μέλη θα έχουν τη δυνατότητα να συζητούν και να αποφασίζουν επί της σχετικής αίτησης. </w:t>
      </w:r>
    </w:p>
    <w:p w:rsidR="00F51CAC" w:rsidRPr="005C3FFB" w:rsidRDefault="00195E0A" w:rsidP="00095DF7">
      <w:pPr>
        <w:pBdr>
          <w:top w:val="nil"/>
          <w:left w:val="nil"/>
          <w:bottom w:val="nil"/>
          <w:right w:val="nil"/>
          <w:between w:val="nil"/>
          <w:bar w:val="nil"/>
        </w:pBdr>
        <w:spacing w:before="0" w:after="240"/>
      </w:pPr>
      <w:r w:rsidRPr="005C3FFB">
        <w:t xml:space="preserve">Επιπροσθέτως, η προθεσμία έκδοσης απόφασης σχετικά με την αναγνώριση της τρίτης χώρας παρατείνεται από τους </w:t>
      </w:r>
      <w:r w:rsidRPr="00A2201F">
        <w:t>18</w:t>
      </w:r>
      <w:r w:rsidRPr="005C3FFB">
        <w:t xml:space="preserve"> στους </w:t>
      </w:r>
      <w:r w:rsidRPr="00A2201F">
        <w:t>24</w:t>
      </w:r>
      <w:r w:rsidRPr="005C3FFB">
        <w:t xml:space="preserve"> μήνες και, σε περίπτωση που η τρίτη χώρα χρειάζεται να εφαρμόσει μείζονα διορθωτικά μέτρα, συμπεριλαμβανομένων τροποποιήσεων στη νομοθεσία της, η εν λόγω προθεσμία παρατείνεται περαιτέρω στους </w:t>
      </w:r>
      <w:r w:rsidRPr="00A2201F">
        <w:t>36</w:t>
      </w:r>
      <w:r w:rsidRPr="005C3FFB">
        <w:t xml:space="preserve"> μήνες. Η παράταση των προθεσμιών δεν αναμένεται να έχει αρνητικές επιπτώσεις, καθώς επιτρέπεται στο αιτούν κράτος μέλος να αναγνωρίζει μονομερώς την τρίτη χώρα εν αναμονή οριστικής απόφασης σχετικά με την αναγνώριση της τρίτης χώρας.</w:t>
      </w:r>
    </w:p>
    <w:p w:rsidR="004449EC" w:rsidRPr="005C3FFB" w:rsidRDefault="004449EC" w:rsidP="00095DF7">
      <w:pPr>
        <w:pBdr>
          <w:top w:val="nil"/>
          <w:left w:val="nil"/>
          <w:bottom w:val="nil"/>
          <w:right w:val="nil"/>
          <w:between w:val="nil"/>
          <w:bar w:val="nil"/>
        </w:pBdr>
        <w:spacing w:before="0" w:after="240"/>
      </w:pPr>
      <w:r w:rsidRPr="005C3FFB">
        <w:t>Στο άρθρο </w:t>
      </w:r>
      <w:r w:rsidRPr="00A2201F">
        <w:t>20</w:t>
      </w:r>
      <w:r w:rsidRPr="005C3FFB">
        <w:t xml:space="preserve"> προστίθεται μια νέα παράγραφος, με την οποία εισάγεται η δυνατότητα ανάκλησης της αναγνώρισης μιας τρίτης χώρας με την αιτιολογία ότι δεν έχει παράσχει ναυτικούς στον στόλο της ΕΕ επί τουλάχιστον </w:t>
      </w:r>
      <w:r w:rsidRPr="00A2201F">
        <w:t>5</w:t>
      </w:r>
      <w:r w:rsidRPr="005C3FFB">
        <w:t xml:space="preserve"> έτη.</w:t>
      </w:r>
    </w:p>
    <w:p w:rsidR="00195E0A" w:rsidRPr="005C3FFB" w:rsidRDefault="00BE731D" w:rsidP="00095DF7">
      <w:pPr>
        <w:pBdr>
          <w:top w:val="nil"/>
          <w:left w:val="nil"/>
          <w:bottom w:val="nil"/>
          <w:right w:val="nil"/>
          <w:between w:val="nil"/>
          <w:bar w:val="nil"/>
        </w:pBdr>
        <w:spacing w:before="0" w:after="240"/>
        <w:rPr>
          <w:b/>
          <w:bCs/>
          <w:szCs w:val="26"/>
          <w:u w:color="000000"/>
          <w:bdr w:val="nil"/>
        </w:rPr>
      </w:pPr>
      <w:r w:rsidRPr="005C3FFB">
        <w:rPr>
          <w:b/>
          <w:u w:color="000000"/>
          <w:bdr w:val="nil"/>
        </w:rPr>
        <w:t>Επαναξιολόγηση τρίτων χωρών</w:t>
      </w:r>
    </w:p>
    <w:p w:rsidR="00BE731D" w:rsidRPr="005C3FFB" w:rsidRDefault="004449EC" w:rsidP="00095DF7">
      <w:pPr>
        <w:pBdr>
          <w:top w:val="nil"/>
          <w:left w:val="nil"/>
          <w:bottom w:val="nil"/>
          <w:right w:val="nil"/>
          <w:between w:val="nil"/>
          <w:bar w:val="nil"/>
        </w:pBdr>
        <w:spacing w:before="0" w:after="240"/>
      </w:pPr>
      <w:r w:rsidRPr="005C3FFB">
        <w:t>Το άρθρο </w:t>
      </w:r>
      <w:r w:rsidRPr="00A2201F">
        <w:t>21</w:t>
      </w:r>
      <w:r w:rsidRPr="005C3FFB">
        <w:t xml:space="preserve"> τροποποιείται ώστε το χρονικό διάστημα μεταξύ επαναξιολογήσεων να παρατείνεται σε έως και </w:t>
      </w:r>
      <w:r w:rsidRPr="00A2201F">
        <w:t>10</w:t>
      </w:r>
      <w:r w:rsidRPr="005C3FFB">
        <w:t xml:space="preserve"> έτη βάσει κριτηρίων προτεραιότητας. Οι τρίτες χώρες που παρέχουν περιορισμένους αριθμούς ναυτικών σε πλοία του στόλου της ΕΕ και οι οποίες εγκυμονούν κίνδυνο ήσσονος σημασίας από άποψης ασφάλειας θα πρέπει να επαναξιολογούνται ανά μεγαλύτερα χρονικά διαστήματα σε σχέση με τρίτες χώρες που παρέχουν μεγαλύτερο ποσοστό εργατικού δυναμικού.</w:t>
      </w:r>
    </w:p>
    <w:p w:rsidR="00234EC5" w:rsidRPr="005C3FFB" w:rsidRDefault="00234EC5" w:rsidP="00095DF7">
      <w:pPr>
        <w:pBdr>
          <w:top w:val="nil"/>
          <w:left w:val="nil"/>
          <w:bottom w:val="nil"/>
          <w:right w:val="nil"/>
          <w:between w:val="nil"/>
          <w:bar w:val="nil"/>
        </w:pBdr>
        <w:spacing w:before="0" w:after="240"/>
        <w:rPr>
          <w:b/>
          <w:bCs/>
          <w:szCs w:val="26"/>
          <w:u w:color="000000"/>
          <w:bdr w:val="nil"/>
        </w:rPr>
      </w:pPr>
      <w:r w:rsidRPr="005C3FFB">
        <w:rPr>
          <w:b/>
          <w:u w:color="000000"/>
          <w:bdr w:val="nil"/>
        </w:rPr>
        <w:t>Πληροφορίες σχετικά με τις θεωρήσεις που βεβαιώνουν την αναγνώριση των πιστοποιητικών τα οποία εκδίδονται από τρίτες χώρες</w:t>
      </w:r>
    </w:p>
    <w:p w:rsidR="00234EC5" w:rsidRPr="005C3FFB" w:rsidRDefault="00234EC5" w:rsidP="00234EC5">
      <w:pPr>
        <w:pBdr>
          <w:top w:val="nil"/>
          <w:left w:val="nil"/>
          <w:bottom w:val="nil"/>
          <w:right w:val="nil"/>
          <w:between w:val="nil"/>
          <w:bar w:val="nil"/>
        </w:pBdr>
        <w:spacing w:before="0" w:after="240"/>
        <w:rPr>
          <w:bCs/>
        </w:rPr>
      </w:pPr>
      <w:r w:rsidRPr="005C3FFB">
        <w:t>Το άρθρο </w:t>
      </w:r>
      <w:r w:rsidRPr="00A2201F">
        <w:t>25</w:t>
      </w:r>
      <w:r w:rsidRPr="005C3FFB">
        <w:t>α τροποποιείται, ώστε να επιτρέπει τη χρήση των πληροφοριών που παρέχουν τα κράτη μέλη σχετικά με τον αριθμό των θεωρήσεων που βεβαιώνουν την αναγνώριση πιστοποιητικών τα οποία εκδίδονται από τρίτες χώρες, για τον σκοπό της ανάκλησης αναγνώρισης και της ιεράρχησης της επαναξιολόγησης τρίτων χωρών. Στο ίδιο πνεύμα, το άρθρο </w:t>
      </w:r>
      <w:r w:rsidRPr="00A2201F">
        <w:t>5</w:t>
      </w:r>
      <w:r w:rsidRPr="005C3FFB">
        <w:t>α αντικαθίσταται προκειμένου να ευθυγραμμίζεται με το νέο άρθρο </w:t>
      </w:r>
      <w:r w:rsidRPr="00A2201F">
        <w:t>25</w:t>
      </w:r>
      <w:r w:rsidRPr="005C3FFB">
        <w:t>α.</w:t>
      </w:r>
    </w:p>
    <w:p w:rsidR="00D13EED" w:rsidRPr="005C3FFB" w:rsidRDefault="00D13EED" w:rsidP="00234EC5">
      <w:pPr>
        <w:pBdr>
          <w:top w:val="nil"/>
          <w:left w:val="nil"/>
          <w:bottom w:val="nil"/>
          <w:right w:val="nil"/>
          <w:between w:val="nil"/>
          <w:bar w:val="nil"/>
        </w:pBdr>
        <w:spacing w:before="0" w:after="240"/>
        <w:rPr>
          <w:b/>
          <w:bCs/>
          <w:szCs w:val="26"/>
          <w:u w:color="000000"/>
          <w:bdr w:val="nil"/>
        </w:rPr>
      </w:pPr>
      <w:r w:rsidRPr="005C3FFB">
        <w:rPr>
          <w:b/>
          <w:u w:color="000000"/>
          <w:bdr w:val="nil"/>
        </w:rPr>
        <w:t>Διαδικασία τροποποίησης και διαδικασία επιτροπής</w:t>
      </w:r>
    </w:p>
    <w:p w:rsidR="005B7F95" w:rsidRPr="005C3FFB" w:rsidRDefault="005B7F95" w:rsidP="00234EC5">
      <w:pPr>
        <w:pBdr>
          <w:top w:val="nil"/>
          <w:left w:val="nil"/>
          <w:bottom w:val="nil"/>
          <w:right w:val="nil"/>
          <w:between w:val="nil"/>
          <w:bar w:val="nil"/>
        </w:pBdr>
        <w:spacing w:before="0" w:after="240"/>
        <w:rPr>
          <w:bCs/>
        </w:rPr>
      </w:pPr>
      <w:r w:rsidRPr="005C3FFB">
        <w:t>Το άρθρο </w:t>
      </w:r>
      <w:r w:rsidRPr="00A2201F">
        <w:t>27</w:t>
      </w:r>
      <w:r w:rsidRPr="005C3FFB">
        <w:t xml:space="preserve"> τροποποιείται προκειμένου να ανατεθεί στην Επιτροπή η εξουσία να τροποποιεί, μέσω κατ’ εξουσιοδότηση πράξεων, τις απαραίτητες διατάξεις της οδηγίας </w:t>
      </w:r>
      <w:r w:rsidRPr="00A2201F">
        <w:t>2008</w:t>
      </w:r>
      <w:r w:rsidRPr="005C3FFB">
        <w:t>/</w:t>
      </w:r>
      <w:r w:rsidRPr="00A2201F">
        <w:t>106</w:t>
      </w:r>
      <w:r w:rsidRPr="005C3FFB">
        <w:t>/ΕΚ ώστε να επιτυγχάνεται η ευθυγράμμιση με τις μελλοντικές τροποποιήσεις της σύμβασης STCW.</w:t>
      </w:r>
    </w:p>
    <w:p w:rsidR="006B6053" w:rsidRPr="005C3FFB" w:rsidRDefault="00D13EED" w:rsidP="00095DF7">
      <w:pPr>
        <w:spacing w:before="0" w:after="0"/>
        <w:jc w:val="left"/>
        <w:sectPr w:rsidR="006B6053" w:rsidRPr="005C3FFB" w:rsidSect="006A631A">
          <w:footerReference w:type="default" r:id="rId16"/>
          <w:footerReference w:type="first" r:id="rId17"/>
          <w:pgSz w:w="11907" w:h="16839"/>
          <w:pgMar w:top="1134" w:right="1417" w:bottom="1134" w:left="1417" w:header="709" w:footer="709" w:gutter="0"/>
          <w:cols w:space="708"/>
          <w:docGrid w:linePitch="360"/>
        </w:sectPr>
      </w:pPr>
      <w:r w:rsidRPr="005C3FFB">
        <w:t>Το άρθρο </w:t>
      </w:r>
      <w:r w:rsidRPr="00A2201F">
        <w:t>27</w:t>
      </w:r>
      <w:r w:rsidRPr="005C3FFB">
        <w:t xml:space="preserve">α αντικαθίσταται προκειμένου να ευθυγραμμιστεί με τη διοργανική συμφωνία της </w:t>
      </w:r>
      <w:r w:rsidRPr="00A2201F">
        <w:t>13</w:t>
      </w:r>
      <w:r w:rsidRPr="005C3FFB">
        <w:t xml:space="preserve">ης Απριλίου </w:t>
      </w:r>
      <w:r w:rsidRPr="00A2201F">
        <w:t>2016</w:t>
      </w:r>
      <w:r w:rsidRPr="005C3FFB">
        <w:t xml:space="preserve"> για τη βελτίωση της νομοθεσίας</w:t>
      </w:r>
      <w:r w:rsidRPr="005C3FFB">
        <w:rPr>
          <w:rStyle w:val="FootnoteReference"/>
        </w:rPr>
        <w:footnoteReference w:id="9"/>
      </w:r>
      <w:r w:rsidRPr="005C3FFB">
        <w:t>.</w:t>
      </w:r>
    </w:p>
    <w:p w:rsidR="006A631A" w:rsidRDefault="006A631A" w:rsidP="006A631A">
      <w:pPr>
        <w:pStyle w:val="Rfrenceinterinstitutionnelle"/>
      </w:pPr>
      <w:r w:rsidRPr="006A631A">
        <w:t>2018/0162 (COD)</w:t>
      </w:r>
    </w:p>
    <w:p w:rsidR="006B6053" w:rsidRPr="005C3FFB" w:rsidRDefault="006A631A" w:rsidP="006A631A">
      <w:pPr>
        <w:pStyle w:val="Statut"/>
      </w:pPr>
      <w:r w:rsidRPr="006A631A">
        <w:t>Πρόταση</w:t>
      </w:r>
    </w:p>
    <w:p w:rsidR="006B6053" w:rsidRPr="005C3FFB" w:rsidRDefault="006A631A" w:rsidP="006A631A">
      <w:pPr>
        <w:pStyle w:val="Typedudocument"/>
      </w:pPr>
      <w:r w:rsidRPr="006A631A">
        <w:t>ΟΔΗΓΙΑ ΤΟΥ ΕΥΡΩΠΑΪΚΟΥ ΚΟΙΝΟΒΟΥΛΙΟΥ ΚΑΙ ΤΟΥ ΣΥΜΒΟΥΛΙΟΥ</w:t>
      </w:r>
    </w:p>
    <w:p w:rsidR="006B6053" w:rsidRPr="005C3FFB" w:rsidRDefault="006A631A" w:rsidP="006A631A">
      <w:pPr>
        <w:pStyle w:val="Titreobjet"/>
      </w:pPr>
      <w:r w:rsidRPr="006A631A">
        <w:t xml:space="preserve">σχετικά με την τροποποίηση της οδηγίας 2008/106/ΕΚ για το ελάχιστο επίπεδο εκπαίδευσης των ναυτικών και την κατάργηση της οδηγίας 2005/45/ΕΚ </w:t>
      </w:r>
    </w:p>
    <w:p w:rsidR="006B6053" w:rsidRPr="005C3FFB" w:rsidRDefault="006A631A" w:rsidP="006A631A">
      <w:pPr>
        <w:pStyle w:val="IntrtEEE"/>
      </w:pPr>
      <w:r w:rsidRPr="006A631A">
        <w:t>(Κείμενο που παρουσιάζει ενδιαφέρον για τον ΕΟΧ)</w:t>
      </w:r>
    </w:p>
    <w:p w:rsidR="006B6053" w:rsidRPr="005C3FFB" w:rsidRDefault="006B6053" w:rsidP="00095DF7">
      <w:pPr>
        <w:pStyle w:val="Institutionquiagit"/>
      </w:pPr>
      <w:r w:rsidRPr="005C3FFB">
        <w:t>ΤΟ ΕΥΡΩΠΑΪΚΟ ΚΟΙΝΟΒΟΥΛΙΟ ΚΑΙ ΤΟ ΣΥΜΒΟΥΛΙΟ ΤΗΣ ΕΥΡΩΠΑΪΚΗΣ ΕΝΩΣΗΣ,</w:t>
      </w:r>
    </w:p>
    <w:p w:rsidR="006B6053" w:rsidRPr="005C3FFB" w:rsidRDefault="006B6053" w:rsidP="00095DF7">
      <w:r w:rsidRPr="005C3FFB">
        <w:t>Έχοντας υπόψη τη Συνθήκη για τη λειτουργία της Ευρωπαϊκής Ένωσης και ιδίως το άρθρο </w:t>
      </w:r>
      <w:r w:rsidRPr="00A2201F">
        <w:t>100</w:t>
      </w:r>
      <w:r w:rsidRPr="005C3FFB">
        <w:t xml:space="preserve"> παράγραφος </w:t>
      </w:r>
      <w:r w:rsidRPr="00A2201F">
        <w:t>2</w:t>
      </w:r>
      <w:r w:rsidRPr="005C3FFB">
        <w:t>,</w:t>
      </w:r>
    </w:p>
    <w:p w:rsidR="006B6053" w:rsidRPr="005C3FFB" w:rsidRDefault="006B6053" w:rsidP="00095DF7">
      <w:r w:rsidRPr="005C3FFB">
        <w:t>Έχοντας υπόψη την πρόταση της Ευρωπαϊκής Επιτροπής,</w:t>
      </w:r>
    </w:p>
    <w:p w:rsidR="006B6053" w:rsidRPr="005C3FFB" w:rsidRDefault="006B6053" w:rsidP="00095DF7">
      <w:r w:rsidRPr="005C3FFB">
        <w:t>Κατόπιν διαβίβασης του σχεδίου νομοθετικής πράξης στα εθνικά κοινοβούλια,</w:t>
      </w:r>
    </w:p>
    <w:p w:rsidR="006B6053" w:rsidRPr="005C3FFB" w:rsidRDefault="006B6053" w:rsidP="00095DF7">
      <w:r w:rsidRPr="005C3FFB">
        <w:t>Έχοντας υπόψη τη γνώμη της Ευρωπαϊκής Οικονομικής και Κοινωνικής Επιτροπής</w:t>
      </w:r>
      <w:r w:rsidRPr="005C3FFB">
        <w:rPr>
          <w:rStyle w:val="FootnoteReference"/>
        </w:rPr>
        <w:footnoteReference w:id="10"/>
      </w:r>
      <w:r w:rsidRPr="005C3FFB">
        <w:t xml:space="preserve">, </w:t>
      </w:r>
    </w:p>
    <w:p w:rsidR="006B6053" w:rsidRPr="005C3FFB" w:rsidRDefault="006B6053" w:rsidP="00095DF7">
      <w:r w:rsidRPr="005C3FFB">
        <w:t>Έχοντας υπόψη τη γνώμη της Επιτροπής των Περιφερειών</w:t>
      </w:r>
      <w:r w:rsidRPr="005C3FFB">
        <w:rPr>
          <w:rStyle w:val="FootnoteReference"/>
        </w:rPr>
        <w:footnoteReference w:id="11"/>
      </w:r>
      <w:r w:rsidRPr="005C3FFB">
        <w:t xml:space="preserve">, </w:t>
      </w:r>
    </w:p>
    <w:p w:rsidR="006B6053" w:rsidRPr="005C3FFB" w:rsidRDefault="006B6053" w:rsidP="00095DF7">
      <w:r w:rsidRPr="005C3FFB">
        <w:t>Αποφασίζοντας σύμφωνα με τη συνήθη νομοθετική διαδικασία,</w:t>
      </w:r>
    </w:p>
    <w:p w:rsidR="006B6053" w:rsidRPr="005C3FFB" w:rsidRDefault="006B6053" w:rsidP="00095DF7">
      <w:r w:rsidRPr="005C3FFB">
        <w:t>Εκτιμώντας τα ακόλουθα:</w:t>
      </w:r>
    </w:p>
    <w:p w:rsidR="00775F88" w:rsidRPr="005C3FFB" w:rsidRDefault="00DC2A30" w:rsidP="00D44A79">
      <w:pPr>
        <w:pStyle w:val="Considrant"/>
        <w:numPr>
          <w:ilvl w:val="0"/>
          <w:numId w:val="12"/>
        </w:numPr>
      </w:pPr>
      <w:r w:rsidRPr="005C3FFB">
        <w:t xml:space="preserve">Προκειμένου η θαλάσσια ασφάλεια και η πρόληψη της θαλάσσιας ρύπανσης να παραμένουν σε υψηλό επίπεδο, είναι σημαντικό να βελτιωθεί το επίπεδο γνώσεων και δεξιοτήτων των ναυτικών της Ένωσης μέσα από την ανάπτυξη ναυτικής εκπαίδευσης και πιστοποίησης σύμφωνα με τους διεθνείς κανόνες. </w:t>
      </w:r>
    </w:p>
    <w:p w:rsidR="006B6053" w:rsidRPr="005C3FFB" w:rsidRDefault="00775F88" w:rsidP="00CE4849">
      <w:pPr>
        <w:pStyle w:val="Considrant"/>
      </w:pPr>
      <w:r w:rsidRPr="005C3FFB">
        <w:t xml:space="preserve">Η εκπαίδευση και η πιστοποίηση των ναυτικών ρυθμίζεται σε διεθνές επίπεδο από τη Διεθνή Σύμβαση για πρότυπα εκπαίδευσης, έκδοσης πιστοποιητικών και τήρησης φυλακών των ναυτικών του Διεθνούς Ναυτιλιακού Οργανισμού (ΔΝΟ) του </w:t>
      </w:r>
      <w:r w:rsidRPr="00A2201F">
        <w:t>1978</w:t>
      </w:r>
      <w:r w:rsidRPr="005C3FFB">
        <w:t xml:space="preserve"> (σύμβαση STCW) η οποία αναθεωρήθηκε το </w:t>
      </w:r>
      <w:r w:rsidRPr="00A2201F">
        <w:t>2010</w:t>
      </w:r>
      <w:r w:rsidRPr="005C3FFB">
        <w:t xml:space="preserve">. Περαιτέρω τροποποιήσεις στη σύμβαση STCW εγκρίθηκαν το </w:t>
      </w:r>
      <w:r w:rsidRPr="00A2201F">
        <w:t>2015</w:t>
      </w:r>
      <w:r w:rsidRPr="005C3FFB">
        <w:t xml:space="preserve"> σχετικά με τις απαιτήσεις εκπαίδευσης και προσόντων για τους ναυτικούς που εργάζονται σε πλοία τα οποία υπόκεινται στον διεθνή κώδικα ασφαλείας των πλοίων που χρησιμοποιούν αέρια ή άλλα καύσιμα με χαμηλό σημείο ανάφλεξης (κώδικας IGF). Επίσης, το </w:t>
      </w:r>
      <w:r w:rsidRPr="00A2201F">
        <w:t>2016</w:t>
      </w:r>
      <w:r w:rsidRPr="005C3FFB">
        <w:t xml:space="preserve"> εγκρίθηκαν τροποποιήσεις στη σύμβαση STCW σε σχέση με την εκπαίδευση και τα προσόντα ναυτικών που εργάζονται σε επιβατηγά πλοία και σε πλοία που πλέουν στα πολικά ύδατα.</w:t>
      </w:r>
    </w:p>
    <w:p w:rsidR="00AB5F03" w:rsidRPr="005C3FFB" w:rsidRDefault="004A6431" w:rsidP="00DC2A30">
      <w:pPr>
        <w:pStyle w:val="Considrant"/>
      </w:pPr>
      <w:r w:rsidRPr="005C3FFB">
        <w:t xml:space="preserve">Η οδηγία </w:t>
      </w:r>
      <w:r w:rsidRPr="00A2201F">
        <w:t>2008</w:t>
      </w:r>
      <w:r w:rsidRPr="005C3FFB">
        <w:t>/</w:t>
      </w:r>
      <w:r w:rsidRPr="00A2201F">
        <w:t>106</w:t>
      </w:r>
      <w:r w:rsidRPr="005C3FFB">
        <w:t>/ΕΚ του Ευρωπαϊκού Κοινοβουλίου και του Συμβουλίου</w:t>
      </w:r>
      <w:r w:rsidRPr="005C3FFB">
        <w:rPr>
          <w:rStyle w:val="FootnoteReference"/>
        </w:rPr>
        <w:footnoteReference w:id="12"/>
      </w:r>
      <w:r w:rsidRPr="005C3FFB">
        <w:t xml:space="preserve"> ενσωματώνει τη σύμβαση STCW στο ενωσιακό δίκαιο. Όλα τα κράτη μέλη είναι συμβαλλόμενα μέλη της σύμβασης STCW και, συνεπώς, αναμένεται να επιτευχθεί η εναρμονισμένη εφαρμογή των διεθνών δεσμεύσεών τους μέσα από την ευθυγράμμιση των ενωσιακών κανόνων για την εκπαίδευση και την πιστοποίηση των ναυτικών με τη σύμβαση STCW. Ως εκ τούτου, αρκετές διατάξεις της οδηγίας </w:t>
      </w:r>
      <w:r w:rsidRPr="00A2201F">
        <w:t>2008</w:t>
      </w:r>
      <w:r w:rsidRPr="005C3FFB">
        <w:t>/</w:t>
      </w:r>
      <w:r w:rsidRPr="00A2201F">
        <w:t>106</w:t>
      </w:r>
      <w:r w:rsidRPr="005C3FFB">
        <w:t>/ΕΚ θα πρέπει να τροποποιηθούν προκειμένου να αποτυπώνονται οι πρόσφατες τροποποιήσεις της σύμβασης STCW αναφορικά με την εκπαίδευση και τα προσόντα των ναυτικών που εργάζονται σε πλοία τα οποία υπόκεινται στον κώδικα IGF, σε επιβατηγά πλοία και σε πλοία που πλέουν σε πολικά ύδατα.</w:t>
      </w:r>
    </w:p>
    <w:p w:rsidR="00CC426B" w:rsidRPr="005C3FFB" w:rsidRDefault="0020468B" w:rsidP="00DB3A04">
      <w:pPr>
        <w:pStyle w:val="Considrant"/>
      </w:pPr>
      <w:r w:rsidRPr="005C3FFB">
        <w:t>Προκειμένου να λαμβάνονται υπόψη οι εξελίξεις σε διεθνές επίπεδο και να διασφαλίζεται η έγκαιρη προσαρμογή των ενωσιακών κανόνων στις εν λόγω εξελίξεις, θα πρέπει να ανατεθεί στην Επιτροπή η εξουσία να εκδίδει πράξεις, σύμφωνα με το άρθρο </w:t>
      </w:r>
      <w:r w:rsidRPr="00A2201F">
        <w:t>290</w:t>
      </w:r>
      <w:r w:rsidRPr="005C3FFB">
        <w:t xml:space="preserve"> της Συνθήκης για τη λειτουργία της Ευρωπαϊκής Ένωσης, όσον αφορά την ενσωμάτωση των τροποποιήσεων της σύμβασης STCW μέσα από την επικαιροποίηση των τεχνικών απαιτήσεων για την εκπαίδευση και την πιστοποίηση των ναυτικών. Είναι ιδιαίτερα σημαντικό η Επιτροπή να διεξάγει, κατά τις προπαρασκευαστικές της εργασίες, τις κατάλληλες διαβουλεύσεις, μεταξύ άλλων σε επίπεδο εμπειρογνωμόνων, οι οποίες να πραγματοποιούνται σύμφωνα με τις αρχές που ορίζονται στη διοργανική συμφωνία της </w:t>
      </w:r>
      <w:r w:rsidRPr="00A2201F">
        <w:t>13</w:t>
      </w:r>
      <w:r w:rsidRPr="005C3FFB">
        <w:t xml:space="preserve">ης Απριλίου </w:t>
      </w:r>
      <w:r w:rsidRPr="00A2201F">
        <w:t>2016</w:t>
      </w:r>
      <w:r w:rsidRPr="005C3FFB">
        <w:t xml:space="preserve"> για τη βελτίωση του νομοθετικού έργου</w:t>
      </w:r>
      <w:r w:rsidRPr="005C3FFB">
        <w:rPr>
          <w:rStyle w:val="FootnoteReference"/>
        </w:rPr>
        <w:footnoteReference w:id="13"/>
      </w:r>
      <w:r w:rsidRPr="005C3FFB">
        <w:t>. Πιο συγκεκριμένα, για να εξασφαλιστεί η ίση συμμετοχή στην εκπόνηση των κατ’ εξουσιοδότηση πράξεων, το Ευρωπαϊκό Κοινοβούλιο και το Συμβούλιο πρέπει να λαμβάνουν όλα τα έγγραφα ταυτόχρονα με τους εμπειρογνώμονες των κρατών μελών, και οι εμπειρογνώμονές τους να έχουν συστηματικά πρόσβαση στις συνεδριάσεις των ομάδων εμπειρογνωμόνων της Επιτροπής που ασχολούνται με την εκπόνηση των κατ’ εξουσιοδότηση πράξεων.</w:t>
      </w:r>
    </w:p>
    <w:p w:rsidR="00A34B8E" w:rsidRPr="005C3FFB" w:rsidRDefault="00A34B8E" w:rsidP="008C5AF2">
      <w:pPr>
        <w:pStyle w:val="Considrant"/>
      </w:pPr>
      <w:r w:rsidRPr="005C3FFB">
        <w:t xml:space="preserve">Η οδηγία </w:t>
      </w:r>
      <w:r w:rsidRPr="00A2201F">
        <w:t>2008</w:t>
      </w:r>
      <w:r w:rsidRPr="005C3FFB">
        <w:t>/</w:t>
      </w:r>
      <w:r w:rsidRPr="00A2201F">
        <w:t>106</w:t>
      </w:r>
      <w:r w:rsidRPr="005C3FFB">
        <w:t>/ΕΚ περιλαμβάνει επίσης έναν κεντρικό μηχανισμό για την αναγνώριση των πιστοποιητικών των ναυτικών που έχουν εκδοθεί από τρίτες χώρες. Η αξιολόγηση που διενεργήθηκε στο πλαίσιο του προγράμματος βελτίωσης της καταλληλότητας και της αποδοτικότητας του κανονιστικού πλαισίου (REFIT)</w:t>
      </w:r>
      <w:r w:rsidRPr="005C3FFB">
        <w:rPr>
          <w:rStyle w:val="FootnoteReference"/>
        </w:rPr>
        <w:footnoteReference w:id="14"/>
      </w:r>
      <w:r w:rsidRPr="005C3FFB">
        <w:t xml:space="preserve"> κατέδειξε ότι έχει επιτευχθεί σημαντική εξοικονόμηση δαπανών για τα κράτη μέλη από την καθιέρωση του κεντρικού μηχανισμού και μετά. Ωστόσο, η αξιολόγηση αποκάλυψε επίσης ότι, όσον αφορά ορισμένες από τις αναγνωρισμένες τρίτες χώρες, μόνον περιορισμένος αριθμός ναυτικών απασχολήθηκε στη συνέχεια σε σκάφη της Ένωσης. Συνεπώς, προκειμένου οι διαθέσιμοι ανθρώπινοι και οικονομικοί πόροι να αξιοποιούνται με αποδοτικότερο τρόπο, η διαδικασία αναγνώρισης τρίτων χωρών θα πρέπει να βασίζεται σε ανάλυση της ανάγκης για τη συγκεκριμένη αναγνώριση, συμπεριλαμβανομένης της εκτίμησης του αριθμού των πλοιάρχων και αξιωματικών που προέρχονται από την εν λόγω χώρα οι οποίοι είναι πιθανόν να απασχοληθούν σε σκάφη της Ένωσης. </w:t>
      </w:r>
    </w:p>
    <w:p w:rsidR="00155349" w:rsidRPr="005C3FFB" w:rsidRDefault="007A38C9" w:rsidP="008C5AF2">
      <w:pPr>
        <w:pStyle w:val="Considrant"/>
      </w:pPr>
      <w:r w:rsidRPr="005C3FFB">
        <w:t xml:space="preserve">Βάσει της πείρας που έχει αποκομιστεί από την εφαρμογή της διαδικασίας αναγνώρισης τρίτων χωρών, η αξιολόγηση REFIT αποκάλυψε ότι η τρέχουσα προθεσμία των </w:t>
      </w:r>
      <w:r w:rsidRPr="00A2201F">
        <w:t>18</w:t>
      </w:r>
      <w:r w:rsidRPr="005C3FFB">
        <w:t xml:space="preserve"> μηνών δεν λαμβάνει υπόψη την περιπλοκότητα της διαδικασίας, η οποία περιλαμβάνει επιτόπια επιθεώρηση που διενεργείται από τον Ευρωπαϊκό Οργανισμό για την Ασφάλεια στη Θάλασσα. Οι αναγκαίες διπλωματικές ρυθμίσεις για τον σχεδιασμό και την πραγματοποίηση της εν λόγω επιθεώρησης απαιτούν περισσότερο χρόνο. Επιπλέον, η προθεσμία των </w:t>
      </w:r>
      <w:r w:rsidRPr="00A2201F">
        <w:t>18</w:t>
      </w:r>
      <w:r w:rsidRPr="005C3FFB">
        <w:t xml:space="preserve"> μηνών δεν επαρκεί όταν η τρίτη χώρα πρέπει να εφαρμόσει διορθωτικά μέτρα και να επιφέρει νομικές αλλαγές στο σύστημά της προκειμένου να συμμορφωθεί προς τις απαιτήσεις της σύμβασης STCW. Για τους λόγους αυτούς, η προθεσμία έκδοσης απόφασης της Επιτροπής θα πρέπει να παραταθεί από τους </w:t>
      </w:r>
      <w:r w:rsidRPr="00A2201F">
        <w:t>18</w:t>
      </w:r>
      <w:r w:rsidRPr="005C3FFB">
        <w:t xml:space="preserve"> στους </w:t>
      </w:r>
      <w:r w:rsidRPr="00A2201F">
        <w:t>24</w:t>
      </w:r>
      <w:r w:rsidRPr="005C3FFB">
        <w:t xml:space="preserve"> μήνες και, όπου η τρίτη χώρα υποχρεούται να εφαρμόσει σημαντικά διορθωτικά μέτρα, συμπεριλαμβανομένων τροποποιήσεων σε νομικές διατάξεις, η προθεσμία θα πρέπει να παρατείνεται περαιτέρω στους </w:t>
      </w:r>
      <w:r w:rsidRPr="00A2201F">
        <w:t>36</w:t>
      </w:r>
      <w:r w:rsidRPr="005C3FFB">
        <w:t xml:space="preserve"> μήνες. Επιπροσθέτως,</w:t>
      </w:r>
      <w:r w:rsidRPr="005C3FFB">
        <w:rPr>
          <w:rFonts w:ascii="EUAlbertina" w:hAnsi="EUAlbertina"/>
        </w:rPr>
        <w:t xml:space="preserve"> </w:t>
      </w:r>
      <w:r w:rsidRPr="005C3FFB">
        <w:t>θα πρέπει να διατηρηθεί η δυνατότητα του αιτούντος κράτους μέλους να αναγνωρίζει προσωρινά το σύστημα της τρίτης χώρας όσον αφορά τα πρότυπα εκπαίδευσης, έκδοσης πιστοποιητικών και τήρησης φυλακών των ναυτικών, ώστε να διαφυλάσσεται η ευελιξία της διαδικασίας αναγνώρισης.</w:t>
      </w:r>
    </w:p>
    <w:p w:rsidR="006B6053" w:rsidRPr="005C3FFB" w:rsidRDefault="007321BF" w:rsidP="00095DF7">
      <w:pPr>
        <w:pStyle w:val="Considrant"/>
      </w:pPr>
      <w:r w:rsidRPr="005C3FFB">
        <w:t>Για την περαιτέρω ενίσχυση της αποδοτικότητας του κεντρικού συστήματος αναγνώρισης τρίτων χωρών, η επαναξιολόγηση των τρίτων χωρών που παρέχουν μικρό αριθμό ναυτικών στον ενωσιακό στόλο θα πρέπει να διενεργείται ανά μεγαλύτερα χρονικά διαστήματα, τα οποία θα πρέπει να αυξηθούν στα δέκα έτη. Ωστόσο, το εν λόγω μεγαλύτερο διάστημα επαναξιολόγησης του συστήματος τρίτων χωρών θα πρέπει να συνδυάζεται με κριτήρια προτεραιότητας, τα οποία λαμβάνουν υπόψη προβληματισμούς για την ασφάλεια, ώστε η ανάγκη για αποδοτικότητα να αντισταθμίζεται με έναν αποτελεσματικό μηχανισμό διασφάλισης σε περίπτωση υποβάθμισης της ποιότητας της εκπαίδευσης των ναυτικών στις σχετικές τρίτες χώρες.</w:t>
      </w:r>
    </w:p>
    <w:p w:rsidR="00503E2A" w:rsidRPr="005C3FFB" w:rsidRDefault="00503E2A" w:rsidP="00095DF7">
      <w:pPr>
        <w:pStyle w:val="Considrant"/>
      </w:pPr>
      <w:r w:rsidRPr="005C3FFB">
        <w:t>Πληροφορίες σχετικά με τους απασχολούμενους ναυτικούς που προέρχονται από τρίτες χώρες έχουν καταστεί διαθέσιμες σε επίπεδο Ένωσης, καθώς τα κράτη μέλη έχουν γνωστοποιήσει τις συναφείς πληροφορίες που τηρούνται στα εθνικά μητρώα τους αναφορικά με τα εκδοθέντα πιστοποιητικά και τις θεωρήσεις. Οι εν λόγω πληροφορίες θα πρέπει να χρησιμοποιούνται όχι μόνο για σκοπούς στατιστικής και χάραξης πολιτικής, αλλά και με σκοπό τη βελτίωση της αποδοτικότητας του κεντρικού συστήματος αναγνώρισης τρίτων χωρών. Βάσει των πληροφοριών που γνωστοποιούν τα κράτη μέλη, οι αναγνωρισμένες τρίτες χώρες που δεν έχουν παράσχει ναυτικούς στον στόλο της Ένωσης για διάστημα τουλάχιστον πέντε ετών διαγράφονται από τον κατάλογο των αναγνωρισμένων τρίτων χωρών. Επιπροσθέτως, οι εν λόγω πληροφορίες χρησιμοποιούνται επίσης για την ιεράρχηση της επαναξιολόγησης των αναγνωρισμένων τρίτων χωρών.</w:t>
      </w:r>
    </w:p>
    <w:p w:rsidR="00A70858" w:rsidRPr="005C3FFB" w:rsidRDefault="00B1637D" w:rsidP="00B1637D">
      <w:pPr>
        <w:pStyle w:val="Considrant"/>
      </w:pPr>
      <w:r w:rsidRPr="005C3FFB">
        <w:t xml:space="preserve">Οι διατάξεις για την αναγνώριση των επαγγελματικών προσόντων σύμφωνα με την οδηγία </w:t>
      </w:r>
      <w:r w:rsidRPr="00A2201F">
        <w:t>2005</w:t>
      </w:r>
      <w:r w:rsidRPr="005C3FFB">
        <w:t>/</w:t>
      </w:r>
      <w:r w:rsidRPr="00A2201F">
        <w:t>36</w:t>
      </w:r>
      <w:r w:rsidRPr="005C3FFB">
        <w:t>/ΕΚ του Ευρωπαϊκού Κοινοβουλίου και του Συμβουλίου</w:t>
      </w:r>
      <w:r w:rsidRPr="005C3FFB">
        <w:rPr>
          <w:rStyle w:val="FootnoteReference"/>
        </w:rPr>
        <w:footnoteReference w:id="15"/>
      </w:r>
      <w:r w:rsidRPr="005C3FFB">
        <w:t xml:space="preserve"> δεν εφαρμόζονται ως προς την αναγνώριση πιστοποιητικών των ναυτικών δυνάμει της οδηγίας </w:t>
      </w:r>
      <w:r w:rsidRPr="00A2201F">
        <w:t>2008</w:t>
      </w:r>
      <w:r w:rsidRPr="005C3FFB">
        <w:t>/</w:t>
      </w:r>
      <w:r w:rsidRPr="00A2201F">
        <w:t>106</w:t>
      </w:r>
      <w:r w:rsidRPr="005C3FFB">
        <w:t xml:space="preserve">/ΕΚ. Η οδηγία </w:t>
      </w:r>
      <w:r w:rsidRPr="00A2201F">
        <w:t>2005</w:t>
      </w:r>
      <w:r w:rsidRPr="005C3FFB">
        <w:t>/</w:t>
      </w:r>
      <w:r w:rsidRPr="00A2201F">
        <w:t>45</w:t>
      </w:r>
      <w:r w:rsidRPr="005C3FFB">
        <w:t>/ΕΚ του Ευρωπαϊκού Κοινοβουλίου και του Συμβουλίου</w:t>
      </w:r>
      <w:r w:rsidRPr="005C3FFB">
        <w:rPr>
          <w:rStyle w:val="FootnoteReference"/>
        </w:rPr>
        <w:footnoteReference w:id="16"/>
      </w:r>
      <w:r w:rsidRPr="005C3FFB">
        <w:t xml:space="preserve"> ρύθμιζε την αμοιβαία αναγνώριση πιστοποιητικών των ναυτικών τα οποία εκδίδονται από τα κράτη μέλη. Εντούτοις, οι ορισμοί των πιστοποιητικών των ναυτικών που αναφέρονται στην οδηγία </w:t>
      </w:r>
      <w:r w:rsidRPr="00A2201F">
        <w:t>2005</w:t>
      </w:r>
      <w:r w:rsidRPr="005C3FFB">
        <w:t>/</w:t>
      </w:r>
      <w:r w:rsidRPr="00A2201F">
        <w:t>45</w:t>
      </w:r>
      <w:r w:rsidRPr="005C3FFB">
        <w:t xml:space="preserve">/ΕΚ έχουν καταστεί παρωχημένοι κατόπιν των τροποποιήσεων της σύμβασης STCW του </w:t>
      </w:r>
      <w:r w:rsidRPr="00A2201F">
        <w:t>2010</w:t>
      </w:r>
      <w:r w:rsidRPr="005C3FFB">
        <w:t xml:space="preserve">. Συνεπώς, το καθεστώς αμοιβαίας αναγνώρισης των πιστοποιητικών των ναυτικών τα οποία εκδίδονται από κράτη μέλη θα πρέπει να τροποποιηθεί προκειμένου να αποτυπώνονται οι διεθνείς τροποποιήσεις και οι νέοι ορισμοί των πιστοποιητικών των ναυτικών που περιλαμβάνονται στην οδηγία </w:t>
      </w:r>
      <w:r w:rsidRPr="00A2201F">
        <w:t>2008</w:t>
      </w:r>
      <w:r w:rsidRPr="005C3FFB">
        <w:t>/</w:t>
      </w:r>
      <w:r w:rsidRPr="00A2201F">
        <w:t>106</w:t>
      </w:r>
      <w:r w:rsidRPr="005C3FFB">
        <w:t xml:space="preserve">/ΕΚ. Επιπλέον, τα ιατρικά πιστοποιητικά των ναυτικών, τα οποία εκδίδονται υπό την εξουσία κρατών μελών, θα πρέπει επίσης να περιλαμβάνονται στο καθεστώς αμοιβαίας αναγνώρισης. Προκειμένου να εξαλειφθεί η ασάφεια και ο κίνδυνος ασυνεπειών μεταξύ της οδηγίας </w:t>
      </w:r>
      <w:r w:rsidRPr="00A2201F">
        <w:t>2005</w:t>
      </w:r>
      <w:r w:rsidRPr="005C3FFB">
        <w:t>/</w:t>
      </w:r>
      <w:r w:rsidRPr="00A2201F">
        <w:t>45</w:t>
      </w:r>
      <w:r w:rsidRPr="005C3FFB">
        <w:t xml:space="preserve">/ΕΚ και της οδηγίας </w:t>
      </w:r>
      <w:r w:rsidRPr="00A2201F">
        <w:t>2008</w:t>
      </w:r>
      <w:r w:rsidRPr="005C3FFB">
        <w:t>/</w:t>
      </w:r>
      <w:r w:rsidRPr="00A2201F">
        <w:t>106</w:t>
      </w:r>
      <w:r w:rsidRPr="005C3FFB">
        <w:t xml:space="preserve">/ΕΚ, η αμοιβαία αναγνώριση των πιστοποιητικών των ναυτικών θα πρέπει να ρυθμίζεται από την οδηγία </w:t>
      </w:r>
      <w:r w:rsidRPr="00A2201F">
        <w:t>2008</w:t>
      </w:r>
      <w:r w:rsidRPr="005C3FFB">
        <w:t>/</w:t>
      </w:r>
      <w:r w:rsidRPr="00A2201F">
        <w:t>106</w:t>
      </w:r>
      <w:r w:rsidRPr="005C3FFB">
        <w:t>/ΕΚ.</w:t>
      </w:r>
    </w:p>
    <w:p w:rsidR="00B1637D" w:rsidRPr="005C3FFB" w:rsidRDefault="00857B8A" w:rsidP="00B1637D">
      <w:pPr>
        <w:pStyle w:val="Considrant"/>
      </w:pPr>
      <w:r w:rsidRPr="005C3FFB">
        <w:t xml:space="preserve">Προκειμένου να ενισχυθεί η νομική σαφήνεια και συνέπεια, η οδηγία </w:t>
      </w:r>
      <w:r w:rsidRPr="00A2201F">
        <w:t>2005</w:t>
      </w:r>
      <w:r w:rsidRPr="005C3FFB">
        <w:t>/</w:t>
      </w:r>
      <w:r w:rsidRPr="00A2201F">
        <w:t>45</w:t>
      </w:r>
      <w:r w:rsidRPr="005C3FFB">
        <w:t xml:space="preserve">/ΕΚ θα πρέπει να καταργηθεί και η οδηγία </w:t>
      </w:r>
      <w:r w:rsidRPr="00A2201F">
        <w:t>2008</w:t>
      </w:r>
      <w:r w:rsidRPr="005C3FFB">
        <w:t>/</w:t>
      </w:r>
      <w:r w:rsidRPr="00A2201F">
        <w:t>106</w:t>
      </w:r>
      <w:r w:rsidRPr="005C3FFB">
        <w:t>/ΕΚ θα πρέπει να τροποποιηθεί αναλόγως,</w:t>
      </w:r>
    </w:p>
    <w:p w:rsidR="006B6053" w:rsidRPr="005C3FFB" w:rsidRDefault="006B6053" w:rsidP="008F2AF8">
      <w:pPr>
        <w:pStyle w:val="Formuledadoption"/>
      </w:pPr>
      <w:r w:rsidRPr="005C3FFB">
        <w:t>ΕΞΕΔΩΣΑΝ ΤΗΝ ΠΑΡΟΥΣΑ ΟΔΗΓΙΑ:</w:t>
      </w:r>
    </w:p>
    <w:p w:rsidR="006B6053" w:rsidRPr="005C3FFB" w:rsidRDefault="006B6053" w:rsidP="00095DF7">
      <w:pPr>
        <w:pStyle w:val="Titrearticle"/>
      </w:pPr>
      <w:r w:rsidRPr="005C3FFB">
        <w:t xml:space="preserve">Άρθρο </w:t>
      </w:r>
      <w:r w:rsidRPr="00A2201F">
        <w:t>1</w:t>
      </w:r>
    </w:p>
    <w:p w:rsidR="006B6053" w:rsidRPr="005C3FFB" w:rsidRDefault="00236A17" w:rsidP="00236A17">
      <w:pPr>
        <w:jc w:val="center"/>
      </w:pPr>
      <w:r w:rsidRPr="005C3FFB">
        <w:t xml:space="preserve">Τροποποιήσεις στην οδηγία </w:t>
      </w:r>
      <w:r w:rsidRPr="00A2201F">
        <w:t>2008</w:t>
      </w:r>
      <w:r w:rsidRPr="005C3FFB">
        <w:t>/</w:t>
      </w:r>
      <w:r w:rsidRPr="00A2201F">
        <w:t>106</w:t>
      </w:r>
      <w:r w:rsidRPr="005C3FFB">
        <w:t>/ΕΚ</w:t>
      </w:r>
    </w:p>
    <w:p w:rsidR="00236A17" w:rsidRPr="005C3FFB" w:rsidRDefault="00236A17" w:rsidP="00236A17">
      <w:r w:rsidRPr="005C3FFB">
        <w:t xml:space="preserve">Η οδηγία </w:t>
      </w:r>
      <w:r w:rsidRPr="00A2201F">
        <w:t>2008</w:t>
      </w:r>
      <w:r w:rsidRPr="005C3FFB">
        <w:t>/</w:t>
      </w:r>
      <w:r w:rsidRPr="00A2201F">
        <w:t>106</w:t>
      </w:r>
      <w:r w:rsidRPr="005C3FFB">
        <w:t>/ΕΚ τροποποιείται ως εξής:</w:t>
      </w:r>
    </w:p>
    <w:p w:rsidR="00A7347D" w:rsidRPr="005C3FFB" w:rsidRDefault="00236A17" w:rsidP="00D44A79">
      <w:pPr>
        <w:pStyle w:val="Point0number"/>
        <w:numPr>
          <w:ilvl w:val="0"/>
          <w:numId w:val="10"/>
        </w:numPr>
      </w:pPr>
      <w:r w:rsidRPr="005C3FFB">
        <w:t xml:space="preserve">Στο άρθρο </w:t>
      </w:r>
      <w:r w:rsidRPr="00A2201F">
        <w:t>1</w:t>
      </w:r>
      <w:r w:rsidRPr="005C3FFB">
        <w:t>, προστίθενται τα παρακάτω σημεία:</w:t>
      </w:r>
    </w:p>
    <w:p w:rsidR="00A7347D" w:rsidRPr="005C3FFB" w:rsidRDefault="00236A17" w:rsidP="001F6226">
      <w:r w:rsidRPr="005C3FFB">
        <w:t>«</w:t>
      </w:r>
      <w:r w:rsidRPr="00A2201F">
        <w:t>43</w:t>
      </w:r>
      <w:r w:rsidRPr="005C3FFB">
        <w:t>. “κράτος μέλος υποδοχής”: το κράτος μέλος στο οποίο οι ναυτικοί αιτούνται την αποδοχή ή την αναγνώριση των πιστοποιητικών τους·</w:t>
      </w:r>
    </w:p>
    <w:p w:rsidR="00A7347D" w:rsidRPr="005C3FFB" w:rsidRDefault="00236A17" w:rsidP="00E9670F">
      <w:r w:rsidRPr="00A2201F">
        <w:t>44</w:t>
      </w:r>
      <w:r w:rsidRPr="005C3FFB">
        <w:t>. “κώδικας IGF”: ο διεθνής κώδικας ασφαλείας για τα πλοία που χρησιμοποιούν αέρια ή άλλα καύσιμα με χαμηλό σημείο ανάφλεξης, όπως ορίζεται στον κανονισμό II-</w:t>
      </w:r>
      <w:r w:rsidRPr="00A2201F">
        <w:t>1</w:t>
      </w:r>
      <w:r w:rsidRPr="005C3FFB">
        <w:t>/</w:t>
      </w:r>
      <w:r w:rsidRPr="00A2201F">
        <w:t>2</w:t>
      </w:r>
      <w:r w:rsidRPr="005C3FFB">
        <w:t>.</w:t>
      </w:r>
      <w:r w:rsidRPr="00A2201F">
        <w:t>29</w:t>
      </w:r>
      <w:r w:rsidRPr="005C3FFB">
        <w:t xml:space="preserve"> της σύμβασης SOLAS·</w:t>
      </w:r>
    </w:p>
    <w:p w:rsidR="00A7347D" w:rsidRPr="005C3FFB" w:rsidRDefault="00236A17" w:rsidP="00E9670F">
      <w:r w:rsidRPr="00A2201F">
        <w:t>45</w:t>
      </w:r>
      <w:r w:rsidRPr="005C3FFB">
        <w:t>. “πολικός κώδικας”: ο διεθνής κώδικας για τα πλοία που πλέουν στα πολικά ύδατα, όπως ορίζεται στον κανονισμό XIV/</w:t>
      </w:r>
      <w:r w:rsidRPr="00A2201F">
        <w:t>1</w:t>
      </w:r>
      <w:r w:rsidRPr="005C3FFB">
        <w:t>.</w:t>
      </w:r>
      <w:r w:rsidRPr="00A2201F">
        <w:t>1</w:t>
      </w:r>
      <w:r w:rsidRPr="005C3FFB">
        <w:t xml:space="preserve"> της σύμβασης SOLAS· </w:t>
      </w:r>
    </w:p>
    <w:p w:rsidR="00331F61" w:rsidRPr="005C3FFB" w:rsidRDefault="00236A17" w:rsidP="00E9670F">
      <w:r w:rsidRPr="00A2201F">
        <w:t>46</w:t>
      </w:r>
      <w:r w:rsidRPr="005C3FFB">
        <w:t>. “πολικά ύδατα”: τα αρκτικά ύδατα και/ή</w:t>
      </w:r>
      <w:r w:rsidRPr="005C3FFB">
        <w:rPr>
          <w:i/>
        </w:rPr>
        <w:t xml:space="preserve"> </w:t>
      </w:r>
      <w:r w:rsidRPr="005C3FFB">
        <w:t>η περιοχή της Ανταρκτικής, όπως ορίζεται στους κανονισμούς XIV/</w:t>
      </w:r>
      <w:r w:rsidRPr="00A2201F">
        <w:t>1</w:t>
      </w:r>
      <w:r w:rsidRPr="005C3FFB">
        <w:t>.</w:t>
      </w:r>
      <w:r w:rsidRPr="00A2201F">
        <w:t>2</w:t>
      </w:r>
      <w:r w:rsidRPr="005C3FFB">
        <w:t xml:space="preserve"> έως XIV/</w:t>
      </w:r>
      <w:r w:rsidRPr="00A2201F">
        <w:t>1</w:t>
      </w:r>
      <w:r w:rsidRPr="005C3FFB">
        <w:t>.</w:t>
      </w:r>
      <w:r w:rsidRPr="00A2201F">
        <w:t>4</w:t>
      </w:r>
      <w:r w:rsidRPr="005C3FFB">
        <w:t xml:space="preserve"> της σύμβασης SOLAS.»</w:t>
      </w:r>
    </w:p>
    <w:p w:rsidR="00F34548" w:rsidRPr="005C3FFB" w:rsidRDefault="00F34548" w:rsidP="00C3431A">
      <w:pPr>
        <w:pStyle w:val="Point0number"/>
      </w:pPr>
      <w:r w:rsidRPr="005C3FFB">
        <w:t>Το άρθρο </w:t>
      </w:r>
      <w:r w:rsidRPr="00A2201F">
        <w:t>2</w:t>
      </w:r>
      <w:r w:rsidRPr="005C3FFB">
        <w:t xml:space="preserve"> τροποποιείται ως εξής:</w:t>
      </w:r>
    </w:p>
    <w:p w:rsidR="00F34548" w:rsidRPr="005C3FFB" w:rsidRDefault="008B3F67" w:rsidP="002471A3">
      <w:r w:rsidRPr="005C3FFB">
        <w:t>α) το πρώτο εδάφιο τροποποιείται ως εξής:</w:t>
      </w:r>
    </w:p>
    <w:p w:rsidR="00F34548" w:rsidRPr="005C3FFB" w:rsidRDefault="00F34548" w:rsidP="00B60DB7">
      <w:pPr>
        <w:pStyle w:val="CM1"/>
        <w:spacing w:before="200" w:after="200"/>
        <w:rPr>
          <w:color w:val="000000"/>
        </w:rPr>
      </w:pPr>
      <w:r w:rsidRPr="005C3FFB">
        <w:t>«</w:t>
      </w:r>
      <w:r w:rsidRPr="00A2201F">
        <w:rPr>
          <w:b/>
        </w:rPr>
        <w:t>1</w:t>
      </w:r>
      <w:r w:rsidRPr="005C3FFB">
        <w:rPr>
          <w:b/>
        </w:rPr>
        <w:t>.</w:t>
      </w:r>
      <w:r w:rsidRPr="005C3FFB">
        <w:t xml:space="preserve"> </w:t>
      </w:r>
      <w:r w:rsidRPr="005C3FFB">
        <w:rPr>
          <w:color w:val="000000"/>
        </w:rPr>
        <w:t>Η παρούσα οδηγία εφαρμόζεται στους ναυτικούς που αναφέρονται στην παρούσα οδηγία, οι οποίοι εργάζονται σε πλοία θαλάσσιας ναυσιπλοΐας που φέρουν τη σημαία κράτους μέλους, με εξαίρεση:»</w:t>
      </w:r>
    </w:p>
    <w:p w:rsidR="00C3431A" w:rsidRPr="005C3FFB" w:rsidRDefault="008B3F67" w:rsidP="002471A3">
      <w:r w:rsidRPr="005C3FFB">
        <w:t>β) πρ</w:t>
      </w:r>
      <w:r w:rsidR="00CB3B19">
        <w:t>οστίθεται η ακόλουθη παράγραφος </w:t>
      </w:r>
      <w:r w:rsidRPr="00A2201F">
        <w:t>2</w:t>
      </w:r>
      <w:r w:rsidRPr="005C3FFB">
        <w:t>:</w:t>
      </w:r>
    </w:p>
    <w:p w:rsidR="00C3431A" w:rsidRPr="005C3FFB" w:rsidRDefault="00C3431A" w:rsidP="00E9670F">
      <w:r w:rsidRPr="005C3FFB">
        <w:t>«</w:t>
      </w:r>
      <w:r w:rsidRPr="00A2201F">
        <w:rPr>
          <w:b/>
        </w:rPr>
        <w:t>2</w:t>
      </w:r>
      <w:r w:rsidRPr="005C3FFB">
        <w:rPr>
          <w:b/>
        </w:rPr>
        <w:t>.</w:t>
      </w:r>
      <w:r w:rsidRPr="005C3FFB">
        <w:t xml:space="preserve"> Το άρθρο</w:t>
      </w:r>
      <w:r w:rsidR="00CB3B19">
        <w:t> </w:t>
      </w:r>
      <w:r w:rsidRPr="00A2201F">
        <w:t>5</w:t>
      </w:r>
      <w:r w:rsidR="002C5FF8">
        <w:t>β</w:t>
      </w:r>
      <w:r w:rsidRPr="005C3FFB">
        <w:t xml:space="preserve"> εφαρμόζεται στους ναυτικούς οι οποίοι είναι:</w:t>
      </w:r>
    </w:p>
    <w:p w:rsidR="00C3431A" w:rsidRPr="005C3FFB" w:rsidRDefault="00C3431A" w:rsidP="00E9670F">
      <w:r w:rsidRPr="005C3FFB">
        <w:t>α) υπήκοοι κράτους μέλους·</w:t>
      </w:r>
    </w:p>
    <w:p w:rsidR="0055776F" w:rsidRPr="005C3FFB" w:rsidRDefault="00C3431A" w:rsidP="00E9670F">
      <w:r w:rsidRPr="005C3FFB">
        <w:t>β) αλλοδαποί που κατέχουν πιστοποιητικό το οποίο έχει εκδοθεί από κράτος μέλος.»</w:t>
      </w:r>
    </w:p>
    <w:p w:rsidR="007B681B" w:rsidRPr="005C3FFB" w:rsidRDefault="007B681B" w:rsidP="00C3431A">
      <w:pPr>
        <w:pStyle w:val="Point0number"/>
      </w:pPr>
      <w:r w:rsidRPr="005C3FFB">
        <w:t>Το άρθρο</w:t>
      </w:r>
      <w:r w:rsidR="00CB3B19">
        <w:t> </w:t>
      </w:r>
      <w:r w:rsidRPr="00A2201F">
        <w:t>5</w:t>
      </w:r>
      <w:r w:rsidRPr="005C3FFB">
        <w:t>α αντικαθίσταται από το ακόλουθο κείμενο:</w:t>
      </w:r>
    </w:p>
    <w:p w:rsidR="007B681B" w:rsidRPr="005C3FFB" w:rsidRDefault="007B681B" w:rsidP="00E9670F">
      <w:r w:rsidRPr="005C3FFB">
        <w:t>«Για τους σκοπούς του άρθρου </w:t>
      </w:r>
      <w:r w:rsidRPr="00A2201F">
        <w:t>20</w:t>
      </w:r>
      <w:r w:rsidRPr="005C3FFB">
        <w:t xml:space="preserve"> παράγραφος </w:t>
      </w:r>
      <w:r w:rsidRPr="00A2201F">
        <w:t>8</w:t>
      </w:r>
      <w:r w:rsidRPr="005C3FFB">
        <w:t>, του άρθρου </w:t>
      </w:r>
      <w:r w:rsidRPr="00A2201F">
        <w:t>21</w:t>
      </w:r>
      <w:r w:rsidRPr="005C3FFB">
        <w:t xml:space="preserve"> παράγραφος </w:t>
      </w:r>
      <w:r w:rsidRPr="00A2201F">
        <w:t>2</w:t>
      </w:r>
      <w:r w:rsidRPr="005C3FFB">
        <w:t xml:space="preserve"> και για χρήση από τα κράτη μέλη και την Επιτροπή στον τομέα χάραξης πολιτικής, τα κράτη μέλη παρέχουν στην Επιτροπή, σε ετήσια βάση, τις πληροφορίες που αναφέρονται στο παράρτημα V της παρούσας οδηγίας σχετικά με τα πιστοποιητικά ικανότητας και τις θεωρήσεις που βεβαιώνουν την αναγνώριση πιστοποιητικών ικανότητας. Μπορούν επίσης να παρέχουν, προαιρετικά, τις πληροφορίες για τα πιστοποιητικά επάρκειας που έχουν εκδοθεί για κατώτερους ναυτικούς σύμφωνα με τα κεφάλαια II, III και VII του παραρτήματος της σύμβασης STCW.»</w:t>
      </w:r>
    </w:p>
    <w:p w:rsidR="00C3431A" w:rsidRPr="005C3FFB" w:rsidRDefault="00CB3B19" w:rsidP="00C3431A">
      <w:pPr>
        <w:pStyle w:val="Point0number"/>
      </w:pPr>
      <w:r>
        <w:t>Παρεμβάλλεται το ακόλουθο άρθρο </w:t>
      </w:r>
      <w:r w:rsidR="00172B83" w:rsidRPr="00A2201F">
        <w:t>5</w:t>
      </w:r>
      <w:r w:rsidR="00172B83" w:rsidRPr="005C3FFB">
        <w:t xml:space="preserve">β: </w:t>
      </w:r>
    </w:p>
    <w:p w:rsidR="00C3431A" w:rsidRPr="005C3FFB" w:rsidRDefault="00C3431A" w:rsidP="00E9670F">
      <w:r w:rsidRPr="005C3FFB">
        <w:t xml:space="preserve">«Άρθρο </w:t>
      </w:r>
      <w:r w:rsidRPr="00A2201F">
        <w:t>5</w:t>
      </w:r>
      <w:r w:rsidRPr="005C3FFB">
        <w:t>β</w:t>
      </w:r>
    </w:p>
    <w:p w:rsidR="00190515" w:rsidRPr="005C3FFB" w:rsidRDefault="00190515" w:rsidP="00E9670F">
      <w:r w:rsidRPr="005C3FFB">
        <w:t>Αμοιβαία αναγνώριση πιστοποιητικών των ναυτικών τα οποία εκδίδονται από κράτη μέλη</w:t>
      </w:r>
    </w:p>
    <w:p w:rsidR="00C3431A" w:rsidRPr="005C3FFB" w:rsidRDefault="00C3431A" w:rsidP="00E9670F">
      <w:r w:rsidRPr="00A2201F">
        <w:t>1</w:t>
      </w:r>
      <w:r w:rsidRPr="005C3FFB">
        <w:t>. Κάθε κράτος μέλος δέχεται πιστοποιητικά επάρκειας και αποδεικτικά έγγραφα τα οποία εκδίδονται από άλλο κράτος μέλος, ή υπό την εξουσία αυτού, με σκοπό να επιτρέπεται στους ναυτικούς να υπηρετούν σε πλοία του στόλου του.</w:t>
      </w:r>
    </w:p>
    <w:p w:rsidR="00C3431A" w:rsidRPr="005C3FFB" w:rsidRDefault="00C3431A" w:rsidP="00E9670F">
      <w:r w:rsidRPr="00A2201F">
        <w:t>2</w:t>
      </w:r>
      <w:r w:rsidRPr="005C3FFB">
        <w:t>. Κάθε κράτος μέλος αναγνωρίζει πιστοποιητικά ικανότητας που εκδίδονται από άλλο κράτος μέλος ή πιστοποιητικά επάρκειας που εκδίδονται από άλλο κράτος μέλος σε πλοιάρχους και αξιωματικούς σύμφωνα με του κανονισμούς V/</w:t>
      </w:r>
      <w:r w:rsidRPr="00A2201F">
        <w:t>1</w:t>
      </w:r>
      <w:r w:rsidRPr="005C3FFB">
        <w:t>-</w:t>
      </w:r>
      <w:r w:rsidRPr="00A2201F">
        <w:t>1</w:t>
      </w:r>
      <w:r w:rsidRPr="005C3FFB">
        <w:t xml:space="preserve"> και V/</w:t>
      </w:r>
      <w:r w:rsidRPr="00A2201F">
        <w:t>1</w:t>
      </w:r>
      <w:r w:rsidRPr="005C3FFB">
        <w:t>-</w:t>
      </w:r>
      <w:r w:rsidRPr="00A2201F">
        <w:t>2</w:t>
      </w:r>
      <w:r w:rsidRPr="005C3FFB">
        <w:t xml:space="preserve"> του παραρτήματος I, θεωρώντας τα προκειμένου να πιστοποιήσει την αναγνώρισή τους. Η θεώρηση που πιστοποιεί την αναγνώριση περιορίζεται στις ιδιότητες, τις λειτουργίες και τα επίπεδα ικανότητας ή επάρκειας που καθορίζονται σε αυτά. Χρησιμοποιείται ο τύπος θεώρησης που ορίζεται στην παράγραφο </w:t>
      </w:r>
      <w:r w:rsidRPr="00A2201F">
        <w:t>3</w:t>
      </w:r>
      <w:r w:rsidRPr="005C3FFB">
        <w:t xml:space="preserve"> του τμήματος Α-Ι/</w:t>
      </w:r>
      <w:r w:rsidRPr="00A2201F">
        <w:t>2</w:t>
      </w:r>
      <w:r w:rsidRPr="005C3FFB">
        <w:t xml:space="preserve"> του κώδικα STCW.</w:t>
      </w:r>
    </w:p>
    <w:p w:rsidR="00C3431A" w:rsidRPr="005C3FFB" w:rsidRDefault="00C3431A" w:rsidP="00E9670F">
      <w:r w:rsidRPr="00A2201F">
        <w:t>3</w:t>
      </w:r>
      <w:r w:rsidRPr="005C3FFB">
        <w:t>. Κάθε κράτος μέλος αποδέχεται, προκειμένου να επιτρέπεται στους ναυτικούς να υπηρετούν σε πλοία του στόλου του, ιατρικά πιστοποιητικά τα οποία εκδίδονται υπό την εξουσία άλλου κράτους μέλους σύμφωνα με το άρθρο </w:t>
      </w:r>
      <w:r w:rsidRPr="00A2201F">
        <w:t>11</w:t>
      </w:r>
      <w:r w:rsidRPr="005C3FFB">
        <w:t>.</w:t>
      </w:r>
    </w:p>
    <w:p w:rsidR="00C3431A" w:rsidRPr="005C3FFB" w:rsidRDefault="00C3431A" w:rsidP="00E9670F">
      <w:r w:rsidRPr="00A2201F">
        <w:t>4</w:t>
      </w:r>
      <w:r w:rsidRPr="005C3FFB">
        <w:t>. Τα κράτη μέλη εγγυώνται ότι οι ναυτικοί έχουν το δικαίωμα προσφυγής κατά οποιασδήποτε άρνησης θεώρησης ή αποδοχής εγκύρου πιστοποιητικού ή της μη παροχής απάντησης, σύμφωνα με την εθνική νομοθεσία και τις εθνικές διαδικασίες.</w:t>
      </w:r>
    </w:p>
    <w:p w:rsidR="00C3431A" w:rsidRPr="005C3FFB" w:rsidRDefault="00C3431A" w:rsidP="00E9670F">
      <w:r w:rsidRPr="00A2201F">
        <w:t>5</w:t>
      </w:r>
      <w:r w:rsidRPr="005C3FFB">
        <w:t>. Με την επιφύλαξη της παραγράφου </w:t>
      </w:r>
      <w:r w:rsidRPr="00A2201F">
        <w:t>2</w:t>
      </w:r>
      <w:r w:rsidRPr="005C3FFB">
        <w:t>, οι αρμόδιες αρχές του κράτους μέλους υποδοχής δύνανται να επιβάλλουν πρόσθετους περιορισμούς στις δεξιότητες, στα καθήκοντα και στα επίπεδα ικανότητας ή επάρκειας που αφορούν παράκτια ταξίδια, σύμφωνα με το άρθρο </w:t>
      </w:r>
      <w:r w:rsidRPr="00A2201F">
        <w:t>7</w:t>
      </w:r>
      <w:r w:rsidRPr="005C3FFB">
        <w:t>, ή εναλλακτικά πιστοποιητικά σύμφωνα με τον κανονισμό VII/</w:t>
      </w:r>
      <w:r w:rsidRPr="00A2201F">
        <w:t>1</w:t>
      </w:r>
      <w:r w:rsidRPr="005C3FFB">
        <w:t xml:space="preserve"> του παραρτήματος I. </w:t>
      </w:r>
    </w:p>
    <w:p w:rsidR="00C3431A" w:rsidRPr="005C3FFB" w:rsidRDefault="00C3431A" w:rsidP="00E9670F">
      <w:r w:rsidRPr="00A2201F">
        <w:t>6</w:t>
      </w:r>
      <w:r w:rsidRPr="005C3FFB">
        <w:t>. Με την επιφύλαξη της παραγράφου </w:t>
      </w:r>
      <w:r w:rsidRPr="00A2201F">
        <w:t>2</w:t>
      </w:r>
      <w:r w:rsidRPr="005C3FFB">
        <w:t>, κράτος μέλος μπορεί, αν είναι αναγκαίο, να επιτρέψει σε ναυτικό να υπηρετήσει υπό ιδιότητα πλην της ιδιότητας του αξιωματικού ασυρμάτου ή του χειριστή ασυρμάτου, εκτός από τα προβλεπόμενα από τους κανονισμούς ραδιοεπικοινωνιών, μέχρι τρεις μήνες, σε πλοίο που φέρει τη σημαία του εν λόγω κράτους μέλους, ενώ κατέχει κατάλληλο και έγκυρο πιστοποιητικό το οποίο έχει εκδοθεί και θεωρηθεί από άλλο κράτος μέλος, αλλά δεν έχει ακόμα αναγνωρισθεί διά θεωρήσεως από το συγκεκριμένο κράτος μέλος.</w:t>
      </w:r>
    </w:p>
    <w:p w:rsidR="002A0514" w:rsidRPr="005C3FFB" w:rsidRDefault="00667F54" w:rsidP="00E9670F">
      <w:r w:rsidRPr="005C3FFB">
        <w:t xml:space="preserve">Οι έγγραφες αποδείξεις περί υποβολής αίτησης για θεώρηση στις αρμόδιες αρχές πρέπει να διατηρούνται ευχερώς διαθέσιμες επί του πλοίου. </w:t>
      </w:r>
    </w:p>
    <w:p w:rsidR="00C3431A" w:rsidRPr="005C3FFB" w:rsidRDefault="009F2037" w:rsidP="00E9670F">
      <w:r w:rsidRPr="00A2201F">
        <w:t>7</w:t>
      </w:r>
      <w:r w:rsidRPr="005C3FFB">
        <w:t>. Το κράτος μέλος υποδοχής μεριμνά ώστε οι ναυτικοί που υποβάλλουν πιστοποιητικά προς αναγνώριση για άσκηση διοικητικών καθηκόντων να έχουν επαρκή γνώση της ναυτιλιακής νομοθεσίας του εν λόγω κράτους μέλους σε σχέση με τα καθήκοντα που τους επιτρέπεται να ασκούν.»</w:t>
      </w:r>
    </w:p>
    <w:p w:rsidR="00A7347D" w:rsidRPr="005C3FFB" w:rsidRDefault="00A7347D" w:rsidP="00C3431A">
      <w:pPr>
        <w:pStyle w:val="Point0number"/>
      </w:pPr>
      <w:r w:rsidRPr="005C3FFB">
        <w:t>Το άρθρο </w:t>
      </w:r>
      <w:r w:rsidRPr="00A2201F">
        <w:t>12</w:t>
      </w:r>
      <w:r w:rsidRPr="005C3FFB">
        <w:t xml:space="preserve"> τροποποιείται ως εξής:</w:t>
      </w:r>
    </w:p>
    <w:p w:rsidR="00A7347D" w:rsidRPr="005C3FFB" w:rsidRDefault="00CB3B19" w:rsidP="00CB3B19">
      <w:pPr>
        <w:pStyle w:val="Point0"/>
      </w:pPr>
      <w:r w:rsidRPr="002C3D89">
        <w:t>α)</w:t>
      </w:r>
      <w:r w:rsidRPr="002C3D89">
        <w:tab/>
      </w:r>
      <w:r w:rsidR="00A7347D" w:rsidRPr="005C3FFB">
        <w:t>η παράγραφος </w:t>
      </w:r>
      <w:r w:rsidR="00A7347D" w:rsidRPr="00A2201F">
        <w:t>1</w:t>
      </w:r>
      <w:r w:rsidR="00A7347D" w:rsidRPr="005C3FFB">
        <w:t xml:space="preserve"> αντικαθίσταται από το ακόλουθο κείμενο:</w:t>
      </w:r>
    </w:p>
    <w:p w:rsidR="00A7347D" w:rsidRPr="005C3FFB" w:rsidRDefault="00A7347D" w:rsidP="001F6226">
      <w:r w:rsidRPr="005C3FFB">
        <w:t>«</w:t>
      </w:r>
      <w:r w:rsidRPr="00A2201F">
        <w:t>1</w:t>
      </w:r>
      <w:r w:rsidRPr="005C3FFB">
        <w:t>. Κάθε πλοίαρχος, αξιωματικός και χειριστής ασυρμάτου, κάτοχος πιστοποιητικού που έχει εκδοθεί ή αναγνωρισθεί σύμφωνα με οποιοδήποτε κεφάλαιο του παραρτήματος Ι εκτός του κανονισμού V/</w:t>
      </w:r>
      <w:r w:rsidRPr="00A2201F">
        <w:t>3</w:t>
      </w:r>
      <w:r w:rsidRPr="005C3FFB">
        <w:t xml:space="preserve"> του κεφαλαίου V ή του κεφαλαίου VI, ο οποίος υπηρετεί σε πλοίο στη θάλασσα ή σκοπεύει να επιστρέψει σε θαλάσσια υπηρεσία ύστερα από κάποιο χρονικό διάστημα που διήνυσε στην ξηρά, απαιτείται, για να συνεχίσει να θεωρείται ότι έχει τα προσόντα για θαλάσσια υπηρεσία, ανά χρονικά διαστήματα που δεν υπερβαίνουν τα πέντε έτη: </w:t>
      </w:r>
    </w:p>
    <w:p w:rsidR="00A7347D" w:rsidRPr="005C3FFB" w:rsidRDefault="00A7347D" w:rsidP="00A7347D">
      <w:pPr>
        <w:pStyle w:val="ListParagraph"/>
        <w:ind w:left="839" w:firstLine="11"/>
      </w:pPr>
      <w:r w:rsidRPr="005C3FFB">
        <w:t>α) να πληροί τα πρότυπα καταλληλότητας από ιατρική άποψη τα οποία καθορίζει το άρθρο </w:t>
      </w:r>
      <w:r w:rsidRPr="00A2201F">
        <w:t>11</w:t>
      </w:r>
      <w:r w:rsidRPr="005C3FFB">
        <w:t>· και</w:t>
      </w:r>
    </w:p>
    <w:p w:rsidR="00A7347D" w:rsidRPr="005C3FFB" w:rsidRDefault="00A7347D" w:rsidP="00A7347D">
      <w:pPr>
        <w:pStyle w:val="ListParagraph"/>
        <w:ind w:left="709"/>
      </w:pPr>
    </w:p>
    <w:p w:rsidR="00A7347D" w:rsidRPr="005C3FFB" w:rsidRDefault="00A7347D" w:rsidP="00E61C38">
      <w:pPr>
        <w:pStyle w:val="ListParagraph"/>
        <w:ind w:firstLine="119"/>
      </w:pPr>
      <w:r w:rsidRPr="005C3FFB">
        <w:t>β) να αποδεικνύει ότι εξακολουθεί να διαθέτει επαγγελματική ικανότητα σύμφωνα με το τμήμα Α-Ι/</w:t>
      </w:r>
      <w:r w:rsidRPr="00A2201F">
        <w:t>11</w:t>
      </w:r>
      <w:r w:rsidRPr="005C3FFB">
        <w:t xml:space="preserve"> του κώδικα STCW.»</w:t>
      </w:r>
    </w:p>
    <w:p w:rsidR="00A7347D" w:rsidRPr="005C3FFB" w:rsidRDefault="00CB3B19" w:rsidP="00CB3B19">
      <w:pPr>
        <w:pStyle w:val="Point0"/>
      </w:pPr>
      <w:r>
        <w:t>β)</w:t>
      </w:r>
      <w:r w:rsidRPr="00CB3B19">
        <w:tab/>
      </w:r>
      <w:r w:rsidR="00A7347D" w:rsidRPr="005C3FFB">
        <w:t>προστίθεται η ακόλουθη παράγραφος </w:t>
      </w:r>
      <w:r w:rsidR="00A7347D" w:rsidRPr="00A2201F">
        <w:t>2</w:t>
      </w:r>
      <w:r w:rsidR="00A7347D" w:rsidRPr="005C3FFB">
        <w:t>β:</w:t>
      </w:r>
    </w:p>
    <w:p w:rsidR="00A7347D" w:rsidRPr="005C3FFB" w:rsidRDefault="00A7347D" w:rsidP="00E61C38">
      <w:pPr>
        <w:pStyle w:val="ListParagraph"/>
        <w:ind w:firstLine="119"/>
      </w:pPr>
      <w:r w:rsidRPr="005C3FFB">
        <w:t>«</w:t>
      </w:r>
      <w:r w:rsidRPr="00A2201F">
        <w:t>2</w:t>
      </w:r>
      <w:r w:rsidRPr="005C3FFB">
        <w:t>β. Για να συνεχίσει τη θαλάσσια υπηρεσία σε πλοία που πλέουν σε πολικά ύδατα, κάθε πλοίαρχος και αξιωματικός πληροί τις απαιτήσεις τις παραγράφου </w:t>
      </w:r>
      <w:r w:rsidRPr="00A2201F">
        <w:t>1</w:t>
      </w:r>
      <w:r w:rsidRPr="005C3FFB">
        <w:t xml:space="preserve"> του παρόντος άρθρου και οφείλει, ανά διαστήματα που δεν υπερβαίνουν την πενταετία, να αποδεικνύει ότι εξακολουθεί να διαθέτει επαγγελματική ικανότητα για πλοία που πλέουν σε πολικά ύδατα σύμφωνα με το τμήμα A-I/</w:t>
      </w:r>
      <w:r w:rsidRPr="00A2201F">
        <w:t>11</w:t>
      </w:r>
      <w:r w:rsidRPr="005C3FFB">
        <w:t xml:space="preserve"> παράγραφος </w:t>
      </w:r>
      <w:r w:rsidRPr="00A2201F">
        <w:t>4</w:t>
      </w:r>
      <w:r w:rsidRPr="005C3FFB">
        <w:t xml:space="preserve"> του κώδικα STCW.» </w:t>
      </w:r>
    </w:p>
    <w:p w:rsidR="00E61C38" w:rsidRPr="005C3FFB" w:rsidRDefault="00CB3B19" w:rsidP="00CB3B19">
      <w:pPr>
        <w:pStyle w:val="Point0"/>
      </w:pPr>
      <w:r>
        <w:t>γ)</w:t>
      </w:r>
      <w:r w:rsidRPr="00CB3B19">
        <w:tab/>
      </w:r>
      <w:r w:rsidR="00E61C38" w:rsidRPr="005C3FFB">
        <w:t>η παράγραφος </w:t>
      </w:r>
      <w:r w:rsidR="00E61C38" w:rsidRPr="00A2201F">
        <w:t>3</w:t>
      </w:r>
      <w:r w:rsidR="00E61C38" w:rsidRPr="005C3FFB">
        <w:t xml:space="preserve"> αντικαθίσταται από το ακόλουθο κείμενο:</w:t>
      </w:r>
    </w:p>
    <w:p w:rsidR="00E61C38" w:rsidRPr="005C3FFB" w:rsidRDefault="00E61C38" w:rsidP="001F6226">
      <w:r w:rsidRPr="005C3FFB">
        <w:t>«</w:t>
      </w:r>
      <w:r w:rsidRPr="00A2201F">
        <w:t>3</w:t>
      </w:r>
      <w:r w:rsidRPr="005C3FFB">
        <w:t xml:space="preserve">. Κάθε κράτος μέλος συγκρίνει τα πρότυπα ικανότητας που απαιτούνται από τους υποψηφίους για πιστοποιητικά ικανότητας και/ή πιστοποιητικά επάρκειας εκδοθέντα έως την </w:t>
      </w:r>
      <w:r w:rsidRPr="00A2201F">
        <w:t>1</w:t>
      </w:r>
      <w:r w:rsidRPr="005C3FFB">
        <w:t xml:space="preserve">η Ιανουαρίου </w:t>
      </w:r>
      <w:r w:rsidRPr="00A2201F">
        <w:t>2017</w:t>
      </w:r>
      <w:r w:rsidRPr="005C3FFB">
        <w:t xml:space="preserve"> με αυτά που καθορίζονται για το σχετικό πιστοποιητικό ικανότητας και/ή επάρκειας στο μέρος Α του κώδικα STCW και προσδιορίζει την ανάγκη να απαιτείται οι κάτοχοι τέτοιων πιστοποιητικών ικανότητας και/ή πιστοποιητικών επάρκειας να υπόκεινται σε κατάλληλη εκπαίδευση ανανέωσης και εκσυγχρονισμού των γνώσεων ή σε αξιολόγηση.»</w:t>
      </w:r>
    </w:p>
    <w:p w:rsidR="00A7347D" w:rsidRPr="005C3FFB" w:rsidRDefault="00CB3B19" w:rsidP="00CB3B19">
      <w:pPr>
        <w:pStyle w:val="Point0"/>
      </w:pPr>
      <w:r>
        <w:t>δ)</w:t>
      </w:r>
      <w:r w:rsidRPr="00CB3B19">
        <w:tab/>
      </w:r>
      <w:r w:rsidR="00A7347D" w:rsidRPr="005C3FFB">
        <w:t>παρεμβάλλεται η ακόλουθη παράγραφος </w:t>
      </w:r>
      <w:r w:rsidR="00A7347D" w:rsidRPr="00A2201F">
        <w:t>3</w:t>
      </w:r>
      <w:r w:rsidR="00A7347D" w:rsidRPr="005C3FFB">
        <w:t>α:</w:t>
      </w:r>
    </w:p>
    <w:p w:rsidR="00C3431A" w:rsidRPr="005C3FFB" w:rsidRDefault="00A7347D" w:rsidP="00C3431A">
      <w:pPr>
        <w:pStyle w:val="ListParagraph"/>
        <w:ind w:firstLine="119"/>
      </w:pPr>
      <w:r w:rsidRPr="005C3FFB">
        <w:t>«</w:t>
      </w:r>
      <w:r w:rsidRPr="00A2201F">
        <w:t>3</w:t>
      </w:r>
      <w:r w:rsidRPr="005C3FFB">
        <w:t xml:space="preserve">α. Κάθε κράτος μέλος συγκρίνει τα πρότυπα ικανότητας που απαιτούσε από πρόσωπα </w:t>
      </w:r>
      <w:r w:rsidR="0010394E">
        <w:t>τα οποία</w:t>
      </w:r>
      <w:r w:rsidRPr="005C3FFB">
        <w:t xml:space="preserve"> υπηρετούσαν σε πλοία που χρησιμοποιούν αέριο πριν από την </w:t>
      </w:r>
      <w:r w:rsidRPr="00A2201F">
        <w:t>1</w:t>
      </w:r>
      <w:r w:rsidRPr="005C3FFB">
        <w:t xml:space="preserve">η Ιανουαρίου </w:t>
      </w:r>
      <w:r w:rsidRPr="00A2201F">
        <w:t>2017</w:t>
      </w:r>
      <w:r w:rsidRPr="005C3FFB">
        <w:t xml:space="preserve"> με τα πρότυπα ικανότητας που καθορίζονται στο τμήμα A-V/</w:t>
      </w:r>
      <w:r w:rsidRPr="00A2201F">
        <w:t>3</w:t>
      </w:r>
      <w:r w:rsidRPr="005C3FFB">
        <w:t xml:space="preserve"> του κώδικα STCW και προσδιορίζει κατά πόσον είναι ανάγκη να απαιτείται από αυτό το προσωπικό να επικαιροποιεί την πιστοποίηση των προσόντων του.» </w:t>
      </w:r>
    </w:p>
    <w:p w:rsidR="00C3431A" w:rsidRPr="005C3FFB" w:rsidRDefault="00C3431A" w:rsidP="00C3431A">
      <w:pPr>
        <w:pStyle w:val="Point0number"/>
      </w:pPr>
      <w:r w:rsidRPr="005C3FFB">
        <w:t>Το άρθρο </w:t>
      </w:r>
      <w:r w:rsidRPr="00A2201F">
        <w:t>19</w:t>
      </w:r>
      <w:r w:rsidRPr="005C3FFB">
        <w:t xml:space="preserve"> τροποποιείται ως εξής:</w:t>
      </w:r>
    </w:p>
    <w:p w:rsidR="00C3431A" w:rsidRPr="005C3FFB" w:rsidRDefault="00365F1E" w:rsidP="00365F1E">
      <w:pPr>
        <w:pStyle w:val="Point0"/>
      </w:pPr>
      <w:r w:rsidRPr="00CE3AEA">
        <w:t>α)</w:t>
      </w:r>
      <w:r w:rsidRPr="00CE3AEA">
        <w:tab/>
      </w:r>
      <w:r w:rsidR="00C3431A" w:rsidRPr="005C3FFB">
        <w:t>η παράγραφος </w:t>
      </w:r>
      <w:r w:rsidR="00C3431A" w:rsidRPr="00A2201F">
        <w:t>2</w:t>
      </w:r>
      <w:r w:rsidR="00C3431A" w:rsidRPr="005C3FFB">
        <w:t xml:space="preserve"> αντικαθίσταται από το ακόλουθο κείμενο:</w:t>
      </w:r>
    </w:p>
    <w:p w:rsidR="00C3431A" w:rsidRPr="005C3FFB" w:rsidRDefault="00C3431A" w:rsidP="001F6226">
      <w:r w:rsidRPr="005C3FFB">
        <w:t>«</w:t>
      </w:r>
      <w:r w:rsidRPr="00A2201F">
        <w:t>2</w:t>
      </w:r>
      <w:r w:rsidRPr="005C3FFB">
        <w:t>. Κράτος μέλος που προτίθεται να αναγνωρίσει, με θεώρηση, τα πιστοποιητικά ικανότητας ή τα πιστοποιητικά επάρκειας τα οποία αναφέρονται στην παράγραφο </w:t>
      </w:r>
      <w:r w:rsidRPr="00A2201F">
        <w:t>1</w:t>
      </w:r>
      <w:r w:rsidRPr="005C3FFB">
        <w:t xml:space="preserve"> και έχουν εκδοθεί από τρίτη χώρα σε πλοίαρχο, αξιωματικό ή χειριστή ασυρμάτου για να υπηρετήσουν επί πλοίων που φέρουν τη σημαία του, υποβάλλει στην Επιτροπή αίτηση αναγνώρισης της εν λόγω τρίτης χώρας, συνοδευόμενη από προκαταρκτική ανάλυση της συμμόρφωσης της τρίτης χώρας προς τις απαιτήσεις της σύμβασης STCW, συγκεντρώνοντας τις πληροφορίες που αναφέρονται στο παράρτημα II, συμπεριλαμβανομένης εκτίμησης του αριθμού των πλοιάρχων και αξιωματικών από την εν λόγω χώρα που είναι πιθανόν να απασχοληθούν.</w:t>
      </w:r>
    </w:p>
    <w:p w:rsidR="00C3431A" w:rsidRPr="005C3FFB" w:rsidRDefault="00C3431A" w:rsidP="001F6226">
      <w:r w:rsidRPr="005C3FFB">
        <w:t>Μετά την υποβολή αίτησης από κράτος μέλος, η Επιτροπή λαμβάνει απόφαση για κίνηση της διαδικασίας αναγνώρισης της συγκεκριμένης τρίτης χώρας. Οι εν λόγω εκτελεστικές πράξεις εκδίδονται σύμφωνα με τη διαδικασία εξέτασης που αναφέρεται στο άρθρο </w:t>
      </w:r>
      <w:r w:rsidRPr="00A2201F">
        <w:t>28</w:t>
      </w:r>
      <w:r w:rsidRPr="005C3FFB">
        <w:t xml:space="preserve"> παράγραφος </w:t>
      </w:r>
      <w:r w:rsidRPr="00A2201F">
        <w:t>2</w:t>
      </w:r>
      <w:r w:rsidRPr="005C3FFB">
        <w:t>.</w:t>
      </w:r>
    </w:p>
    <w:p w:rsidR="00C3431A" w:rsidRPr="005C3FFB" w:rsidRDefault="00C3431A" w:rsidP="001F6226">
      <w:r w:rsidRPr="005C3FFB">
        <w:t xml:space="preserve">Όταν εκδίδεται θετική απόφαση για την κίνηση της διαδικασίας αναγνώρισης, η Επιτροπή, επικουρούμενη από τον Ευρωπαϊκό Οργανισμό για την Ασφάλεια στη Θάλασσα, και με τυχόν συμμετοχή του κράτους μέλους που υποβάλλει την αίτηση, συγκεντρώνει τα στοιχεία που αναφέρονται στο παράρτημα ΙΙ και διενεργεί αξιολόγηση των συστημάτων εκπαίδευσης και πιστοποίησης της τρίτης χώρας για την οποία έχει υποβληθεί αίτηση αναγνώρισης, προκειμένου να διαπιστώσει κατά πόσον η εν λόγω χώρα πληροί όλες τις απαιτήσεις της σύμβασης STCW και κατά πόσον ελήφθησαν τα κατάλληλα μέτρα για την πρόληψη της έκδοσης πλαστών πιστοποιητικών.» </w:t>
      </w:r>
    </w:p>
    <w:p w:rsidR="009E0506" w:rsidRPr="005C3FFB" w:rsidRDefault="00365F1E" w:rsidP="00365F1E">
      <w:pPr>
        <w:pStyle w:val="Point0"/>
      </w:pPr>
      <w:r>
        <w:t>β)</w:t>
      </w:r>
      <w:r w:rsidRPr="00365F1E">
        <w:tab/>
      </w:r>
      <w:r w:rsidR="00C3431A" w:rsidRPr="005C3FFB">
        <w:t>η παράγραφος </w:t>
      </w:r>
      <w:r w:rsidR="00C3431A" w:rsidRPr="00A2201F">
        <w:t>3</w:t>
      </w:r>
      <w:r w:rsidR="00C3431A" w:rsidRPr="005C3FFB">
        <w:t xml:space="preserve"> αντικαθίσταται από το ακόλουθο κείμενο:</w:t>
      </w:r>
    </w:p>
    <w:p w:rsidR="009E0506" w:rsidRPr="005C3FFB" w:rsidRDefault="00C3431A" w:rsidP="001F6226">
      <w:r w:rsidRPr="005C3FFB">
        <w:t>«</w:t>
      </w:r>
      <w:r w:rsidRPr="00A2201F">
        <w:t>3</w:t>
      </w:r>
      <w:r w:rsidRPr="005C3FFB">
        <w:t>. Η απόφαση σχετικά με την αναγνώριση τρίτης χώρας λαμβάνεται από την Επιτροπή μέσω εκτελεστικής πράξης. Η εν λόγω εκτελεστική πράξη εκδίδεται σύμφωνα με τη διαδικασία εξέτασης που ορίζεται στο άρθρο </w:t>
      </w:r>
      <w:r w:rsidRPr="00A2201F">
        <w:t>28</w:t>
      </w:r>
      <w:r w:rsidRPr="005C3FFB">
        <w:t xml:space="preserve"> παράγραφος </w:t>
      </w:r>
      <w:r w:rsidRPr="00A2201F">
        <w:t>2</w:t>
      </w:r>
      <w:r w:rsidRPr="005C3FFB">
        <w:t xml:space="preserve">, εντός </w:t>
      </w:r>
      <w:r w:rsidRPr="00A2201F">
        <w:t>24</w:t>
      </w:r>
      <w:r w:rsidRPr="005C3FFB">
        <w:t xml:space="preserve"> μηνών από την έκδοση θετικής απόφασης σύμφωνα με την παράγραφο </w:t>
      </w:r>
      <w:r w:rsidRPr="00A2201F">
        <w:t>2</w:t>
      </w:r>
      <w:r w:rsidRPr="005C3FFB">
        <w:t xml:space="preserve">. </w:t>
      </w:r>
    </w:p>
    <w:p w:rsidR="009E0506" w:rsidRPr="005C3FFB" w:rsidRDefault="00C3431A" w:rsidP="001F6226">
      <w:r w:rsidRPr="005C3FFB">
        <w:t xml:space="preserve">Σε περίπτωση που η ενδιαφερόμενη τρίτη χώρα πρέπει να εφαρμόσει μείζονα διορθωτικά μέτρα, συμπεριλαμβανομένων τροποποιήσεων στη νομοθεσία της και στο σύστημα εκπαίδευσης, κατάρτισης και πιστοποίησης προκειμένου να ικανοποιήσει τις απαιτήσεις της σύμβασης STCW, η απόφαση μπορεί να εκδοθεί εντός </w:t>
      </w:r>
      <w:r w:rsidRPr="00A2201F">
        <w:t>36</w:t>
      </w:r>
      <w:r w:rsidRPr="005C3FFB">
        <w:t xml:space="preserve"> μηνών από την έκδοση θετικής απόφασης που αναφέρεται στην παράγραφο </w:t>
      </w:r>
      <w:r w:rsidRPr="00A2201F">
        <w:t>2</w:t>
      </w:r>
      <w:r w:rsidRPr="005C3FFB">
        <w:t xml:space="preserve">. </w:t>
      </w:r>
    </w:p>
    <w:p w:rsidR="00C3431A" w:rsidRPr="005C3FFB" w:rsidRDefault="00172B83" w:rsidP="001F6226">
      <w:r w:rsidRPr="005C3FFB">
        <w:t>Το κράτος μέλος που υποβάλλει την αίτηση μπορεί να αποφασίσει να αναγνωρίσει την τρίτη χώρα μονομερώς μέχρις ότου ληφθεί απόφαση σύμφωνα με την παρούσα παράγραφο. Σε περίπτωση μονομερούς αναγνώρισης, το κράτος μέλος πρέπει να γνωστοποιήσει στην Επιτροπή τον αριθμό των θεωρήσεων που βεβαιώνουν την αναγνώριση πιστοποιητικών ικανότητας και πιστοποιητικών επάρκειας, που αναφέρονται στην παράγραφο </w:t>
      </w:r>
      <w:r w:rsidRPr="00A2201F">
        <w:t>1</w:t>
      </w:r>
      <w:r w:rsidRPr="005C3FFB">
        <w:t xml:space="preserve"> και τα οποία έχουν εκδοθεί από την τρίτη χώρα, έως ότου εκδοθεί η απόφαση αναγνώρισης.»</w:t>
      </w:r>
    </w:p>
    <w:p w:rsidR="00C0781C" w:rsidRPr="005C3FFB" w:rsidRDefault="00C0781C" w:rsidP="00857E4D">
      <w:pPr>
        <w:pStyle w:val="Point0number"/>
      </w:pPr>
      <w:r w:rsidRPr="005C3FFB">
        <w:t>Στο άρθρο </w:t>
      </w:r>
      <w:r w:rsidRPr="00A2201F">
        <w:t>20</w:t>
      </w:r>
      <w:r w:rsidRPr="005C3FFB">
        <w:t xml:space="preserve"> προστίθεται η ακόλουθη παράγραφος </w:t>
      </w:r>
      <w:r w:rsidRPr="00A2201F">
        <w:t>8</w:t>
      </w:r>
      <w:r w:rsidRPr="005C3FFB">
        <w:t>:</w:t>
      </w:r>
    </w:p>
    <w:p w:rsidR="00A77A54" w:rsidRPr="005C3FFB" w:rsidRDefault="00142C84" w:rsidP="001F6226">
      <w:r w:rsidRPr="005C3FFB">
        <w:t>«</w:t>
      </w:r>
      <w:r w:rsidRPr="00A2201F">
        <w:t>8</w:t>
      </w:r>
      <w:r w:rsidRPr="005C3FFB">
        <w:t>. Σε περίπτωση που δεν υπάρχουν θεωρήσεις κράτους μέλους που να βεβαιώνουν την αναγνώριση πιστοποιητικών ικανότητας ή πιστοποιητικών επάρκειας, τα οποία αναφέρονται στο άρθρο </w:t>
      </w:r>
      <w:r w:rsidRPr="00A2201F">
        <w:t>19</w:t>
      </w:r>
      <w:r w:rsidRPr="005C3FFB">
        <w:t xml:space="preserve"> παράγραφος </w:t>
      </w:r>
      <w:r w:rsidRPr="00A2201F">
        <w:t>1</w:t>
      </w:r>
      <w:r w:rsidRPr="005C3FFB">
        <w:t xml:space="preserve"> και έχουν εκδοθεί από τρίτη χώρα, για χρονικό διάστημα άνω των </w:t>
      </w:r>
      <w:r w:rsidRPr="00A2201F">
        <w:t>5</w:t>
      </w:r>
      <w:r w:rsidRPr="005C3FFB">
        <w:t xml:space="preserve"> ετών, τότε η αναγνώριση των πιστοποιητικών της εν λόγω χώρας ανακαλείται. Για τον σκοπό αυτό, η Επιτροπή εκδίδει εκτελεστικές αποφάσεις, σύμφωνα με τη διαδικασία εξέτασης που αναφέρεται στο άρθρο </w:t>
      </w:r>
      <w:r w:rsidRPr="00A2201F">
        <w:t>28</w:t>
      </w:r>
      <w:r w:rsidRPr="005C3FFB">
        <w:t xml:space="preserve"> παράγραφος </w:t>
      </w:r>
      <w:r w:rsidRPr="00A2201F">
        <w:t>2</w:t>
      </w:r>
      <w:r w:rsidRPr="005C3FFB">
        <w:t>, αφού πρώτα ενημερώσει τα κράτη μέλη καθώς και την ενδιαφερόμενη τρίτη χώρα τουλάχιστον δύο μήνες νωρίτερα.»</w:t>
      </w:r>
    </w:p>
    <w:p w:rsidR="00C0781C" w:rsidRPr="005C3FFB" w:rsidRDefault="00C0781C" w:rsidP="00C0781C">
      <w:pPr>
        <w:pStyle w:val="Point0number"/>
      </w:pPr>
      <w:r w:rsidRPr="005C3FFB">
        <w:t>Το άρθρο </w:t>
      </w:r>
      <w:r w:rsidRPr="00A2201F">
        <w:t>21</w:t>
      </w:r>
      <w:r w:rsidRPr="005C3FFB">
        <w:t xml:space="preserve"> τροποποιείται ως εξής:</w:t>
      </w:r>
    </w:p>
    <w:p w:rsidR="00C0781C" w:rsidRPr="005C3FFB" w:rsidRDefault="00CB3B19" w:rsidP="00CB3B19">
      <w:pPr>
        <w:pStyle w:val="Point0"/>
      </w:pPr>
      <w:r>
        <w:t>α)</w:t>
      </w:r>
      <w:r w:rsidRPr="00CB3B19">
        <w:tab/>
      </w:r>
      <w:r w:rsidR="00C0781C" w:rsidRPr="005C3FFB">
        <w:t>η παράγραφος </w:t>
      </w:r>
      <w:r w:rsidR="00C0781C" w:rsidRPr="00A2201F">
        <w:t>1</w:t>
      </w:r>
      <w:r w:rsidR="00C0781C" w:rsidRPr="005C3FFB">
        <w:t xml:space="preserve"> αντικαθίσταται από το ακόλουθο κείμενο:</w:t>
      </w:r>
    </w:p>
    <w:p w:rsidR="00C0781C" w:rsidRPr="005C3FFB" w:rsidRDefault="00C0781C" w:rsidP="001F6226">
      <w:r w:rsidRPr="005C3FFB">
        <w:t>«</w:t>
      </w:r>
      <w:r w:rsidRPr="00A2201F">
        <w:t>1</w:t>
      </w:r>
      <w:r w:rsidRPr="005C3FFB">
        <w:t>. Τρίτες χώρες που έχουν αναγνωρισθεί σύμφωνα με τη διαδικασία που ορίζεται στο άρθρο </w:t>
      </w:r>
      <w:r w:rsidRPr="00A2201F">
        <w:t>19</w:t>
      </w:r>
      <w:r w:rsidRPr="005C3FFB">
        <w:t xml:space="preserve"> παράγραφος </w:t>
      </w:r>
      <w:r w:rsidRPr="00A2201F">
        <w:t>3</w:t>
      </w:r>
      <w:r w:rsidRPr="005C3FFB">
        <w:t xml:space="preserve"> πρώτο εδάφιο, συμπεριλαμβανομένων όσων αναφέρονται στο άρθρο </w:t>
      </w:r>
      <w:r w:rsidRPr="00A2201F">
        <w:t>19</w:t>
      </w:r>
      <w:r w:rsidRPr="005C3FFB">
        <w:t xml:space="preserve"> παράγραφος </w:t>
      </w:r>
      <w:r w:rsidRPr="00A2201F">
        <w:t>6</w:t>
      </w:r>
      <w:r w:rsidRPr="005C3FFB">
        <w:t>, επαναξιολογούνται από την Επιτροπή, την οποία επικουρεί ο Ευρωπαϊκός Οργανισμός για την Ασφάλεια στη Θάλασσα, σε τακτική βάση και τουλάχιστον εντός δέκα ετών από την τελευταία αξιολόγηση, ώστε να επαληθεύεται ότι πληρούν τα σχετικά κριτήρια που ορίζονται στο παράρτημα II καθώς και ότι έχουν ληφθεί τα κατάλληλα μέτρα πρόληψης της έκδοσης πλαστών πιστοποιητικών.»</w:t>
      </w:r>
    </w:p>
    <w:p w:rsidR="00C0781C" w:rsidRPr="005C3FFB" w:rsidRDefault="00CB3B19" w:rsidP="00CB3B19">
      <w:pPr>
        <w:pStyle w:val="Point0"/>
      </w:pPr>
      <w:r>
        <w:t>β)</w:t>
      </w:r>
      <w:r w:rsidRPr="00CB3B19">
        <w:tab/>
      </w:r>
      <w:r w:rsidR="00C0781C" w:rsidRPr="005C3FFB">
        <w:t>η παράγραφος </w:t>
      </w:r>
      <w:r w:rsidR="00C0781C" w:rsidRPr="00A2201F">
        <w:t>2</w:t>
      </w:r>
      <w:r w:rsidR="00C0781C" w:rsidRPr="005C3FFB">
        <w:t xml:space="preserve"> αντικαθίσταται από το ακόλουθο κείμενο:</w:t>
      </w:r>
    </w:p>
    <w:p w:rsidR="00C0781C" w:rsidRPr="005C3FFB" w:rsidRDefault="00C0781C" w:rsidP="001F6226">
      <w:r w:rsidRPr="005C3FFB">
        <w:t>«</w:t>
      </w:r>
      <w:r w:rsidRPr="00A2201F">
        <w:t>2</w:t>
      </w:r>
      <w:r w:rsidRPr="005C3FFB">
        <w:t xml:space="preserve">. Η Επιτροπή, επικουρούμενη από τον Ευρωπαϊκό Οργανισμό για την Ασφάλεια στη Θάλασσα, διενεργεί επαναξιολόγηση των τρίτων χωρών βάσει κριτηρίων προτεραιότητας. Στα εν λόγω κριτήρια προτεραιότητας περιλαμβάνονται τα εξής: </w:t>
      </w:r>
    </w:p>
    <w:p w:rsidR="00DD5EB9" w:rsidRPr="005C3FFB" w:rsidRDefault="00410ECE" w:rsidP="001F6226">
      <w:r w:rsidRPr="005C3FFB">
        <w:t>α) δεδομένα σχετικά με τις επιδόσεις που προκύπτουν κατά τον έλεγχο από το κράτος του λιμένα σύμφωνα με το άρθρο </w:t>
      </w:r>
      <w:r w:rsidRPr="00A2201F">
        <w:t>23</w:t>
      </w:r>
      <w:r w:rsidRPr="005C3FFB">
        <w:t>·</w:t>
      </w:r>
    </w:p>
    <w:p w:rsidR="00C0781C" w:rsidRPr="005C3FFB" w:rsidRDefault="00410ECE" w:rsidP="001F6226">
      <w:r w:rsidRPr="005C3FFB">
        <w:t>β) ο αριθμός των θεωρήσεων που βεβαιώνουν την αναγνώριση πιστοποιητικών ικανότητας ή πιστοποιητικών επάρκειας, σύμφωνα με τους κανονισμούς V/</w:t>
      </w:r>
      <w:r w:rsidRPr="00A2201F">
        <w:t>1</w:t>
      </w:r>
      <w:r w:rsidRPr="005C3FFB">
        <w:t>-</w:t>
      </w:r>
      <w:r w:rsidRPr="00A2201F">
        <w:t>1</w:t>
      </w:r>
      <w:r w:rsidRPr="005C3FFB">
        <w:t xml:space="preserve"> και V/</w:t>
      </w:r>
      <w:r w:rsidRPr="00A2201F">
        <w:t>1</w:t>
      </w:r>
      <w:r w:rsidRPr="005C3FFB">
        <w:t>-</w:t>
      </w:r>
      <w:r w:rsidRPr="00A2201F">
        <w:t>2</w:t>
      </w:r>
      <w:r w:rsidRPr="005C3FFB">
        <w:t xml:space="preserve"> της σύμβασης STCW, τα οποία εκδίδονται από την τρίτη χώρα·</w:t>
      </w:r>
    </w:p>
    <w:p w:rsidR="00C0781C" w:rsidRPr="005C3FFB" w:rsidRDefault="00410ECE" w:rsidP="001F6226">
      <w:r w:rsidRPr="005C3FFB">
        <w:t>γ) ο αριθμός των ιδρυμάτων ναυτικής εκπαίδευσης και κατάρτισης που έχουν πιστοποιηθεί από την τρίτη χώρα·</w:t>
      </w:r>
    </w:p>
    <w:p w:rsidR="00C0781C" w:rsidRPr="005C3FFB" w:rsidRDefault="00410ECE" w:rsidP="001F6226">
      <w:r w:rsidRPr="005C3FFB">
        <w:t xml:space="preserve">δ) ο αριθμός των προγραμμάτων που έχουν εγκριθεί από την τρίτη χώρα· </w:t>
      </w:r>
    </w:p>
    <w:p w:rsidR="00C0781C" w:rsidRPr="005C3FFB" w:rsidRDefault="00410ECE" w:rsidP="001F6226">
      <w:r w:rsidRPr="005C3FFB">
        <w:t xml:space="preserve">ε) η ημερομηνία της τελευταίας αξιολόγησης και ο αριθμός των ελλείψεων σε βασικές διαδικασίες οι οποίες διαπιστώθηκαν κατά την τελευταία αξιολόγηση της Επιτροπής· </w:t>
      </w:r>
    </w:p>
    <w:p w:rsidR="00C0781C" w:rsidRPr="005C3FFB" w:rsidRDefault="00410ECE" w:rsidP="001F6226">
      <w:r w:rsidRPr="005C3FFB">
        <w:t>στ) τυχόν σημαντική μεταβολή στο σύστημα ναυτικής εκπαίδευσης και πιστοποίησης τρίτης χώρας.</w:t>
      </w:r>
    </w:p>
    <w:p w:rsidR="00C0781C" w:rsidRPr="005C3FFB" w:rsidRDefault="00C0781C" w:rsidP="001F6226">
      <w:r w:rsidRPr="005C3FFB">
        <w:t>Σε περίπτωση που τρίτη χώρα δεν συμμορφώνεται προς τις απαιτήσεις της σύμβασης STCW σύμφωνα με το άρθρο </w:t>
      </w:r>
      <w:r w:rsidRPr="00A2201F">
        <w:t>20</w:t>
      </w:r>
      <w:r w:rsidRPr="005C3FFB">
        <w:t>, η επαναξιολόγηση της οικείας χώρας τίθεται σε προτεραιότητα σε σχέση με άλλες τρίτες χώρες.»</w:t>
      </w:r>
    </w:p>
    <w:p w:rsidR="00C0781C" w:rsidRPr="005C3FFB" w:rsidRDefault="00C0781C" w:rsidP="00C0781C">
      <w:pPr>
        <w:pStyle w:val="Point0number"/>
      </w:pPr>
      <w:r w:rsidRPr="005C3FFB">
        <w:t>Στο άρθρο </w:t>
      </w:r>
      <w:r w:rsidRPr="00A2201F">
        <w:t>25</w:t>
      </w:r>
      <w:r w:rsidRPr="005C3FFB">
        <w:t>α, η παράγραφος </w:t>
      </w:r>
      <w:r w:rsidRPr="00A2201F">
        <w:t>1</w:t>
      </w:r>
      <w:r w:rsidRPr="005C3FFB">
        <w:t xml:space="preserve"> αντικαθίσταται από το ακόλουθο κείμενο:</w:t>
      </w:r>
    </w:p>
    <w:p w:rsidR="00C0781C" w:rsidRPr="005C3FFB" w:rsidRDefault="00C0781C" w:rsidP="001F6226">
      <w:r w:rsidRPr="005C3FFB">
        <w:t>«</w:t>
      </w:r>
      <w:r w:rsidRPr="00A2201F">
        <w:t>1</w:t>
      </w:r>
      <w:r w:rsidRPr="005C3FFB">
        <w:t>. Τα κράτη μέλη γνωστοποιούν στην Επιτροπή τις πληροφορίες που αναφέρονται στο παράρτημα V για τους σκοπούς του άρθρου </w:t>
      </w:r>
      <w:r w:rsidRPr="00A2201F">
        <w:t>20</w:t>
      </w:r>
      <w:r w:rsidRPr="005C3FFB">
        <w:t xml:space="preserve"> παράγραφος </w:t>
      </w:r>
      <w:r w:rsidRPr="00A2201F">
        <w:t>8</w:t>
      </w:r>
      <w:r w:rsidRPr="005C3FFB">
        <w:t>, του άρθρου </w:t>
      </w:r>
      <w:r w:rsidRPr="00A2201F">
        <w:t>21</w:t>
      </w:r>
      <w:r w:rsidRPr="005C3FFB">
        <w:t xml:space="preserve"> παράγραφος </w:t>
      </w:r>
      <w:r w:rsidRPr="00A2201F">
        <w:t>2</w:t>
      </w:r>
      <w:r w:rsidRPr="005C3FFB">
        <w:t xml:space="preserve"> και για χρήση από τα κράτη μέλη και την Επιτροπή στον τομέα της χάραξης πολιτικής.»</w:t>
      </w:r>
    </w:p>
    <w:p w:rsidR="0036661B" w:rsidRPr="005C3FFB" w:rsidRDefault="00C0781C" w:rsidP="0036661B">
      <w:pPr>
        <w:pStyle w:val="Point0number"/>
      </w:pPr>
      <w:r w:rsidRPr="005C3FFB">
        <w:t>Το άρθρο </w:t>
      </w:r>
      <w:r w:rsidRPr="00A2201F">
        <w:t>27</w:t>
      </w:r>
      <w:r w:rsidRPr="005C3FFB">
        <w:t xml:space="preserve"> τροποποιείται ως εξής:</w:t>
      </w:r>
    </w:p>
    <w:p w:rsidR="0036661B" w:rsidRPr="005C3FFB" w:rsidRDefault="0036661B" w:rsidP="00EB551C">
      <w:r w:rsidRPr="005C3FFB">
        <w:t>α) το πρώτο εδάφιο τροποποιείται ως εξής:</w:t>
      </w:r>
    </w:p>
    <w:p w:rsidR="0036661B" w:rsidRPr="005C3FFB" w:rsidRDefault="0036661B" w:rsidP="00B27F0B">
      <w:r w:rsidRPr="005C3FFB">
        <w:t>«</w:t>
      </w:r>
      <w:r w:rsidRPr="00A2201F">
        <w:rPr>
          <w:b/>
        </w:rPr>
        <w:t>1</w:t>
      </w:r>
      <w:r w:rsidRPr="005C3FFB">
        <w:rPr>
          <w:b/>
        </w:rPr>
        <w:t xml:space="preserve">. </w:t>
      </w:r>
      <w:r w:rsidRPr="005C3FFB">
        <w:t>Ανατίθεται στην Επιτροπή η εξουσία να εκδίδει κατ’ εξουσιοδότηση πράξεις, σύμφωνα με το άρθρο </w:t>
      </w:r>
      <w:r w:rsidRPr="00A2201F">
        <w:t>27</w:t>
      </w:r>
      <w:r w:rsidRPr="005C3FFB">
        <w:t>α, για την τροποποίηση του παραρτήματος V της παρούσας οδηγίας όσον αφορά το συγκεκριμένο περιεχόμενο και τις λεπτομέρειες των πληροφοριών που πρέπει να διαβιβάζουν τα κράτη μέλη, με την προϋπόθεση ότι οι πράξεις αυτές περιορίζονται στο να λαμβάνουν υπόψη μόνον τις τροποποιήσεις της σύμβασης και του κώδικα STCW, και τηρούν παράλληλα τις διατάξεις για την προστασία των δεδομένων. Οι εν λόγω κατ’ εξουσιοδότηση πράξεις δεν αλλάζουν τις διατάξεις για την εξασφάλιση της ανωνυμίας των δεδομένων όπως απαιτείται από το άρθρο </w:t>
      </w:r>
      <w:r w:rsidRPr="00A2201F">
        <w:t>25</w:t>
      </w:r>
      <w:r w:rsidRPr="005C3FFB">
        <w:t>α παράγραφος </w:t>
      </w:r>
      <w:r w:rsidRPr="00A2201F">
        <w:t>3</w:t>
      </w:r>
      <w:r w:rsidRPr="005C3FFB">
        <w:t xml:space="preserve">.» </w:t>
      </w:r>
    </w:p>
    <w:p w:rsidR="00C0781C" w:rsidRPr="005C3FFB" w:rsidRDefault="0036661B" w:rsidP="002471A3">
      <w:r w:rsidRPr="005C3FFB">
        <w:t>β) προστίθεται η ακόλουθη παράγραφος </w:t>
      </w:r>
      <w:r w:rsidRPr="00A2201F">
        <w:t>2</w:t>
      </w:r>
      <w:r w:rsidRPr="005C3FFB">
        <w:t>:</w:t>
      </w:r>
    </w:p>
    <w:p w:rsidR="00C0781C" w:rsidRPr="005C3FFB" w:rsidRDefault="00C0781C" w:rsidP="00B27F0B">
      <w:r w:rsidRPr="005C3FFB">
        <w:t>«</w:t>
      </w:r>
      <w:r w:rsidRPr="00A2201F">
        <w:t>2</w:t>
      </w:r>
      <w:r w:rsidRPr="005C3FFB">
        <w:t>. Ανατίθεται στην Επιτροπή η εξουσία να εκδίδει κατ’ εξουσιοδότηση πράξεις, σύμφωνα με το άρθρο </w:t>
      </w:r>
      <w:r w:rsidRPr="00A2201F">
        <w:t>27</w:t>
      </w:r>
      <w:r w:rsidRPr="005C3FFB">
        <w:t>α, ώστε να τροποποιεί το παράρτημα I της παρούσας οδηγίας και κάθε άλλη αναγκαία διάταξη και να ευθυγραμμίζει την οδηγία με τις νέες τροποποιήσεις της σύμβασης STCW και του κώδικα STCW.»</w:t>
      </w:r>
    </w:p>
    <w:p w:rsidR="00C0781C" w:rsidRPr="005C3FFB" w:rsidRDefault="00C0781C" w:rsidP="00C0781C">
      <w:pPr>
        <w:pStyle w:val="Point0number"/>
      </w:pPr>
      <w:r w:rsidRPr="005C3FFB">
        <w:t>Το άρθρο </w:t>
      </w:r>
      <w:r w:rsidRPr="00A2201F">
        <w:t>27</w:t>
      </w:r>
      <w:r w:rsidRPr="005C3FFB">
        <w:t>α αντικαθίσταται από το ακόλουθο κείμενο:</w:t>
      </w:r>
    </w:p>
    <w:p w:rsidR="00C0781C" w:rsidRPr="005C3FFB" w:rsidRDefault="00CB3B19" w:rsidP="001F6226">
      <w:r>
        <w:t>«Άρθρο </w:t>
      </w:r>
      <w:r w:rsidR="00C0781C" w:rsidRPr="00A2201F">
        <w:t>27</w:t>
      </w:r>
      <w:r w:rsidR="00C0781C" w:rsidRPr="005C3FFB">
        <w:t>α</w:t>
      </w:r>
    </w:p>
    <w:p w:rsidR="00A34B8E" w:rsidRPr="005C3FFB" w:rsidRDefault="00A34B8E" w:rsidP="001F6226">
      <w:r w:rsidRPr="005C3FFB">
        <w:t>Άσκηση της εξουσιοδότησης</w:t>
      </w:r>
    </w:p>
    <w:p w:rsidR="00C0781C" w:rsidRPr="005C3FFB" w:rsidRDefault="00C0781C" w:rsidP="001F6226">
      <w:r w:rsidRPr="00A2201F">
        <w:t>1</w:t>
      </w:r>
      <w:r w:rsidRPr="005C3FFB">
        <w:t>. Η εξουσία έκδοσης κατ’ εξουσιοδότηση πράξεων ανατίθεται στην Επιτροπή υπό τους όρους του παρόντος άρθρου.</w:t>
      </w:r>
    </w:p>
    <w:p w:rsidR="00C0781C" w:rsidRPr="005C3FFB" w:rsidRDefault="00C0781C" w:rsidP="001F6226">
      <w:pPr>
        <w:rPr>
          <w:iCs/>
        </w:rPr>
      </w:pPr>
      <w:r w:rsidRPr="00A2201F">
        <w:t>2</w:t>
      </w:r>
      <w:r w:rsidRPr="005C3FFB">
        <w:t>. Η προβλεπόμενη στο άρθρο </w:t>
      </w:r>
      <w:r w:rsidRPr="00A2201F">
        <w:t>27</w:t>
      </w:r>
      <w:r w:rsidRPr="005C3FFB">
        <w:t xml:space="preserve"> εξουσία έκδοσης κατ’ εξουσιοδότηση πράξεων ανατίθεται στην Επιτροπή επ’ αόριστον από την [</w:t>
      </w:r>
      <w:r w:rsidRPr="005C3FFB">
        <w:rPr>
          <w:i/>
        </w:rPr>
        <w:t>ημερομηνία έναρξης ισχύος</w:t>
      </w:r>
      <w:r w:rsidRPr="005C3FFB">
        <w:t>].</w:t>
      </w:r>
    </w:p>
    <w:p w:rsidR="00C0781C" w:rsidRPr="005C3FFB" w:rsidRDefault="00C0781C" w:rsidP="001F6226">
      <w:r w:rsidRPr="00A2201F">
        <w:t>3</w:t>
      </w:r>
      <w:r w:rsidRPr="005C3FFB">
        <w:t>. Η προβλεπόμενη στο άρθρο </w:t>
      </w:r>
      <w:r w:rsidRPr="00A2201F">
        <w:t>27</w:t>
      </w:r>
      <w:r w:rsidRPr="005C3FFB">
        <w:t xml:space="preserve"> εξουσιοδότηση είναι δυνατόν να ανακληθεί ανά πάσα στιγμή από το Ευρωπαϊκό Κοινοβούλιο ή το Συμβούλιο. Η απόφαση ανάκλησης περατώνει την ανάθεση εξουσίας που προσδιορίζεται στη συγκεκριμένη απόφαση. Η απόφαση παράγει αποτελέσματα την επομένη της δημοσίευσής της στην </w:t>
      </w:r>
      <w:r w:rsidRPr="005C3FFB">
        <w:rPr>
          <w:i/>
        </w:rPr>
        <w:t xml:space="preserve">Επίσημη Εφημερίδα της Ευρωπαϊκής Ένωσης </w:t>
      </w:r>
      <w:r w:rsidRPr="005C3FFB">
        <w:t>ή σε μεταγενέστερη ημερομηνία που ορίζεται σε αυτήν. Δεν επηρεάζει την εγκυρότητα καμίας από τις ήδη ισχύουσες κατ’ εξουσιοδότηση πράξεις.</w:t>
      </w:r>
    </w:p>
    <w:p w:rsidR="00C0781C" w:rsidRPr="005C3FFB" w:rsidRDefault="00C0781C" w:rsidP="001F6226">
      <w:r w:rsidRPr="00A2201F">
        <w:t>4</w:t>
      </w:r>
      <w:r w:rsidRPr="005C3FFB">
        <w:t xml:space="preserve">. Πριν από την έκδοση κατ’ εξουσιοδότηση πράξης, η Επιτροπή συμβουλεύεται τους εμπειρογνώμονες που ορίζουν τα κράτη μέλη σύμφωνα με τις αρχές που καθορίζονται στη διοργανική συμφωνία για τη βελτίωση του νομοθετικού έργου της </w:t>
      </w:r>
      <w:r w:rsidRPr="00A2201F">
        <w:t>13</w:t>
      </w:r>
      <w:r w:rsidRPr="005C3FFB">
        <w:t xml:space="preserve">ης Απριλίου </w:t>
      </w:r>
      <w:r w:rsidRPr="00A2201F">
        <w:t>2016</w:t>
      </w:r>
      <w:r w:rsidRPr="005C3FFB">
        <w:t>.</w:t>
      </w:r>
    </w:p>
    <w:p w:rsidR="00C0781C" w:rsidRPr="005C3FFB" w:rsidRDefault="00C0781C" w:rsidP="001F6226">
      <w:r w:rsidRPr="00A2201F">
        <w:t>5</w:t>
      </w:r>
      <w:r w:rsidRPr="005C3FFB">
        <w:t xml:space="preserve">. Μόλις η Επιτροπή εκδώσει κατ’ εξουσιοδότηση πράξη, την κοινοποιεί ταυτόχρονα στο Ευρωπαϊκό Κοινοβούλιο και στο Συμβούλιο. </w:t>
      </w:r>
    </w:p>
    <w:p w:rsidR="00C0781C" w:rsidRPr="005C3FFB" w:rsidRDefault="00C0781C" w:rsidP="001F6226">
      <w:r w:rsidRPr="00A2201F">
        <w:t>6</w:t>
      </w:r>
      <w:r w:rsidRPr="005C3FFB">
        <w:t>. Κάθε κατ’ εξουσιοδότηση πράξη η οποία εκδίδεται σύμφωνα με το άρθρο </w:t>
      </w:r>
      <w:r w:rsidRPr="00A2201F">
        <w:t>27</w:t>
      </w:r>
      <w:r w:rsidRPr="005C3FFB">
        <w:t xml:space="preserve"> αρχίζει να ισχύει μόνον εφόσον δεν διατυπωθούν αντιρρήσεις είτε από το Ευρωπαϊκό Κοινοβούλιο είτε από το Συμβούλιο εντός προθεσμίας δύο μηνών από την κοινοποίηση της πράξης στο Ευρωπαϊκό Κοινοβούλιο και το Συμβούλιο ή εάν, πριν λήξει αυτή η προθεσμία, το Ευρωπαϊκό Κοινοβούλιο και το Συμβούλιο ενημερώσουν αμφότερα την Επιτροπή ότι δεν πρόκειται να προβάλουν αντίρρηση. Η ανωτέρω προθεσμία παρατείνεται κατά δύο μήνες με πρωτοβουλία του Ευρωπαϊκού Κοινοβουλίου ή του Συμβουλίου.» </w:t>
      </w:r>
    </w:p>
    <w:p w:rsidR="00C0781C" w:rsidRPr="005C3FFB" w:rsidRDefault="00204B61" w:rsidP="00204B61">
      <w:pPr>
        <w:pStyle w:val="Point0number"/>
      </w:pPr>
      <w:r w:rsidRPr="005C3FFB">
        <w:t>Το παράρτημα Ι τροποποιείται σύμφωνα με το παράρτημα της παρούσας οδηγίας.</w:t>
      </w:r>
    </w:p>
    <w:p w:rsidR="00204B61" w:rsidRPr="005C3FFB" w:rsidRDefault="00204B61" w:rsidP="00204B61">
      <w:pPr>
        <w:pStyle w:val="Titrearticle"/>
        <w:keepLines/>
      </w:pPr>
      <w:r w:rsidRPr="005C3FFB">
        <w:t xml:space="preserve">Άρθρο </w:t>
      </w:r>
      <w:r w:rsidRPr="00A2201F">
        <w:t>2</w:t>
      </w:r>
    </w:p>
    <w:p w:rsidR="00204B61" w:rsidRPr="005C3FFB" w:rsidRDefault="00204B61" w:rsidP="00837B14">
      <w:pPr>
        <w:jc w:val="center"/>
      </w:pPr>
      <w:r w:rsidRPr="005C3FFB">
        <w:t>Κατάργηση</w:t>
      </w:r>
    </w:p>
    <w:p w:rsidR="00236A17" w:rsidRPr="005C3FFB" w:rsidRDefault="00837B14" w:rsidP="008C59AB">
      <w:pPr>
        <w:ind w:firstLine="720"/>
      </w:pPr>
      <w:r w:rsidRPr="005C3FFB">
        <w:t xml:space="preserve">Η οδηγία </w:t>
      </w:r>
      <w:r w:rsidRPr="00A2201F">
        <w:t>2005</w:t>
      </w:r>
      <w:r w:rsidRPr="005C3FFB">
        <w:t>/</w:t>
      </w:r>
      <w:r w:rsidRPr="00A2201F">
        <w:t>45</w:t>
      </w:r>
      <w:r w:rsidRPr="005C3FFB">
        <w:t xml:space="preserve">/ΕΚ καταργείται. </w:t>
      </w:r>
    </w:p>
    <w:p w:rsidR="007E2957" w:rsidRPr="005C3FFB" w:rsidRDefault="007E2957" w:rsidP="00837B14"/>
    <w:p w:rsidR="006B6053" w:rsidRPr="005C3FFB" w:rsidRDefault="006B6053" w:rsidP="00837B14">
      <w:pPr>
        <w:pStyle w:val="Titrearticle"/>
        <w:keepLines/>
      </w:pPr>
      <w:r w:rsidRPr="005C3FFB">
        <w:t xml:space="preserve">Άρθρο </w:t>
      </w:r>
      <w:r w:rsidRPr="00A2201F">
        <w:t>3</w:t>
      </w:r>
    </w:p>
    <w:p w:rsidR="00837B14" w:rsidRPr="005C3FFB" w:rsidRDefault="00837B14" w:rsidP="00837B14">
      <w:pPr>
        <w:jc w:val="center"/>
      </w:pPr>
      <w:r w:rsidRPr="005C3FFB">
        <w:t>Μεταφορά στο εσωτερικό δίκαιο</w:t>
      </w:r>
    </w:p>
    <w:p w:rsidR="006B6053" w:rsidRPr="005C3FFB" w:rsidRDefault="006B6053" w:rsidP="000B3A7B">
      <w:pPr>
        <w:pStyle w:val="ManualNumPar1"/>
        <w:ind w:left="0" w:firstLine="0"/>
      </w:pPr>
      <w:r w:rsidRPr="005C3FFB">
        <w:t>Τα κράτη μέλη θέτουν σε ισχύ τις αναγκαίες νομοθετικές, κανονιστικές και διοικητικές διατάξεις για να συμμορφωθούν με την παρούσα οδηγία το αργότερο την/στις [</w:t>
      </w:r>
      <w:r w:rsidRPr="00A2201F">
        <w:t>12</w:t>
      </w:r>
      <w:r w:rsidRPr="005C3FFB">
        <w:t xml:space="preserve"> μήνες από την έναρξη ισχύος της]. Ενημερώνουν αμέσως την Επιτροπή σχετικά.</w:t>
      </w:r>
    </w:p>
    <w:p w:rsidR="008267A5" w:rsidRPr="005C3FFB" w:rsidRDefault="006B6053" w:rsidP="008267A5">
      <w:pPr>
        <w:pStyle w:val="Titrearticle"/>
        <w:jc w:val="both"/>
        <w:rPr>
          <w:i w:val="0"/>
        </w:rPr>
      </w:pPr>
      <w:r w:rsidRPr="005C3FFB">
        <w:rPr>
          <w:i w:val="0"/>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αυτής καθορίζεται από τα κράτη μέλη.</w:t>
      </w:r>
    </w:p>
    <w:p w:rsidR="006B6053" w:rsidRPr="005C3FFB" w:rsidRDefault="006B6053" w:rsidP="00095DF7">
      <w:pPr>
        <w:pStyle w:val="Titrearticle"/>
      </w:pPr>
      <w:r w:rsidRPr="005C3FFB">
        <w:t xml:space="preserve">Άρθρο </w:t>
      </w:r>
      <w:r w:rsidRPr="00A2201F">
        <w:t>4</w:t>
      </w:r>
    </w:p>
    <w:p w:rsidR="007E2957" w:rsidRPr="005C3FFB" w:rsidRDefault="007E2957" w:rsidP="007E2957">
      <w:pPr>
        <w:jc w:val="center"/>
        <w:rPr>
          <w:b/>
        </w:rPr>
      </w:pPr>
      <w:r w:rsidRPr="005C3FFB">
        <w:t>Έναρξη</w:t>
      </w:r>
      <w:r w:rsidRPr="005C3FFB">
        <w:rPr>
          <w:b/>
        </w:rPr>
        <w:t xml:space="preserve"> </w:t>
      </w:r>
      <w:r w:rsidRPr="005C3FFB">
        <w:t>ισχύος</w:t>
      </w:r>
    </w:p>
    <w:p w:rsidR="006B6053" w:rsidRPr="005C3FFB" w:rsidRDefault="006B6053" w:rsidP="00095DF7">
      <w:r w:rsidRPr="005C3FFB">
        <w:t xml:space="preserve">Η παρούσα οδηγία αρχίζει να ισχύει την εικοστή ημέρα από τη δημοσίευσή της στην </w:t>
      </w:r>
      <w:r w:rsidRPr="005C3FFB">
        <w:rPr>
          <w:i/>
        </w:rPr>
        <w:t>Επίσημη Εφημερίδα της Ευρωπαϊκής Ένωσης</w:t>
      </w:r>
      <w:r w:rsidRPr="005C3FFB">
        <w:t>.</w:t>
      </w:r>
    </w:p>
    <w:p w:rsidR="006B6053" w:rsidRPr="005C3FFB" w:rsidRDefault="0039604B" w:rsidP="00095DF7">
      <w:pPr>
        <w:pStyle w:val="Titrearticle"/>
      </w:pPr>
      <w:r w:rsidRPr="005C3FFB">
        <w:t xml:space="preserve">Άρθρο </w:t>
      </w:r>
      <w:r w:rsidRPr="00A2201F">
        <w:t>5</w:t>
      </w:r>
    </w:p>
    <w:p w:rsidR="0039604B" w:rsidRPr="005C3FFB" w:rsidRDefault="0039604B" w:rsidP="0039604B">
      <w:pPr>
        <w:jc w:val="center"/>
      </w:pPr>
      <w:r w:rsidRPr="005C3FFB">
        <w:t>Αποδέκτες</w:t>
      </w:r>
    </w:p>
    <w:p w:rsidR="006B6053" w:rsidRPr="005C3FFB" w:rsidRDefault="006B6053" w:rsidP="00095DF7">
      <w:pPr>
        <w:keepNext/>
        <w:keepLines/>
      </w:pPr>
      <w:r w:rsidRPr="005C3FFB">
        <w:t>Η παρούσα οδηγία απευθύνεται στα κράτη μέλη.</w:t>
      </w:r>
    </w:p>
    <w:p w:rsidR="006B6053" w:rsidRPr="005C3FFB" w:rsidRDefault="006A631A" w:rsidP="006A631A">
      <w:pPr>
        <w:pStyle w:val="Fait"/>
      </w:pPr>
      <w:r w:rsidRPr="006A631A">
        <w:t>Βρυξέλλες,</w:t>
      </w:r>
    </w:p>
    <w:p w:rsidR="006B6053" w:rsidRPr="005C3FFB" w:rsidRDefault="006B6053" w:rsidP="006B6053">
      <w:pPr>
        <w:pStyle w:val="Institutionquisigne"/>
      </w:pPr>
      <w:r w:rsidRPr="005C3FFB">
        <w:t>Για το Ευρωπαϊκό Κοινοβούλιο</w:t>
      </w:r>
      <w:r w:rsidRPr="005C3FFB">
        <w:tab/>
        <w:t>Για το Συμβούλιο</w:t>
      </w:r>
    </w:p>
    <w:p w:rsidR="006B6053" w:rsidRPr="005C3FFB" w:rsidRDefault="006B6053" w:rsidP="006B6053">
      <w:pPr>
        <w:pStyle w:val="Personnequisigne"/>
      </w:pPr>
      <w:r w:rsidRPr="005C3FFB">
        <w:t>[Ο Πρόεδρος][Η Πρόεδρος]</w:t>
      </w:r>
      <w:r w:rsidRPr="005C3FFB">
        <w:tab/>
        <w:t>[Ο Πρόεδρος][Η Πρόεδρος]</w:t>
      </w:r>
    </w:p>
    <w:sectPr w:rsidR="006B6053" w:rsidRPr="005C3FFB" w:rsidSect="006A631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1F" w:rsidRDefault="00A2201F" w:rsidP="006B6053">
      <w:pPr>
        <w:spacing w:before="0" w:after="0"/>
      </w:pPr>
      <w:r>
        <w:separator/>
      </w:r>
    </w:p>
  </w:endnote>
  <w:endnote w:type="continuationSeparator" w:id="0">
    <w:p w:rsidR="00A2201F" w:rsidRDefault="00A2201F" w:rsidP="006B6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1"/>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1F" w:rsidRPr="006A631A" w:rsidRDefault="006A631A" w:rsidP="006A631A">
    <w:pPr>
      <w:pStyle w:val="Footer"/>
      <w:rPr>
        <w:rFonts w:ascii="Arial" w:hAnsi="Arial" w:cs="Arial"/>
        <w:b/>
        <w:sz w:val="48"/>
      </w:rPr>
    </w:pPr>
    <w:r w:rsidRPr="006A631A">
      <w:rPr>
        <w:rFonts w:ascii="Arial" w:hAnsi="Arial" w:cs="Arial"/>
        <w:b/>
        <w:sz w:val="48"/>
      </w:rPr>
      <w:t>EL</w:t>
    </w:r>
    <w:r w:rsidRPr="006A631A">
      <w:rPr>
        <w:rFonts w:ascii="Arial" w:hAnsi="Arial" w:cs="Arial"/>
        <w:b/>
        <w:sz w:val="48"/>
      </w:rPr>
      <w:tab/>
    </w:r>
    <w:r w:rsidRPr="006A631A">
      <w:rPr>
        <w:rFonts w:ascii="Arial" w:hAnsi="Arial" w:cs="Arial"/>
        <w:b/>
        <w:sz w:val="48"/>
      </w:rPr>
      <w:tab/>
    </w:r>
    <w:r w:rsidRPr="006A631A">
      <w:tab/>
    </w:r>
    <w:r w:rsidRPr="006A631A">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Footer"/>
      <w:rPr>
        <w:rFonts w:ascii="Arial" w:hAnsi="Arial" w:cs="Arial"/>
        <w:b/>
        <w:sz w:val="48"/>
      </w:rPr>
    </w:pPr>
    <w:r w:rsidRPr="006A631A">
      <w:rPr>
        <w:rFonts w:ascii="Arial" w:hAnsi="Arial" w:cs="Arial"/>
        <w:b/>
        <w:sz w:val="48"/>
      </w:rPr>
      <w:t>EL</w:t>
    </w:r>
    <w:r w:rsidRPr="006A631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6A631A">
      <w:tab/>
    </w:r>
    <w:r w:rsidRPr="006A631A">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1F" w:rsidRDefault="00A2201F" w:rsidP="006B6053">
      <w:pPr>
        <w:spacing w:before="0" w:after="0"/>
      </w:pPr>
      <w:r>
        <w:separator/>
      </w:r>
    </w:p>
  </w:footnote>
  <w:footnote w:type="continuationSeparator" w:id="0">
    <w:p w:rsidR="00A2201F" w:rsidRDefault="00A2201F" w:rsidP="006B6053">
      <w:pPr>
        <w:spacing w:before="0" w:after="0"/>
      </w:pPr>
      <w:r>
        <w:continuationSeparator/>
      </w:r>
    </w:p>
  </w:footnote>
  <w:footnote w:id="1">
    <w:p w:rsidR="00A2201F" w:rsidRPr="00380646" w:rsidRDefault="00A2201F" w:rsidP="00FD72C0">
      <w:pPr>
        <w:pStyle w:val="FootnoteText"/>
        <w:rPr>
          <w:rFonts w:eastAsia="Times New Roman"/>
        </w:rPr>
      </w:pPr>
      <w:r>
        <w:rPr>
          <w:rStyle w:val="FootnoteReference"/>
        </w:rPr>
        <w:footnoteRef/>
      </w:r>
      <w:r>
        <w:tab/>
        <w:t xml:space="preserve">Στα συμπεράσματά του της </w:t>
      </w:r>
      <w:r w:rsidRPr="00A2201F">
        <w:t>25</w:t>
      </w:r>
      <w:r>
        <w:t xml:space="preserve">ης Ιανουαρίου </w:t>
      </w:r>
      <w:r w:rsidRPr="00A2201F">
        <w:t>1993</w:t>
      </w:r>
      <w:r>
        <w:t xml:space="preserve"> σχετικά με την ασφάλεια στη θάλασσα και την πρόληψη της ρύπανσης, το Συμβούλιο σημείωσε τη σημασία του ανθρώπινου παράγοντα για την ασφαλή λειτουργία των πλοίων. Επίσης, στο ψήφισμά του της </w:t>
      </w:r>
      <w:r w:rsidRPr="00A2201F">
        <w:t>8</w:t>
      </w:r>
      <w:r>
        <w:t xml:space="preserve">ης Ιουνίου </w:t>
      </w:r>
      <w:r w:rsidRPr="00A2201F">
        <w:t>1993</w:t>
      </w:r>
      <w:r>
        <w:t xml:space="preserve"> σχετικά με μια κοινή πολιτική για την ασφάλεια στη θάλασσα, το Συμβούλιο έθεσε τον στόχο της απομάκρυνσης των ανειδίκευτων πληρωμάτων και έδωσε προτεραιότητα σε δράσεις ενίσχυσης της κατάρτισης και της εκπαίδευσης μέσα από την ανάπτυξη κοινών προτύπων για το ελάχιστο επίπεδο εκπαίδευσης του βασικού προσωπικού.</w:t>
      </w:r>
    </w:p>
  </w:footnote>
  <w:footnote w:id="2">
    <w:p w:rsidR="00A2201F" w:rsidRPr="006A631A" w:rsidRDefault="00A2201F" w:rsidP="00D33299">
      <w:pPr>
        <w:pStyle w:val="FootnoteText"/>
      </w:pPr>
      <w:r>
        <w:rPr>
          <w:rStyle w:val="FootnoteReference"/>
        </w:rPr>
        <w:footnoteRef/>
      </w:r>
      <w:r>
        <w:tab/>
        <w:t xml:space="preserve">Οδηγία </w:t>
      </w:r>
      <w:r w:rsidRPr="00A2201F">
        <w:t>2008</w:t>
      </w:r>
      <w:r>
        <w:t>/</w:t>
      </w:r>
      <w:r w:rsidRPr="00A2201F">
        <w:t>106</w:t>
      </w:r>
      <w:r>
        <w:t xml:space="preserve">/ΕΚ του Ευρωπαϊκού Κοινοβουλίου και του Συμβουλίου, της </w:t>
      </w:r>
      <w:r w:rsidRPr="00A2201F">
        <w:t>19</w:t>
      </w:r>
      <w:r>
        <w:t xml:space="preserve">ης Νοεμβρίου </w:t>
      </w:r>
      <w:r w:rsidRPr="00A2201F">
        <w:t>2008</w:t>
      </w:r>
      <w:r>
        <w:t xml:space="preserve">, για το ελάχιστο επίπεδο εκπαίδευσης των ναυτικών (ΕΕ L </w:t>
      </w:r>
      <w:r w:rsidRPr="00A2201F">
        <w:t>323</w:t>
      </w:r>
      <w:r>
        <w:t xml:space="preserve"> της </w:t>
      </w:r>
      <w:r w:rsidRPr="00A2201F">
        <w:t>3</w:t>
      </w:r>
      <w:r>
        <w:t>.</w:t>
      </w:r>
      <w:r w:rsidRPr="00A2201F">
        <w:t>12</w:t>
      </w:r>
      <w:r>
        <w:t>.</w:t>
      </w:r>
      <w:r w:rsidRPr="00A2201F">
        <w:t>2008</w:t>
      </w:r>
      <w:r>
        <w:t xml:space="preserve">, σ. </w:t>
      </w:r>
      <w:r w:rsidRPr="00A2201F">
        <w:t>33</w:t>
      </w:r>
      <w:r>
        <w:t xml:space="preserve">). Οδηγία, όπως τροποποιήθηκε τελευταία με την οδηγία </w:t>
      </w:r>
      <w:r w:rsidRPr="00A2201F">
        <w:t>2012</w:t>
      </w:r>
      <w:r>
        <w:t>/</w:t>
      </w:r>
      <w:r w:rsidRPr="00A2201F">
        <w:t>35</w:t>
      </w:r>
      <w:r>
        <w:t xml:space="preserve">/EΕ του Ευρωπαϊκού Κοινοβουλίου και του Συμβουλίου (ΕΕ L </w:t>
      </w:r>
      <w:r w:rsidRPr="00A2201F">
        <w:t>343</w:t>
      </w:r>
      <w:r>
        <w:t xml:space="preserve"> της </w:t>
      </w:r>
      <w:r w:rsidRPr="00A2201F">
        <w:t>14</w:t>
      </w:r>
      <w:r>
        <w:t>.</w:t>
      </w:r>
      <w:r w:rsidRPr="00A2201F">
        <w:t>12</w:t>
      </w:r>
      <w:r>
        <w:t>.</w:t>
      </w:r>
      <w:r w:rsidRPr="00A2201F">
        <w:t>2012</w:t>
      </w:r>
      <w:r>
        <w:t xml:space="preserve">, σ. </w:t>
      </w:r>
      <w:r w:rsidRPr="00A2201F">
        <w:t>78</w:t>
      </w:r>
      <w:r>
        <w:t>).</w:t>
      </w:r>
    </w:p>
  </w:footnote>
  <w:footnote w:id="3">
    <w:p w:rsidR="00A2201F" w:rsidRPr="00FC4740" w:rsidRDefault="00A2201F" w:rsidP="00BB52D2">
      <w:pPr>
        <w:pStyle w:val="FootnoteText"/>
      </w:pPr>
      <w:r>
        <w:rPr>
          <w:rStyle w:val="FootnoteReference"/>
        </w:rPr>
        <w:footnoteRef/>
      </w:r>
      <w:r>
        <w:tab/>
        <w:t xml:space="preserve">Οδηγία </w:t>
      </w:r>
      <w:r w:rsidRPr="00A2201F">
        <w:t>2005</w:t>
      </w:r>
      <w:r>
        <w:t>/</w:t>
      </w:r>
      <w:r w:rsidRPr="00A2201F">
        <w:t>45</w:t>
      </w:r>
      <w:r>
        <w:t xml:space="preserve">/ΕΚ του Ευρωπαϊκού Κοινοβουλίου και του Συμβουλίου, της </w:t>
      </w:r>
      <w:r w:rsidRPr="00A2201F">
        <w:t>7</w:t>
      </w:r>
      <w:r>
        <w:t xml:space="preserve">ης Σεπτεμβρίου </w:t>
      </w:r>
      <w:r w:rsidRPr="00A2201F">
        <w:t>2005</w:t>
      </w:r>
      <w:r>
        <w:t xml:space="preserve">, σχετικά με την αμοιβαία αναγνώριση πιστοποιητικών των ναυτικών τα οποία εκδίδονται από τα κράτη μέλη (ΕΕ L </w:t>
      </w:r>
      <w:r w:rsidRPr="00A2201F">
        <w:t>255</w:t>
      </w:r>
      <w:r>
        <w:t xml:space="preserve"> της </w:t>
      </w:r>
      <w:r w:rsidRPr="00A2201F">
        <w:t>30</w:t>
      </w:r>
      <w:r>
        <w:t>.</w:t>
      </w:r>
      <w:r w:rsidRPr="00A2201F">
        <w:t>9</w:t>
      </w:r>
      <w:r>
        <w:t>.</w:t>
      </w:r>
      <w:r w:rsidRPr="00A2201F">
        <w:t>2005</w:t>
      </w:r>
      <w:r>
        <w:t xml:space="preserve">, σ. </w:t>
      </w:r>
      <w:r w:rsidRPr="00A2201F">
        <w:t>160</w:t>
      </w:r>
      <w:r>
        <w:t>).</w:t>
      </w:r>
    </w:p>
  </w:footnote>
  <w:footnote w:id="4">
    <w:p w:rsidR="00A2201F" w:rsidRPr="006A631A" w:rsidRDefault="00A2201F">
      <w:pPr>
        <w:pStyle w:val="FootnoteText"/>
      </w:pPr>
      <w:r>
        <w:rPr>
          <w:rStyle w:val="FootnoteReference"/>
        </w:rPr>
        <w:footnoteRef/>
      </w:r>
      <w:r>
        <w:tab/>
        <w:t xml:space="preserve">Ανακοίνωση της Επιτροπής στο Ευρωπαϊκό Κοινοβούλιο, στο Συμβούλιο, στην Ευρωπαϊκή Οικονομική και Κοινωνική Επιτροπή και στην Επιτροπή των Περιφερειών – Στρατηγικοί στόχοι και συστάσεις πολιτικής της ΕΕ για τις θαλάσσιες μεταφορές μέχρι το </w:t>
      </w:r>
      <w:r w:rsidRPr="00A2201F">
        <w:t>2018</w:t>
      </w:r>
      <w:r>
        <w:t xml:space="preserve"> (COM/</w:t>
      </w:r>
      <w:r w:rsidRPr="00A2201F">
        <w:t>2009</w:t>
      </w:r>
      <w:r>
        <w:t>/</w:t>
      </w:r>
      <w:r w:rsidRPr="00A2201F">
        <w:t>8</w:t>
      </w:r>
      <w:r>
        <w:t>).</w:t>
      </w:r>
    </w:p>
  </w:footnote>
  <w:footnote w:id="5">
    <w:p w:rsidR="00A2201F" w:rsidRPr="006A631A" w:rsidRDefault="00A2201F" w:rsidP="00534816">
      <w:pPr>
        <w:pStyle w:val="FootnoteText"/>
      </w:pPr>
      <w:r>
        <w:rPr>
          <w:rStyle w:val="FootnoteReference"/>
        </w:rPr>
        <w:footnoteRef/>
      </w:r>
      <w:r>
        <w:tab/>
        <w:t xml:space="preserve">Οδηγία </w:t>
      </w:r>
      <w:r w:rsidRPr="00A2201F">
        <w:t>2005</w:t>
      </w:r>
      <w:r>
        <w:t>/</w:t>
      </w:r>
      <w:r w:rsidRPr="00A2201F">
        <w:t>36</w:t>
      </w:r>
      <w:r>
        <w:t>/ΕΚ του</w:t>
      </w:r>
      <w:r>
        <w:rPr>
          <w:sz w:val="24"/>
        </w:rPr>
        <w:t xml:space="preserve"> </w:t>
      </w:r>
      <w:r>
        <w:t xml:space="preserve">Ευρωπαϊκού Κοινοβουλίου και του Συμβουλίου, της </w:t>
      </w:r>
      <w:r w:rsidRPr="00A2201F">
        <w:t>7</w:t>
      </w:r>
      <w:r>
        <w:t xml:space="preserve">ης Σεπτεμβρίου </w:t>
      </w:r>
      <w:r w:rsidRPr="00A2201F">
        <w:t>2005</w:t>
      </w:r>
      <w:r>
        <w:t xml:space="preserve">, σχετικά με την αναγνώριση των επαγγελματικών προσόντων (ΕΕ L </w:t>
      </w:r>
      <w:r w:rsidRPr="00A2201F">
        <w:t>255</w:t>
      </w:r>
      <w:r>
        <w:t xml:space="preserve"> της </w:t>
      </w:r>
      <w:r w:rsidRPr="00A2201F">
        <w:t>30</w:t>
      </w:r>
      <w:r>
        <w:t>.</w:t>
      </w:r>
      <w:r w:rsidRPr="00A2201F">
        <w:t>9</w:t>
      </w:r>
      <w:r>
        <w:t>.</w:t>
      </w:r>
      <w:r w:rsidRPr="00A2201F">
        <w:t>2005</w:t>
      </w:r>
      <w:r>
        <w:t xml:space="preserve">, σ. </w:t>
      </w:r>
      <w:r w:rsidRPr="00A2201F">
        <w:t>22</w:t>
      </w:r>
      <w:r>
        <w:t>).</w:t>
      </w:r>
    </w:p>
  </w:footnote>
  <w:footnote w:id="6">
    <w:p w:rsidR="00A2201F" w:rsidRPr="006A631A" w:rsidRDefault="00A2201F">
      <w:pPr>
        <w:pStyle w:val="FootnoteText"/>
      </w:pPr>
      <w:r>
        <w:rPr>
          <w:rStyle w:val="FootnoteReference"/>
        </w:rPr>
        <w:footnoteRef/>
      </w:r>
      <w:r>
        <w:tab/>
        <w:t>Λευκή Βίβλος «Χάρτης πορείας για έναν Ενιαίο Ευρωπαϊκό Χώρο Μεταφορών – Για ένα ανταγωνιστικό και ενεργειακά αποδοτικό σύστημα μεταφορών», COM(</w:t>
      </w:r>
      <w:r w:rsidRPr="00A2201F">
        <w:t>2011</w:t>
      </w:r>
      <w:r>
        <w:t>) </w:t>
      </w:r>
      <w:r w:rsidRPr="00A2201F">
        <w:t>144</w:t>
      </w:r>
      <w:r>
        <w:t>.</w:t>
      </w:r>
    </w:p>
  </w:footnote>
  <w:footnote w:id="7">
    <w:p w:rsidR="00A2201F" w:rsidRPr="006A631A" w:rsidRDefault="00A2201F" w:rsidP="00317F1F">
      <w:pPr>
        <w:pStyle w:val="FootnoteText"/>
      </w:pPr>
      <w:r>
        <w:rPr>
          <w:rStyle w:val="FootnoteReference"/>
        </w:rPr>
        <w:footnoteRef/>
      </w:r>
      <w:r>
        <w:tab/>
        <w:t>SWD(</w:t>
      </w:r>
      <w:r w:rsidRPr="00A2201F">
        <w:t>2018</w:t>
      </w:r>
      <w:r>
        <w:t>)</w:t>
      </w:r>
      <w:r w:rsidRPr="00A2201F">
        <w:t>19</w:t>
      </w:r>
      <w:r>
        <w:t xml:space="preserve">. </w:t>
      </w:r>
    </w:p>
  </w:footnote>
  <w:footnote w:id="8">
    <w:p w:rsidR="00A2201F" w:rsidRPr="006A631A" w:rsidRDefault="00A2201F">
      <w:pPr>
        <w:pStyle w:val="FootnoteText"/>
      </w:pPr>
      <w:r>
        <w:rPr>
          <w:rStyle w:val="FootnoteReference"/>
        </w:rPr>
        <w:footnoteRef/>
      </w:r>
      <w:r>
        <w:tab/>
        <w:t>SWD(</w:t>
      </w:r>
      <w:r w:rsidRPr="00A2201F">
        <w:t>2018</w:t>
      </w:r>
      <w:r>
        <w:t>)</w:t>
      </w:r>
      <w:r w:rsidRPr="00A2201F">
        <w:t>19</w:t>
      </w:r>
      <w:r>
        <w:t>.</w:t>
      </w:r>
    </w:p>
  </w:footnote>
  <w:footnote w:id="9">
    <w:p w:rsidR="00A2201F" w:rsidRPr="006A631A" w:rsidRDefault="00A2201F">
      <w:pPr>
        <w:pStyle w:val="FootnoteText"/>
      </w:pPr>
      <w:r>
        <w:rPr>
          <w:rStyle w:val="FootnoteReference"/>
        </w:rPr>
        <w:footnoteRef/>
      </w:r>
      <w:r>
        <w:tab/>
        <w:t xml:space="preserve">ΕΕ L </w:t>
      </w:r>
      <w:r w:rsidRPr="00A2201F">
        <w:t>123</w:t>
      </w:r>
      <w:r>
        <w:t xml:space="preserve"> της </w:t>
      </w:r>
      <w:r w:rsidRPr="00A2201F">
        <w:t>12</w:t>
      </w:r>
      <w:r>
        <w:t>.</w:t>
      </w:r>
      <w:r w:rsidRPr="00A2201F">
        <w:t>5</w:t>
      </w:r>
      <w:r>
        <w:t>.</w:t>
      </w:r>
      <w:r w:rsidRPr="00A2201F">
        <w:t>2016</w:t>
      </w:r>
      <w:r>
        <w:t>, σ. </w:t>
      </w:r>
      <w:r w:rsidRPr="00A2201F">
        <w:t>10</w:t>
      </w:r>
      <w:r>
        <w:t>.</w:t>
      </w:r>
    </w:p>
  </w:footnote>
  <w:footnote w:id="10">
    <w:p w:rsidR="00A2201F" w:rsidRPr="006A631A" w:rsidRDefault="00A2201F" w:rsidP="00095DF7">
      <w:pPr>
        <w:pStyle w:val="FootnoteText"/>
      </w:pPr>
      <w:r>
        <w:rPr>
          <w:rStyle w:val="FootnoteReference"/>
        </w:rPr>
        <w:footnoteRef/>
      </w:r>
      <w:r>
        <w:tab/>
        <w:t xml:space="preserve">ΕΕ C </w:t>
      </w:r>
      <w:r>
        <w:rPr>
          <w:rStyle w:val="Marker"/>
        </w:rPr>
        <w:t>[…]</w:t>
      </w:r>
      <w:r>
        <w:t xml:space="preserve"> της </w:t>
      </w:r>
      <w:r>
        <w:rPr>
          <w:rStyle w:val="Marker"/>
        </w:rPr>
        <w:t>[…]</w:t>
      </w:r>
      <w:r>
        <w:t xml:space="preserve">, σ. </w:t>
      </w:r>
      <w:r>
        <w:rPr>
          <w:rStyle w:val="Marker"/>
        </w:rPr>
        <w:t>[…]</w:t>
      </w:r>
      <w:r>
        <w:t xml:space="preserve">. </w:t>
      </w:r>
    </w:p>
  </w:footnote>
  <w:footnote w:id="11">
    <w:p w:rsidR="00A2201F" w:rsidRPr="00736311" w:rsidRDefault="00A2201F" w:rsidP="00095DF7">
      <w:pPr>
        <w:pStyle w:val="FootnoteText"/>
      </w:pPr>
      <w:r>
        <w:rPr>
          <w:rStyle w:val="FootnoteReference"/>
        </w:rPr>
        <w:footnoteRef/>
      </w:r>
      <w:r>
        <w:tab/>
        <w:t xml:space="preserve">ΕΕ C </w:t>
      </w:r>
      <w:r>
        <w:rPr>
          <w:rStyle w:val="Marker"/>
        </w:rPr>
        <w:t>[…]</w:t>
      </w:r>
      <w:r>
        <w:t xml:space="preserve"> της </w:t>
      </w:r>
      <w:r>
        <w:rPr>
          <w:rStyle w:val="Marker"/>
        </w:rPr>
        <w:t>[…]</w:t>
      </w:r>
      <w:r>
        <w:t xml:space="preserve">, σ. </w:t>
      </w:r>
      <w:r>
        <w:rPr>
          <w:rStyle w:val="Marker"/>
        </w:rPr>
        <w:t>[…]</w:t>
      </w:r>
      <w:r>
        <w:t>.</w:t>
      </w:r>
    </w:p>
  </w:footnote>
  <w:footnote w:id="12">
    <w:p w:rsidR="00A2201F" w:rsidRPr="00CB3B19" w:rsidRDefault="00A2201F">
      <w:pPr>
        <w:pStyle w:val="FootnoteText"/>
      </w:pPr>
      <w:r>
        <w:rPr>
          <w:rStyle w:val="FootnoteReference"/>
        </w:rPr>
        <w:footnoteRef/>
      </w:r>
      <w:r>
        <w:tab/>
        <w:t xml:space="preserve">ΕΕ L </w:t>
      </w:r>
      <w:r w:rsidRPr="00A2201F">
        <w:t>323</w:t>
      </w:r>
      <w:r>
        <w:t xml:space="preserve"> της </w:t>
      </w:r>
      <w:r w:rsidRPr="00A2201F">
        <w:t>3</w:t>
      </w:r>
      <w:r>
        <w:t>.</w:t>
      </w:r>
      <w:r w:rsidRPr="00A2201F">
        <w:t>12</w:t>
      </w:r>
      <w:r>
        <w:t>.</w:t>
      </w:r>
      <w:r w:rsidRPr="00A2201F">
        <w:t>2008</w:t>
      </w:r>
      <w:r>
        <w:t>, σ. </w:t>
      </w:r>
      <w:r w:rsidRPr="00A2201F">
        <w:t>33</w:t>
      </w:r>
      <w:r>
        <w:t>.</w:t>
      </w:r>
    </w:p>
  </w:footnote>
  <w:footnote w:id="13">
    <w:p w:rsidR="00A2201F" w:rsidRPr="0039196E" w:rsidRDefault="00A2201F">
      <w:pPr>
        <w:pStyle w:val="FootnoteText"/>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για τη βελτίωση του νομοθετικού έργου (ΕΕ L </w:t>
      </w:r>
      <w:r w:rsidRPr="00A2201F">
        <w:t>123</w:t>
      </w:r>
      <w:r>
        <w:t xml:space="preserve"> της </w:t>
      </w:r>
      <w:r w:rsidRPr="00A2201F">
        <w:t>12</w:t>
      </w:r>
      <w:r>
        <w:t>.</w:t>
      </w:r>
      <w:r w:rsidRPr="00A2201F">
        <w:t>5</w:t>
      </w:r>
      <w:r>
        <w:t>.</w:t>
      </w:r>
      <w:r w:rsidRPr="00A2201F">
        <w:t>2016</w:t>
      </w:r>
      <w:r>
        <w:t>, σ. </w:t>
      </w:r>
      <w:r w:rsidRPr="00A2201F">
        <w:t>10</w:t>
      </w:r>
      <w:r>
        <w:t>).</w:t>
      </w:r>
    </w:p>
  </w:footnote>
  <w:footnote w:id="14">
    <w:p w:rsidR="00A2201F" w:rsidRPr="00A0354C" w:rsidRDefault="00A2201F">
      <w:pPr>
        <w:pStyle w:val="FootnoteText"/>
      </w:pPr>
      <w:r>
        <w:rPr>
          <w:rStyle w:val="FootnoteReference"/>
        </w:rPr>
        <w:footnoteRef/>
      </w:r>
      <w:r>
        <w:tab/>
        <w:t>SWD(</w:t>
      </w:r>
      <w:r w:rsidRPr="00A2201F">
        <w:t>2018</w:t>
      </w:r>
      <w:r>
        <w:t>)</w:t>
      </w:r>
      <w:r w:rsidRPr="00A2201F">
        <w:t>19</w:t>
      </w:r>
      <w:r>
        <w:t>.</w:t>
      </w:r>
    </w:p>
  </w:footnote>
  <w:footnote w:id="15">
    <w:p w:rsidR="00A2201F" w:rsidRPr="0039196E" w:rsidRDefault="00A2201F">
      <w:pPr>
        <w:pStyle w:val="FootnoteText"/>
      </w:pPr>
      <w:r>
        <w:rPr>
          <w:rStyle w:val="FootnoteReference"/>
        </w:rPr>
        <w:footnoteRef/>
      </w:r>
      <w:r>
        <w:tab/>
        <w:t xml:space="preserve">Οδηγία </w:t>
      </w:r>
      <w:r w:rsidRPr="00A2201F">
        <w:t>2005</w:t>
      </w:r>
      <w:r>
        <w:t>/</w:t>
      </w:r>
      <w:r w:rsidRPr="00A2201F">
        <w:t>36</w:t>
      </w:r>
      <w:r>
        <w:t xml:space="preserve">/ΕΚ του Ευρωπαϊκού Κοινοβουλίου και του Συμβουλίου σχετικά με την αναγνώριση των επαγγελματικών προσόντων (ΕΕ L </w:t>
      </w:r>
      <w:r w:rsidRPr="00A2201F">
        <w:t>255</w:t>
      </w:r>
      <w:r>
        <w:t xml:space="preserve"> της </w:t>
      </w:r>
      <w:r w:rsidRPr="00A2201F">
        <w:t>30</w:t>
      </w:r>
      <w:r>
        <w:t>.</w:t>
      </w:r>
      <w:r w:rsidRPr="00A2201F">
        <w:t>9</w:t>
      </w:r>
      <w:r>
        <w:t>.</w:t>
      </w:r>
      <w:r w:rsidRPr="00A2201F">
        <w:t>2005</w:t>
      </w:r>
      <w:r>
        <w:t>, σ. </w:t>
      </w:r>
      <w:r w:rsidRPr="00A2201F">
        <w:t>22</w:t>
      </w:r>
      <w:r>
        <w:t>).</w:t>
      </w:r>
    </w:p>
  </w:footnote>
  <w:footnote w:id="16">
    <w:p w:rsidR="00A2201F" w:rsidRPr="0039196E" w:rsidRDefault="00A2201F">
      <w:pPr>
        <w:pStyle w:val="FootnoteText"/>
      </w:pPr>
      <w:r>
        <w:rPr>
          <w:rStyle w:val="FootnoteReference"/>
        </w:rPr>
        <w:footnoteRef/>
      </w:r>
      <w:r>
        <w:tab/>
        <w:t xml:space="preserve">Οδηγία </w:t>
      </w:r>
      <w:r w:rsidRPr="00A2201F">
        <w:t>2005</w:t>
      </w:r>
      <w:r>
        <w:t>/</w:t>
      </w:r>
      <w:r w:rsidRPr="00A2201F">
        <w:t>45</w:t>
      </w:r>
      <w:r>
        <w:t xml:space="preserve">/ΕΚ του Ευρωπαϊκού Κοινοβουλίου και του Συμβουλίου σχετικά με την αμοιβαία αναγνώριση πιστοποιητικών των ναυτικών τα οποία εκδίδονται από τα κράτη μέλη και για την τροποποίηση της οδηγίας </w:t>
      </w:r>
      <w:r w:rsidRPr="00A2201F">
        <w:t>2001</w:t>
      </w:r>
      <w:r>
        <w:t>/</w:t>
      </w:r>
      <w:r w:rsidRPr="00A2201F">
        <w:t>25</w:t>
      </w:r>
      <w:r>
        <w:t xml:space="preserve">/ΕΚ (ΕΕ L </w:t>
      </w:r>
      <w:r w:rsidRPr="00A2201F">
        <w:t>255</w:t>
      </w:r>
      <w:r>
        <w:t xml:space="preserve"> της </w:t>
      </w:r>
      <w:r w:rsidRPr="00A2201F">
        <w:t>30</w:t>
      </w:r>
      <w:r>
        <w:t>.</w:t>
      </w:r>
      <w:r w:rsidRPr="00A2201F">
        <w:t>9</w:t>
      </w:r>
      <w:r>
        <w:t>.</w:t>
      </w:r>
      <w:r w:rsidRPr="00A2201F">
        <w:t>2005</w:t>
      </w:r>
      <w:r>
        <w:t>, σ. </w:t>
      </w:r>
      <w:r w:rsidRPr="00A2201F">
        <w:t>160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1A" w:rsidRPr="006A631A" w:rsidRDefault="006A631A" w:rsidP="006A6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94DB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FEAF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CCB9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B8FF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86B1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A2DD8A"/>
    <w:lvl w:ilvl="0">
      <w:start w:val="1"/>
      <w:numFmt w:val="decimal"/>
      <w:pStyle w:val="ListNumber"/>
      <w:lvlText w:val="%1."/>
      <w:lvlJc w:val="left"/>
      <w:pPr>
        <w:tabs>
          <w:tab w:val="num" w:pos="360"/>
        </w:tabs>
        <w:ind w:left="360" w:hanging="360"/>
      </w:pPr>
    </w:lvl>
  </w:abstractNum>
  <w:abstractNum w:abstractNumId="7">
    <w:nsid w:val="FFFFFF89"/>
    <w:multiLevelType w:val="singleLevel"/>
    <w:tmpl w:val="BCF22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F06123"/>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5"/>
    <w:lvlOverride w:ilvl="0">
      <w:startOverride w:val="1"/>
    </w:lvlOverride>
  </w:num>
  <w:num w:numId="14">
    <w:abstractNumId w:val="19"/>
  </w:num>
  <w:num w:numId="15">
    <w:abstractNumId w:val="13"/>
  </w:num>
  <w:num w:numId="16">
    <w:abstractNumId w:val="21"/>
  </w:num>
  <w:num w:numId="17">
    <w:abstractNumId w:val="12"/>
  </w:num>
  <w:num w:numId="18">
    <w:abstractNumId w:val="14"/>
  </w:num>
  <w:num w:numId="19">
    <w:abstractNumId w:val="10"/>
  </w:num>
  <w:num w:numId="20">
    <w:abstractNumId w:val="20"/>
  </w:num>
  <w:num w:numId="21">
    <w:abstractNumId w:val="8"/>
  </w:num>
  <w:num w:numId="22">
    <w:abstractNumId w:val="15"/>
  </w:num>
  <w:num w:numId="23">
    <w:abstractNumId w:val="17"/>
  </w:num>
  <w:num w:numId="24">
    <w:abstractNumId w:val="18"/>
  </w:num>
  <w:num w:numId="25">
    <w:abstractNumId w:val="11"/>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04: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6"/>
    <w:docVar w:name="DQCStatus" w:val="Yellow"/>
    <w:docVar w:name="DQCVersion" w:val="3"/>
    <w:docVar w:name="DQCWithWarnings" w:val="0"/>
    <w:docVar w:name="LW_CORRIGENDUM" w:val="&lt;UNUSED&gt;"/>
    <w:docVar w:name="LW_COVERPAGE_EXISTS" w:val="True"/>
    <w:docVar w:name="LW_COVERPAGE_GUID" w:val="826135B8-0372-4F87-AEFF-A976777590DC"/>
    <w:docVar w:name="LW_COVERPAGE_TYPE" w:val="1"/>
    <w:docVar w:name="LW_CROSSREFERENCE" w:val="{SWD(2018) 239 final}"/>
    <w:docVar w:name="LW_DocType" w:val="COM"/>
    <w:docVar w:name="LW_EMISSION" w:val="24.5.2018"/>
    <w:docVar w:name="LW_EMISSION_ISODATE" w:val="2018-05-24"/>
    <w:docVar w:name="LW_EMISSION_LOCATION" w:val="BRX"/>
    <w:docVar w:name="LW_EMISSION_PREFIX" w:val="\u914?\u961?\u965?\u958?\u941?\u955?\u955?\u949?\u962?,"/>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62"/>
    <w:docVar w:name="LW_REF.II.NEW.CP_YEAR" w:val="2018"/>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u957? \u964?\u961?\u959?\u960?\u959?\u960?\u959?\u943?\u951?\u963?\u951? \u964?\u951?\u962? \u959?\u948?\u951?\u947?\u943?\u945?\u962? 2008/106/\u917?\u922? \u947?\u953?\u945? \u964?\u959? \u949?\u955?\u940?\u967?\u953?\u963?\u964?\u959? \u949?\u960?\u943?\u960?\u949?\u948?\u959? \u949?\u954?\u960?\u945?\u943?\u948?\u949?\u965?\u963?\u951?\u962? \u964?\u969?\u957? \u957?\u945?\u965?\u964?\u953?\u954?\u974?\u957? \u954?\u945?\u953? \u964?\u951?\u957? \u954?\u945?\u964?\u940?\u961?\u947?\u951?\u963?\u951? \u964?\u951?\u962? \u959?\u948?\u951?\u947?\u943?\u945?\u962? 2005/45/\u917?\u922? "/>
    <w:docVar w:name="LW_TYPE.DOC.CP" w:val="\u927?\u916?\u919?\u915?\u921?\u913? \u932?\u927?\u933? \u917?\u933?\u929?\u937?\u928?\u913?\u938?\u922?\u927?\u933? \u922?\u927?\u921?\u925?\u927?\u914?\u927?\u933?\u923?\u921?\u927?\u933? \u922?\u913?\u921? \u932?\u927?\u933? \u931?\u933?\u924?\u914?\u927?\u933?\u923?\u921?\u927?\u933?"/>
  </w:docVars>
  <w:rsids>
    <w:rsidRoot w:val="006B6053"/>
    <w:rsid w:val="00001D8E"/>
    <w:rsid w:val="000026E1"/>
    <w:rsid w:val="00007DB1"/>
    <w:rsid w:val="00015B4C"/>
    <w:rsid w:val="00016573"/>
    <w:rsid w:val="0001760C"/>
    <w:rsid w:val="00017B51"/>
    <w:rsid w:val="00017C6E"/>
    <w:rsid w:val="00024468"/>
    <w:rsid w:val="00024774"/>
    <w:rsid w:val="00037F23"/>
    <w:rsid w:val="0004332B"/>
    <w:rsid w:val="00045AFD"/>
    <w:rsid w:val="00051A6C"/>
    <w:rsid w:val="00051CE3"/>
    <w:rsid w:val="00051E79"/>
    <w:rsid w:val="00066396"/>
    <w:rsid w:val="000778A5"/>
    <w:rsid w:val="0009544D"/>
    <w:rsid w:val="00095DF7"/>
    <w:rsid w:val="00095DFA"/>
    <w:rsid w:val="000A3FFC"/>
    <w:rsid w:val="000A5E7B"/>
    <w:rsid w:val="000B12E3"/>
    <w:rsid w:val="000B3A7B"/>
    <w:rsid w:val="000B6251"/>
    <w:rsid w:val="000B6BD0"/>
    <w:rsid w:val="000B73A1"/>
    <w:rsid w:val="000C0F17"/>
    <w:rsid w:val="000C36A0"/>
    <w:rsid w:val="000C3964"/>
    <w:rsid w:val="000D4CC8"/>
    <w:rsid w:val="000D5DB0"/>
    <w:rsid w:val="00100D22"/>
    <w:rsid w:val="00101682"/>
    <w:rsid w:val="00102833"/>
    <w:rsid w:val="0010394E"/>
    <w:rsid w:val="001043A4"/>
    <w:rsid w:val="00110E59"/>
    <w:rsid w:val="00117F25"/>
    <w:rsid w:val="00120CCC"/>
    <w:rsid w:val="001272A8"/>
    <w:rsid w:val="001419AD"/>
    <w:rsid w:val="00141B20"/>
    <w:rsid w:val="00142C84"/>
    <w:rsid w:val="00153EB2"/>
    <w:rsid w:val="00155349"/>
    <w:rsid w:val="001641C6"/>
    <w:rsid w:val="00167C4F"/>
    <w:rsid w:val="00167F91"/>
    <w:rsid w:val="00170D32"/>
    <w:rsid w:val="00172358"/>
    <w:rsid w:val="00172B83"/>
    <w:rsid w:val="00184EDB"/>
    <w:rsid w:val="0018567A"/>
    <w:rsid w:val="00190515"/>
    <w:rsid w:val="00191509"/>
    <w:rsid w:val="00195E0A"/>
    <w:rsid w:val="001A3BAF"/>
    <w:rsid w:val="001A4CD4"/>
    <w:rsid w:val="001A59F2"/>
    <w:rsid w:val="001B7AFD"/>
    <w:rsid w:val="001C17A7"/>
    <w:rsid w:val="001D2E72"/>
    <w:rsid w:val="001D39F4"/>
    <w:rsid w:val="001E652E"/>
    <w:rsid w:val="001F6226"/>
    <w:rsid w:val="0020468B"/>
    <w:rsid w:val="00204B61"/>
    <w:rsid w:val="00213725"/>
    <w:rsid w:val="00214653"/>
    <w:rsid w:val="00224410"/>
    <w:rsid w:val="0022758B"/>
    <w:rsid w:val="00234EC5"/>
    <w:rsid w:val="002354BC"/>
    <w:rsid w:val="00236A17"/>
    <w:rsid w:val="00240482"/>
    <w:rsid w:val="00245830"/>
    <w:rsid w:val="002471A3"/>
    <w:rsid w:val="00257FDA"/>
    <w:rsid w:val="00283E3E"/>
    <w:rsid w:val="002861FC"/>
    <w:rsid w:val="00286D63"/>
    <w:rsid w:val="002A0514"/>
    <w:rsid w:val="002B2299"/>
    <w:rsid w:val="002B3C0D"/>
    <w:rsid w:val="002C0C3E"/>
    <w:rsid w:val="002C3D89"/>
    <w:rsid w:val="002C5FF8"/>
    <w:rsid w:val="002E476B"/>
    <w:rsid w:val="002F0F9B"/>
    <w:rsid w:val="002F38B2"/>
    <w:rsid w:val="0030223B"/>
    <w:rsid w:val="00315479"/>
    <w:rsid w:val="003155E9"/>
    <w:rsid w:val="00315F57"/>
    <w:rsid w:val="003161AC"/>
    <w:rsid w:val="00316C29"/>
    <w:rsid w:val="00317F1F"/>
    <w:rsid w:val="003210B0"/>
    <w:rsid w:val="00330009"/>
    <w:rsid w:val="00331F61"/>
    <w:rsid w:val="0033413D"/>
    <w:rsid w:val="003408FA"/>
    <w:rsid w:val="00341C97"/>
    <w:rsid w:val="00346010"/>
    <w:rsid w:val="00346356"/>
    <w:rsid w:val="00346F24"/>
    <w:rsid w:val="00352527"/>
    <w:rsid w:val="00354BA0"/>
    <w:rsid w:val="00360B0D"/>
    <w:rsid w:val="00360F1B"/>
    <w:rsid w:val="003625F3"/>
    <w:rsid w:val="00365F1E"/>
    <w:rsid w:val="00366394"/>
    <w:rsid w:val="0036661B"/>
    <w:rsid w:val="00373A45"/>
    <w:rsid w:val="00377C9B"/>
    <w:rsid w:val="00380CDB"/>
    <w:rsid w:val="0038612D"/>
    <w:rsid w:val="00387E26"/>
    <w:rsid w:val="0039196E"/>
    <w:rsid w:val="00391A7E"/>
    <w:rsid w:val="0039604B"/>
    <w:rsid w:val="0039723D"/>
    <w:rsid w:val="003A0B1B"/>
    <w:rsid w:val="003A166C"/>
    <w:rsid w:val="003C0536"/>
    <w:rsid w:val="003C11E2"/>
    <w:rsid w:val="003E7988"/>
    <w:rsid w:val="003F415C"/>
    <w:rsid w:val="003F4B12"/>
    <w:rsid w:val="00410ECE"/>
    <w:rsid w:val="00411EC8"/>
    <w:rsid w:val="0041499A"/>
    <w:rsid w:val="0041674B"/>
    <w:rsid w:val="00440A95"/>
    <w:rsid w:val="004447BD"/>
    <w:rsid w:val="004449EC"/>
    <w:rsid w:val="00445736"/>
    <w:rsid w:val="00445EA4"/>
    <w:rsid w:val="00453362"/>
    <w:rsid w:val="00453BF3"/>
    <w:rsid w:val="0045442C"/>
    <w:rsid w:val="00460246"/>
    <w:rsid w:val="00464FED"/>
    <w:rsid w:val="00474F36"/>
    <w:rsid w:val="004770C7"/>
    <w:rsid w:val="00477B34"/>
    <w:rsid w:val="00477CED"/>
    <w:rsid w:val="004834E1"/>
    <w:rsid w:val="004959CD"/>
    <w:rsid w:val="004A3F48"/>
    <w:rsid w:val="004A6431"/>
    <w:rsid w:val="004A7450"/>
    <w:rsid w:val="004B4090"/>
    <w:rsid w:val="004B57F1"/>
    <w:rsid w:val="004C09C1"/>
    <w:rsid w:val="004D4443"/>
    <w:rsid w:val="004D4F9F"/>
    <w:rsid w:val="004E155D"/>
    <w:rsid w:val="004E2F50"/>
    <w:rsid w:val="004F7BDE"/>
    <w:rsid w:val="00501720"/>
    <w:rsid w:val="00501920"/>
    <w:rsid w:val="005035B9"/>
    <w:rsid w:val="00503E2A"/>
    <w:rsid w:val="00512DC6"/>
    <w:rsid w:val="00524A80"/>
    <w:rsid w:val="00532E2B"/>
    <w:rsid w:val="00534816"/>
    <w:rsid w:val="0053712B"/>
    <w:rsid w:val="005459F5"/>
    <w:rsid w:val="005461E4"/>
    <w:rsid w:val="00552AB2"/>
    <w:rsid w:val="005555AB"/>
    <w:rsid w:val="0055776F"/>
    <w:rsid w:val="005702B3"/>
    <w:rsid w:val="00576ACF"/>
    <w:rsid w:val="0058339F"/>
    <w:rsid w:val="00590F09"/>
    <w:rsid w:val="005A66C1"/>
    <w:rsid w:val="005B1E5A"/>
    <w:rsid w:val="005B7630"/>
    <w:rsid w:val="005B7F95"/>
    <w:rsid w:val="005C2BF3"/>
    <w:rsid w:val="005C3FFB"/>
    <w:rsid w:val="005D3A21"/>
    <w:rsid w:val="005D6415"/>
    <w:rsid w:val="005E2A94"/>
    <w:rsid w:val="005F61B8"/>
    <w:rsid w:val="00606991"/>
    <w:rsid w:val="00610BE2"/>
    <w:rsid w:val="006146BE"/>
    <w:rsid w:val="00625550"/>
    <w:rsid w:val="00633792"/>
    <w:rsid w:val="0063491E"/>
    <w:rsid w:val="00636BA8"/>
    <w:rsid w:val="00637294"/>
    <w:rsid w:val="0065048D"/>
    <w:rsid w:val="00667F54"/>
    <w:rsid w:val="00670E81"/>
    <w:rsid w:val="00671908"/>
    <w:rsid w:val="00671C14"/>
    <w:rsid w:val="00672AC2"/>
    <w:rsid w:val="00677DFA"/>
    <w:rsid w:val="00682785"/>
    <w:rsid w:val="006860AA"/>
    <w:rsid w:val="00687416"/>
    <w:rsid w:val="0069176B"/>
    <w:rsid w:val="00691DD9"/>
    <w:rsid w:val="006A631A"/>
    <w:rsid w:val="006B01D9"/>
    <w:rsid w:val="006B0658"/>
    <w:rsid w:val="006B474D"/>
    <w:rsid w:val="006B4F43"/>
    <w:rsid w:val="006B55B4"/>
    <w:rsid w:val="006B6053"/>
    <w:rsid w:val="006C1780"/>
    <w:rsid w:val="006C5A4C"/>
    <w:rsid w:val="006E1F10"/>
    <w:rsid w:val="006E4716"/>
    <w:rsid w:val="006F21C0"/>
    <w:rsid w:val="006F2CC4"/>
    <w:rsid w:val="0070180D"/>
    <w:rsid w:val="00704F5D"/>
    <w:rsid w:val="00705EDE"/>
    <w:rsid w:val="00706203"/>
    <w:rsid w:val="007109F4"/>
    <w:rsid w:val="007138A7"/>
    <w:rsid w:val="007142BB"/>
    <w:rsid w:val="00717594"/>
    <w:rsid w:val="0072183C"/>
    <w:rsid w:val="007248A5"/>
    <w:rsid w:val="007321BF"/>
    <w:rsid w:val="00735EEE"/>
    <w:rsid w:val="007360EE"/>
    <w:rsid w:val="00736311"/>
    <w:rsid w:val="00742219"/>
    <w:rsid w:val="007423A0"/>
    <w:rsid w:val="00743B5C"/>
    <w:rsid w:val="00743D55"/>
    <w:rsid w:val="00745FFD"/>
    <w:rsid w:val="0074771B"/>
    <w:rsid w:val="00752780"/>
    <w:rsid w:val="00756E4B"/>
    <w:rsid w:val="0075723B"/>
    <w:rsid w:val="007614E3"/>
    <w:rsid w:val="007649D0"/>
    <w:rsid w:val="0077375E"/>
    <w:rsid w:val="00774C57"/>
    <w:rsid w:val="00775F88"/>
    <w:rsid w:val="00775FEA"/>
    <w:rsid w:val="00784816"/>
    <w:rsid w:val="00790BC6"/>
    <w:rsid w:val="007A059F"/>
    <w:rsid w:val="007A0C1A"/>
    <w:rsid w:val="007A38C9"/>
    <w:rsid w:val="007A4EFC"/>
    <w:rsid w:val="007A69F6"/>
    <w:rsid w:val="007B512B"/>
    <w:rsid w:val="007B681B"/>
    <w:rsid w:val="007C6762"/>
    <w:rsid w:val="007D178B"/>
    <w:rsid w:val="007D369A"/>
    <w:rsid w:val="007E2957"/>
    <w:rsid w:val="007E3D30"/>
    <w:rsid w:val="007E3F3F"/>
    <w:rsid w:val="007F1452"/>
    <w:rsid w:val="007F1531"/>
    <w:rsid w:val="007F286A"/>
    <w:rsid w:val="00800D96"/>
    <w:rsid w:val="00801186"/>
    <w:rsid w:val="008019D5"/>
    <w:rsid w:val="008038A9"/>
    <w:rsid w:val="008062F7"/>
    <w:rsid w:val="008119AD"/>
    <w:rsid w:val="00826277"/>
    <w:rsid w:val="008267A5"/>
    <w:rsid w:val="00827DAF"/>
    <w:rsid w:val="00833F7E"/>
    <w:rsid w:val="00837B14"/>
    <w:rsid w:val="00852D20"/>
    <w:rsid w:val="00856A5A"/>
    <w:rsid w:val="008572E8"/>
    <w:rsid w:val="00857B8A"/>
    <w:rsid w:val="00857E4D"/>
    <w:rsid w:val="008606E2"/>
    <w:rsid w:val="008629AD"/>
    <w:rsid w:val="008640B8"/>
    <w:rsid w:val="00871D4B"/>
    <w:rsid w:val="00877878"/>
    <w:rsid w:val="00881AC1"/>
    <w:rsid w:val="00881E2F"/>
    <w:rsid w:val="00884A8B"/>
    <w:rsid w:val="00886829"/>
    <w:rsid w:val="00886F23"/>
    <w:rsid w:val="00887248"/>
    <w:rsid w:val="008A3E7C"/>
    <w:rsid w:val="008A636E"/>
    <w:rsid w:val="008A699D"/>
    <w:rsid w:val="008B1488"/>
    <w:rsid w:val="008B3D87"/>
    <w:rsid w:val="008B3F67"/>
    <w:rsid w:val="008B6278"/>
    <w:rsid w:val="008B7714"/>
    <w:rsid w:val="008C436E"/>
    <w:rsid w:val="008C59AB"/>
    <w:rsid w:val="008C5AF2"/>
    <w:rsid w:val="008D0814"/>
    <w:rsid w:val="008E2243"/>
    <w:rsid w:val="008E24C2"/>
    <w:rsid w:val="008E39DD"/>
    <w:rsid w:val="008E4729"/>
    <w:rsid w:val="008E4955"/>
    <w:rsid w:val="008F2AF8"/>
    <w:rsid w:val="00900C0B"/>
    <w:rsid w:val="00902FA4"/>
    <w:rsid w:val="0091255B"/>
    <w:rsid w:val="0091280E"/>
    <w:rsid w:val="0091326B"/>
    <w:rsid w:val="0091524A"/>
    <w:rsid w:val="00915503"/>
    <w:rsid w:val="0091658C"/>
    <w:rsid w:val="0092288E"/>
    <w:rsid w:val="009321F3"/>
    <w:rsid w:val="00944F34"/>
    <w:rsid w:val="0094535B"/>
    <w:rsid w:val="00962727"/>
    <w:rsid w:val="009767F2"/>
    <w:rsid w:val="009822CF"/>
    <w:rsid w:val="00995857"/>
    <w:rsid w:val="009C11C8"/>
    <w:rsid w:val="009C2FD9"/>
    <w:rsid w:val="009C6BB7"/>
    <w:rsid w:val="009D32C6"/>
    <w:rsid w:val="009E0506"/>
    <w:rsid w:val="009E091E"/>
    <w:rsid w:val="009E4576"/>
    <w:rsid w:val="009F2037"/>
    <w:rsid w:val="009F298A"/>
    <w:rsid w:val="009F7B25"/>
    <w:rsid w:val="00A00376"/>
    <w:rsid w:val="00A0354C"/>
    <w:rsid w:val="00A03951"/>
    <w:rsid w:val="00A05D5E"/>
    <w:rsid w:val="00A07E16"/>
    <w:rsid w:val="00A10FCF"/>
    <w:rsid w:val="00A14386"/>
    <w:rsid w:val="00A2201F"/>
    <w:rsid w:val="00A34B8E"/>
    <w:rsid w:val="00A3507A"/>
    <w:rsid w:val="00A36122"/>
    <w:rsid w:val="00A43E60"/>
    <w:rsid w:val="00A4456A"/>
    <w:rsid w:val="00A44AAF"/>
    <w:rsid w:val="00A4558C"/>
    <w:rsid w:val="00A47650"/>
    <w:rsid w:val="00A5231C"/>
    <w:rsid w:val="00A543AF"/>
    <w:rsid w:val="00A55438"/>
    <w:rsid w:val="00A57AAD"/>
    <w:rsid w:val="00A60459"/>
    <w:rsid w:val="00A60AD0"/>
    <w:rsid w:val="00A616A2"/>
    <w:rsid w:val="00A620E5"/>
    <w:rsid w:val="00A70858"/>
    <w:rsid w:val="00A7347D"/>
    <w:rsid w:val="00A752B8"/>
    <w:rsid w:val="00A7750E"/>
    <w:rsid w:val="00A77A54"/>
    <w:rsid w:val="00A83CFD"/>
    <w:rsid w:val="00A841E4"/>
    <w:rsid w:val="00A92B3C"/>
    <w:rsid w:val="00A92FDA"/>
    <w:rsid w:val="00A931BD"/>
    <w:rsid w:val="00A93AE3"/>
    <w:rsid w:val="00A9604F"/>
    <w:rsid w:val="00A97994"/>
    <w:rsid w:val="00AA1383"/>
    <w:rsid w:val="00AA783A"/>
    <w:rsid w:val="00AB2F81"/>
    <w:rsid w:val="00AB5F03"/>
    <w:rsid w:val="00AB5FA6"/>
    <w:rsid w:val="00AC4208"/>
    <w:rsid w:val="00AC6AE4"/>
    <w:rsid w:val="00AC753F"/>
    <w:rsid w:val="00AD2935"/>
    <w:rsid w:val="00AE0394"/>
    <w:rsid w:val="00AE709D"/>
    <w:rsid w:val="00AF35B0"/>
    <w:rsid w:val="00B00D1B"/>
    <w:rsid w:val="00B04A25"/>
    <w:rsid w:val="00B0611A"/>
    <w:rsid w:val="00B10FED"/>
    <w:rsid w:val="00B11A58"/>
    <w:rsid w:val="00B1637D"/>
    <w:rsid w:val="00B24301"/>
    <w:rsid w:val="00B27F0B"/>
    <w:rsid w:val="00B30085"/>
    <w:rsid w:val="00B306A7"/>
    <w:rsid w:val="00B3250B"/>
    <w:rsid w:val="00B33EA3"/>
    <w:rsid w:val="00B474A3"/>
    <w:rsid w:val="00B609CF"/>
    <w:rsid w:val="00B60DB7"/>
    <w:rsid w:val="00B66F34"/>
    <w:rsid w:val="00B75A71"/>
    <w:rsid w:val="00B92EBF"/>
    <w:rsid w:val="00B9474D"/>
    <w:rsid w:val="00BA1DAD"/>
    <w:rsid w:val="00BB3ADE"/>
    <w:rsid w:val="00BB52D2"/>
    <w:rsid w:val="00BD77BE"/>
    <w:rsid w:val="00BE26BB"/>
    <w:rsid w:val="00BE3334"/>
    <w:rsid w:val="00BE6281"/>
    <w:rsid w:val="00BE6430"/>
    <w:rsid w:val="00BE731D"/>
    <w:rsid w:val="00BE785D"/>
    <w:rsid w:val="00BE7C8B"/>
    <w:rsid w:val="00BF6303"/>
    <w:rsid w:val="00C05190"/>
    <w:rsid w:val="00C0781C"/>
    <w:rsid w:val="00C13192"/>
    <w:rsid w:val="00C13A27"/>
    <w:rsid w:val="00C209C9"/>
    <w:rsid w:val="00C23AC3"/>
    <w:rsid w:val="00C246C6"/>
    <w:rsid w:val="00C3431A"/>
    <w:rsid w:val="00C36E0D"/>
    <w:rsid w:val="00C374A9"/>
    <w:rsid w:val="00C45A10"/>
    <w:rsid w:val="00C47A7F"/>
    <w:rsid w:val="00C63BDE"/>
    <w:rsid w:val="00C65E42"/>
    <w:rsid w:val="00C73435"/>
    <w:rsid w:val="00C75AA4"/>
    <w:rsid w:val="00C8498C"/>
    <w:rsid w:val="00C84F5D"/>
    <w:rsid w:val="00C90A9F"/>
    <w:rsid w:val="00C935AB"/>
    <w:rsid w:val="00C93E1B"/>
    <w:rsid w:val="00CA71E5"/>
    <w:rsid w:val="00CB3B19"/>
    <w:rsid w:val="00CC426B"/>
    <w:rsid w:val="00CC4F1D"/>
    <w:rsid w:val="00CD58B1"/>
    <w:rsid w:val="00CE3AEA"/>
    <w:rsid w:val="00CE4849"/>
    <w:rsid w:val="00CF11C3"/>
    <w:rsid w:val="00CF7723"/>
    <w:rsid w:val="00D0646F"/>
    <w:rsid w:val="00D07F6B"/>
    <w:rsid w:val="00D11F3B"/>
    <w:rsid w:val="00D13EED"/>
    <w:rsid w:val="00D25375"/>
    <w:rsid w:val="00D33299"/>
    <w:rsid w:val="00D35B6D"/>
    <w:rsid w:val="00D43237"/>
    <w:rsid w:val="00D44A79"/>
    <w:rsid w:val="00D4641F"/>
    <w:rsid w:val="00D47952"/>
    <w:rsid w:val="00D51717"/>
    <w:rsid w:val="00D51A08"/>
    <w:rsid w:val="00D60E10"/>
    <w:rsid w:val="00D63081"/>
    <w:rsid w:val="00D63547"/>
    <w:rsid w:val="00D636D0"/>
    <w:rsid w:val="00D74347"/>
    <w:rsid w:val="00D7653B"/>
    <w:rsid w:val="00D76D01"/>
    <w:rsid w:val="00D976D3"/>
    <w:rsid w:val="00DB1C09"/>
    <w:rsid w:val="00DB3875"/>
    <w:rsid w:val="00DB3A04"/>
    <w:rsid w:val="00DB5331"/>
    <w:rsid w:val="00DB7821"/>
    <w:rsid w:val="00DC1216"/>
    <w:rsid w:val="00DC1369"/>
    <w:rsid w:val="00DC2A30"/>
    <w:rsid w:val="00DC3ED5"/>
    <w:rsid w:val="00DC5662"/>
    <w:rsid w:val="00DD13EE"/>
    <w:rsid w:val="00DD3878"/>
    <w:rsid w:val="00DD4773"/>
    <w:rsid w:val="00DD5EB9"/>
    <w:rsid w:val="00DE1F43"/>
    <w:rsid w:val="00DE5285"/>
    <w:rsid w:val="00DE61CA"/>
    <w:rsid w:val="00E03D62"/>
    <w:rsid w:val="00E12A82"/>
    <w:rsid w:val="00E1300D"/>
    <w:rsid w:val="00E207A0"/>
    <w:rsid w:val="00E305E7"/>
    <w:rsid w:val="00E31887"/>
    <w:rsid w:val="00E3380F"/>
    <w:rsid w:val="00E359EF"/>
    <w:rsid w:val="00E37EE0"/>
    <w:rsid w:val="00E42550"/>
    <w:rsid w:val="00E42FE3"/>
    <w:rsid w:val="00E45CCB"/>
    <w:rsid w:val="00E61C38"/>
    <w:rsid w:val="00E66A45"/>
    <w:rsid w:val="00E6701E"/>
    <w:rsid w:val="00E7345E"/>
    <w:rsid w:val="00E76363"/>
    <w:rsid w:val="00E841D0"/>
    <w:rsid w:val="00E9670F"/>
    <w:rsid w:val="00EA5E54"/>
    <w:rsid w:val="00EA78FB"/>
    <w:rsid w:val="00EB01B7"/>
    <w:rsid w:val="00EB1D2C"/>
    <w:rsid w:val="00EB551C"/>
    <w:rsid w:val="00EC40D4"/>
    <w:rsid w:val="00ED568B"/>
    <w:rsid w:val="00ED6E93"/>
    <w:rsid w:val="00EF054D"/>
    <w:rsid w:val="00F00471"/>
    <w:rsid w:val="00F12F0A"/>
    <w:rsid w:val="00F13716"/>
    <w:rsid w:val="00F17D87"/>
    <w:rsid w:val="00F23314"/>
    <w:rsid w:val="00F34548"/>
    <w:rsid w:val="00F40A06"/>
    <w:rsid w:val="00F45702"/>
    <w:rsid w:val="00F500B9"/>
    <w:rsid w:val="00F50658"/>
    <w:rsid w:val="00F51CAC"/>
    <w:rsid w:val="00F60B71"/>
    <w:rsid w:val="00F6120B"/>
    <w:rsid w:val="00F61E81"/>
    <w:rsid w:val="00F70FAF"/>
    <w:rsid w:val="00F72D66"/>
    <w:rsid w:val="00F74DB0"/>
    <w:rsid w:val="00F77135"/>
    <w:rsid w:val="00F77689"/>
    <w:rsid w:val="00F84952"/>
    <w:rsid w:val="00F87847"/>
    <w:rsid w:val="00F94D69"/>
    <w:rsid w:val="00FA1C56"/>
    <w:rsid w:val="00FA343A"/>
    <w:rsid w:val="00FB31AC"/>
    <w:rsid w:val="00FB6A46"/>
    <w:rsid w:val="00FC4740"/>
    <w:rsid w:val="00FD144B"/>
    <w:rsid w:val="00FD72C0"/>
    <w:rsid w:val="00FE4E4E"/>
    <w:rsid w:val="00FE6AAE"/>
    <w:rsid w:val="00FF1B6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rsid w:val="006B6053"/>
    <w:pPr>
      <w:numPr>
        <w:numId w:val="1"/>
      </w:numPr>
    </w:pPr>
    <w:rPr>
      <w:rFonts w:eastAsia="Times New Roman"/>
    </w:rPr>
  </w:style>
  <w:style w:type="character" w:styleId="Hyperlink">
    <w:name w:val="Hyperlink"/>
    <w:rsid w:val="006B6053"/>
    <w:rPr>
      <w:color w:val="0000FF"/>
      <w:u w:val="single"/>
      <w:shd w:val="clear" w:color="auto" w:fill="auto"/>
    </w:rPr>
  </w:style>
  <w:style w:type="paragraph" w:customStyle="1" w:styleId="ListNumberLevel2">
    <w:name w:val="List Number (Level 2)"/>
    <w:basedOn w:val="Normal"/>
    <w:rsid w:val="00236A17"/>
    <w:pPr>
      <w:numPr>
        <w:ilvl w:val="1"/>
        <w:numId w:val="2"/>
      </w:numPr>
    </w:pPr>
  </w:style>
  <w:style w:type="paragraph" w:customStyle="1" w:styleId="ListNumberLevel3">
    <w:name w:val="List Number (Level 3)"/>
    <w:basedOn w:val="Normal"/>
    <w:rsid w:val="00236A17"/>
    <w:pPr>
      <w:numPr>
        <w:ilvl w:val="2"/>
        <w:numId w:val="2"/>
      </w:numPr>
    </w:pPr>
  </w:style>
  <w:style w:type="paragraph" w:customStyle="1" w:styleId="ListNumberLevel4">
    <w:name w:val="List Number (Level 4)"/>
    <w:basedOn w:val="Normal"/>
    <w:rsid w:val="00236A17"/>
    <w:pPr>
      <w:numPr>
        <w:ilvl w:val="3"/>
        <w:numId w:val="2"/>
      </w:numPr>
    </w:pPr>
  </w:style>
  <w:style w:type="paragraph" w:styleId="ListParagraph">
    <w:name w:val="List Paragraph"/>
    <w:basedOn w:val="Normal"/>
    <w:uiPriority w:val="34"/>
    <w:qFormat/>
    <w:rsid w:val="00236A17"/>
    <w:pPr>
      <w:ind w:left="720"/>
      <w:contextualSpacing/>
    </w:pPr>
  </w:style>
  <w:style w:type="paragraph" w:styleId="ListBullet">
    <w:name w:val="List Bullet"/>
    <w:basedOn w:val="Normal"/>
    <w:uiPriority w:val="99"/>
    <w:semiHidden/>
    <w:unhideWhenUsed/>
    <w:rsid w:val="00190515"/>
    <w:pPr>
      <w:numPr>
        <w:numId w:val="3"/>
      </w:numPr>
      <w:contextualSpacing/>
    </w:pPr>
  </w:style>
  <w:style w:type="paragraph" w:styleId="ListBullet2">
    <w:name w:val="List Bullet 2"/>
    <w:basedOn w:val="Normal"/>
    <w:uiPriority w:val="99"/>
    <w:semiHidden/>
    <w:unhideWhenUsed/>
    <w:rsid w:val="00190515"/>
    <w:pPr>
      <w:numPr>
        <w:numId w:val="4"/>
      </w:numPr>
      <w:contextualSpacing/>
    </w:pPr>
  </w:style>
  <w:style w:type="paragraph" w:styleId="ListBullet3">
    <w:name w:val="List Bullet 3"/>
    <w:basedOn w:val="Normal"/>
    <w:uiPriority w:val="99"/>
    <w:semiHidden/>
    <w:unhideWhenUsed/>
    <w:rsid w:val="00190515"/>
    <w:pPr>
      <w:numPr>
        <w:numId w:val="5"/>
      </w:numPr>
      <w:contextualSpacing/>
    </w:pPr>
  </w:style>
  <w:style w:type="paragraph" w:styleId="ListBullet4">
    <w:name w:val="List Bullet 4"/>
    <w:basedOn w:val="Normal"/>
    <w:uiPriority w:val="99"/>
    <w:semiHidden/>
    <w:unhideWhenUsed/>
    <w:rsid w:val="00190515"/>
    <w:pPr>
      <w:numPr>
        <w:numId w:val="6"/>
      </w:numPr>
      <w:contextualSpacing/>
    </w:pPr>
  </w:style>
  <w:style w:type="paragraph" w:styleId="BalloonText">
    <w:name w:val="Balloon Text"/>
    <w:basedOn w:val="Normal"/>
    <w:link w:val="BalloonTextChar"/>
    <w:uiPriority w:val="99"/>
    <w:semiHidden/>
    <w:unhideWhenUsed/>
    <w:rsid w:val="00017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6E"/>
    <w:rPr>
      <w:rFonts w:ascii="Tahoma" w:hAnsi="Tahoma" w:cs="Tahoma"/>
      <w:sz w:val="16"/>
      <w:szCs w:val="16"/>
      <w:lang w:val="el-GR"/>
    </w:rPr>
  </w:style>
  <w:style w:type="character" w:styleId="CommentReference">
    <w:name w:val="annotation reference"/>
    <w:basedOn w:val="DefaultParagraphFont"/>
    <w:uiPriority w:val="99"/>
    <w:semiHidden/>
    <w:unhideWhenUsed/>
    <w:rsid w:val="00BE7C8B"/>
    <w:rPr>
      <w:sz w:val="16"/>
      <w:szCs w:val="16"/>
    </w:rPr>
  </w:style>
  <w:style w:type="paragraph" w:styleId="CommentText">
    <w:name w:val="annotation text"/>
    <w:basedOn w:val="Normal"/>
    <w:link w:val="CommentTextChar"/>
    <w:uiPriority w:val="99"/>
    <w:unhideWhenUsed/>
    <w:rsid w:val="00BE7C8B"/>
    <w:rPr>
      <w:sz w:val="20"/>
      <w:szCs w:val="20"/>
    </w:rPr>
  </w:style>
  <w:style w:type="character" w:customStyle="1" w:styleId="CommentTextChar">
    <w:name w:val="Comment Text Char"/>
    <w:basedOn w:val="DefaultParagraphFont"/>
    <w:link w:val="CommentText"/>
    <w:uiPriority w:val="99"/>
    <w:rsid w:val="00BE7C8B"/>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BE7C8B"/>
    <w:rPr>
      <w:b/>
      <w:bCs/>
    </w:rPr>
  </w:style>
  <w:style w:type="character" w:customStyle="1" w:styleId="CommentSubjectChar">
    <w:name w:val="Comment Subject Char"/>
    <w:basedOn w:val="CommentTextChar"/>
    <w:link w:val="CommentSubject"/>
    <w:uiPriority w:val="99"/>
    <w:semiHidden/>
    <w:rsid w:val="00BE7C8B"/>
    <w:rPr>
      <w:rFonts w:ascii="Times New Roman" w:hAnsi="Times New Roman" w:cs="Times New Roman"/>
      <w:b/>
      <w:bCs/>
      <w:sz w:val="20"/>
      <w:szCs w:val="20"/>
      <w:lang w:val="el-GR"/>
    </w:rPr>
  </w:style>
  <w:style w:type="paragraph" w:customStyle="1" w:styleId="Default">
    <w:name w:val="Default"/>
    <w:rsid w:val="00E207A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5B6D"/>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rsid w:val="004F7BDE"/>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4F7BDE"/>
    <w:pPr>
      <w:spacing w:after="0"/>
    </w:pPr>
  </w:style>
  <w:style w:type="paragraph" w:styleId="ListNumber">
    <w:name w:val="List Number"/>
    <w:basedOn w:val="Normal"/>
    <w:uiPriority w:val="99"/>
    <w:semiHidden/>
    <w:unhideWhenUsed/>
    <w:rsid w:val="004F7BDE"/>
    <w:pPr>
      <w:numPr>
        <w:numId w:val="7"/>
      </w:numPr>
      <w:contextualSpacing/>
    </w:pPr>
  </w:style>
  <w:style w:type="paragraph" w:styleId="ListNumber2">
    <w:name w:val="List Number 2"/>
    <w:basedOn w:val="Normal"/>
    <w:uiPriority w:val="99"/>
    <w:semiHidden/>
    <w:unhideWhenUsed/>
    <w:rsid w:val="004F7BDE"/>
    <w:pPr>
      <w:numPr>
        <w:numId w:val="8"/>
      </w:numPr>
      <w:contextualSpacing/>
    </w:pPr>
  </w:style>
  <w:style w:type="paragraph" w:styleId="ListNumber3">
    <w:name w:val="List Number 3"/>
    <w:basedOn w:val="Normal"/>
    <w:uiPriority w:val="99"/>
    <w:semiHidden/>
    <w:unhideWhenUsed/>
    <w:rsid w:val="004F7BDE"/>
    <w:pPr>
      <w:numPr>
        <w:numId w:val="9"/>
      </w:numPr>
      <w:contextualSpacing/>
    </w:pPr>
  </w:style>
  <w:style w:type="paragraph" w:customStyle="1" w:styleId="CM1">
    <w:name w:val="CM1"/>
    <w:basedOn w:val="Default"/>
    <w:next w:val="Default"/>
    <w:uiPriority w:val="99"/>
    <w:rsid w:val="008B3F67"/>
    <w:rPr>
      <w:color w:val="auto"/>
    </w:rPr>
  </w:style>
  <w:style w:type="paragraph" w:customStyle="1" w:styleId="CM3">
    <w:name w:val="CM3"/>
    <w:basedOn w:val="Default"/>
    <w:next w:val="Default"/>
    <w:uiPriority w:val="99"/>
    <w:rsid w:val="008B3F67"/>
    <w:rPr>
      <w:color w:val="auto"/>
    </w:rPr>
  </w:style>
  <w:style w:type="paragraph" w:styleId="Header">
    <w:name w:val="header"/>
    <w:basedOn w:val="Normal"/>
    <w:link w:val="HeaderChar"/>
    <w:uiPriority w:val="99"/>
    <w:unhideWhenUsed/>
    <w:rsid w:val="006A631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A631A"/>
    <w:rPr>
      <w:rFonts w:ascii="Times New Roman" w:hAnsi="Times New Roman" w:cs="Times New Roman"/>
      <w:sz w:val="24"/>
      <w:lang w:eastAsia="en-US" w:bidi="ar-SA"/>
    </w:rPr>
  </w:style>
  <w:style w:type="paragraph" w:styleId="Footer">
    <w:name w:val="footer"/>
    <w:basedOn w:val="Normal"/>
    <w:link w:val="FooterChar"/>
    <w:uiPriority w:val="99"/>
    <w:unhideWhenUsed/>
    <w:rsid w:val="006A631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A631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6A631A"/>
    <w:pPr>
      <w:tabs>
        <w:tab w:val="center" w:pos="7285"/>
        <w:tab w:val="right" w:pos="14003"/>
      </w:tabs>
      <w:spacing w:before="0"/>
    </w:pPr>
    <w:rPr>
      <w:lang w:eastAsia="en-US" w:bidi="ar-SA"/>
    </w:rPr>
  </w:style>
  <w:style w:type="paragraph" w:customStyle="1" w:styleId="FooterLandscape">
    <w:name w:val="FooterLandscape"/>
    <w:basedOn w:val="Normal"/>
    <w:rsid w:val="006A631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6A631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A631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4"/>
      </w:numPr>
    </w:pPr>
  </w:style>
  <w:style w:type="paragraph" w:customStyle="1" w:styleId="Tiret1">
    <w:name w:val="Tiret 1"/>
    <w:basedOn w:val="Point1"/>
    <w:rsid w:val="00877878"/>
    <w:pPr>
      <w:numPr>
        <w:numId w:val="15"/>
      </w:numPr>
    </w:pPr>
  </w:style>
  <w:style w:type="paragraph" w:customStyle="1" w:styleId="Tiret2">
    <w:name w:val="Tiret 2"/>
    <w:basedOn w:val="Point2"/>
    <w:rsid w:val="00877878"/>
    <w:pPr>
      <w:numPr>
        <w:numId w:val="16"/>
      </w:numPr>
    </w:pPr>
  </w:style>
  <w:style w:type="paragraph" w:customStyle="1" w:styleId="Tiret3">
    <w:name w:val="Tiret 3"/>
    <w:basedOn w:val="Point3"/>
    <w:rsid w:val="00877878"/>
    <w:pPr>
      <w:numPr>
        <w:numId w:val="17"/>
      </w:numPr>
    </w:pPr>
  </w:style>
  <w:style w:type="paragraph" w:customStyle="1" w:styleId="Tiret4">
    <w:name w:val="Tiret 4"/>
    <w:basedOn w:val="Point4"/>
    <w:rsid w:val="00877878"/>
    <w:pPr>
      <w:numPr>
        <w:numId w:val="18"/>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9"/>
      </w:numPr>
    </w:pPr>
  </w:style>
  <w:style w:type="paragraph" w:customStyle="1" w:styleId="NumPar2">
    <w:name w:val="NumPar 2"/>
    <w:basedOn w:val="Normal"/>
    <w:next w:val="Text1"/>
    <w:rsid w:val="00877878"/>
    <w:pPr>
      <w:numPr>
        <w:ilvl w:val="1"/>
        <w:numId w:val="19"/>
      </w:numPr>
    </w:pPr>
  </w:style>
  <w:style w:type="paragraph" w:customStyle="1" w:styleId="NumPar3">
    <w:name w:val="NumPar 3"/>
    <w:basedOn w:val="Normal"/>
    <w:next w:val="Text1"/>
    <w:rsid w:val="00877878"/>
    <w:pPr>
      <w:numPr>
        <w:ilvl w:val="2"/>
        <w:numId w:val="19"/>
      </w:numPr>
    </w:pPr>
  </w:style>
  <w:style w:type="paragraph" w:customStyle="1" w:styleId="NumPar4">
    <w:name w:val="NumPar 4"/>
    <w:basedOn w:val="Normal"/>
    <w:next w:val="Text1"/>
    <w:rsid w:val="00877878"/>
    <w:pPr>
      <w:numPr>
        <w:ilvl w:val="3"/>
        <w:numId w:val="19"/>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1"/>
      </w:numPr>
    </w:pPr>
  </w:style>
  <w:style w:type="paragraph" w:customStyle="1" w:styleId="Point1number">
    <w:name w:val="Point 1 (number)"/>
    <w:basedOn w:val="Normal"/>
    <w:rsid w:val="00877878"/>
    <w:pPr>
      <w:numPr>
        <w:ilvl w:val="2"/>
        <w:numId w:val="21"/>
      </w:numPr>
    </w:pPr>
  </w:style>
  <w:style w:type="paragraph" w:customStyle="1" w:styleId="Point2number">
    <w:name w:val="Point 2 (number)"/>
    <w:basedOn w:val="Normal"/>
    <w:rsid w:val="00877878"/>
    <w:pPr>
      <w:numPr>
        <w:ilvl w:val="4"/>
        <w:numId w:val="21"/>
      </w:numPr>
    </w:pPr>
  </w:style>
  <w:style w:type="paragraph" w:customStyle="1" w:styleId="Point3number">
    <w:name w:val="Point 3 (number)"/>
    <w:basedOn w:val="Normal"/>
    <w:rsid w:val="00877878"/>
    <w:pPr>
      <w:numPr>
        <w:ilvl w:val="6"/>
        <w:numId w:val="21"/>
      </w:numPr>
    </w:pPr>
  </w:style>
  <w:style w:type="paragraph" w:customStyle="1" w:styleId="Point0letter">
    <w:name w:val="Point 0 (letter)"/>
    <w:basedOn w:val="Normal"/>
    <w:rsid w:val="00877878"/>
    <w:pPr>
      <w:numPr>
        <w:ilvl w:val="1"/>
        <w:numId w:val="21"/>
      </w:numPr>
    </w:pPr>
  </w:style>
  <w:style w:type="paragraph" w:customStyle="1" w:styleId="Point1letter">
    <w:name w:val="Point 1 (letter)"/>
    <w:basedOn w:val="Normal"/>
    <w:rsid w:val="00877878"/>
    <w:pPr>
      <w:numPr>
        <w:ilvl w:val="3"/>
        <w:numId w:val="21"/>
      </w:numPr>
    </w:pPr>
  </w:style>
  <w:style w:type="paragraph" w:customStyle="1" w:styleId="Point2letter">
    <w:name w:val="Point 2 (letter)"/>
    <w:basedOn w:val="Normal"/>
    <w:rsid w:val="00877878"/>
    <w:pPr>
      <w:numPr>
        <w:ilvl w:val="5"/>
        <w:numId w:val="21"/>
      </w:numPr>
    </w:pPr>
  </w:style>
  <w:style w:type="paragraph" w:customStyle="1" w:styleId="Point3letter">
    <w:name w:val="Point 3 (letter)"/>
    <w:basedOn w:val="Normal"/>
    <w:rsid w:val="00877878"/>
    <w:pPr>
      <w:numPr>
        <w:ilvl w:val="7"/>
        <w:numId w:val="21"/>
      </w:numPr>
    </w:pPr>
  </w:style>
  <w:style w:type="paragraph" w:customStyle="1" w:styleId="Point4letter">
    <w:name w:val="Point 4 (letter)"/>
    <w:basedOn w:val="Normal"/>
    <w:rsid w:val="00877878"/>
    <w:pPr>
      <w:numPr>
        <w:ilvl w:val="8"/>
        <w:numId w:val="21"/>
      </w:numPr>
    </w:pPr>
  </w:style>
  <w:style w:type="paragraph" w:customStyle="1" w:styleId="Bullet0">
    <w:name w:val="Bullet 0"/>
    <w:basedOn w:val="Normal"/>
    <w:rsid w:val="00877878"/>
    <w:pPr>
      <w:numPr>
        <w:numId w:val="22"/>
      </w:numPr>
    </w:pPr>
  </w:style>
  <w:style w:type="paragraph" w:customStyle="1" w:styleId="Bullet1">
    <w:name w:val="Bullet 1"/>
    <w:basedOn w:val="Normal"/>
    <w:rsid w:val="00877878"/>
    <w:pPr>
      <w:numPr>
        <w:numId w:val="23"/>
      </w:numPr>
    </w:pPr>
  </w:style>
  <w:style w:type="paragraph" w:customStyle="1" w:styleId="Bullet2">
    <w:name w:val="Bullet 2"/>
    <w:basedOn w:val="Normal"/>
    <w:rsid w:val="00877878"/>
    <w:pPr>
      <w:numPr>
        <w:numId w:val="24"/>
      </w:numPr>
    </w:pPr>
  </w:style>
  <w:style w:type="paragraph" w:customStyle="1" w:styleId="Bullet3">
    <w:name w:val="Bullet 3"/>
    <w:basedOn w:val="Normal"/>
    <w:rsid w:val="00877878"/>
    <w:pPr>
      <w:numPr>
        <w:numId w:val="25"/>
      </w:numPr>
    </w:pPr>
  </w:style>
  <w:style w:type="paragraph" w:customStyle="1" w:styleId="Bullet4">
    <w:name w:val="Bullet 4"/>
    <w:basedOn w:val="Normal"/>
    <w:rsid w:val="00877878"/>
    <w:pPr>
      <w:numPr>
        <w:numId w:val="26"/>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7"/>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rsid w:val="006B6053"/>
    <w:pPr>
      <w:numPr>
        <w:numId w:val="1"/>
      </w:numPr>
    </w:pPr>
    <w:rPr>
      <w:rFonts w:eastAsia="Times New Roman"/>
    </w:rPr>
  </w:style>
  <w:style w:type="character" w:styleId="Hyperlink">
    <w:name w:val="Hyperlink"/>
    <w:rsid w:val="006B6053"/>
    <w:rPr>
      <w:color w:val="0000FF"/>
      <w:u w:val="single"/>
      <w:shd w:val="clear" w:color="auto" w:fill="auto"/>
    </w:rPr>
  </w:style>
  <w:style w:type="paragraph" w:customStyle="1" w:styleId="ListNumberLevel2">
    <w:name w:val="List Number (Level 2)"/>
    <w:basedOn w:val="Normal"/>
    <w:rsid w:val="00236A17"/>
    <w:pPr>
      <w:numPr>
        <w:ilvl w:val="1"/>
        <w:numId w:val="2"/>
      </w:numPr>
    </w:pPr>
  </w:style>
  <w:style w:type="paragraph" w:customStyle="1" w:styleId="ListNumberLevel3">
    <w:name w:val="List Number (Level 3)"/>
    <w:basedOn w:val="Normal"/>
    <w:rsid w:val="00236A17"/>
    <w:pPr>
      <w:numPr>
        <w:ilvl w:val="2"/>
        <w:numId w:val="2"/>
      </w:numPr>
    </w:pPr>
  </w:style>
  <w:style w:type="paragraph" w:customStyle="1" w:styleId="ListNumberLevel4">
    <w:name w:val="List Number (Level 4)"/>
    <w:basedOn w:val="Normal"/>
    <w:rsid w:val="00236A17"/>
    <w:pPr>
      <w:numPr>
        <w:ilvl w:val="3"/>
        <w:numId w:val="2"/>
      </w:numPr>
    </w:pPr>
  </w:style>
  <w:style w:type="paragraph" w:styleId="ListParagraph">
    <w:name w:val="List Paragraph"/>
    <w:basedOn w:val="Normal"/>
    <w:uiPriority w:val="34"/>
    <w:qFormat/>
    <w:rsid w:val="00236A17"/>
    <w:pPr>
      <w:ind w:left="720"/>
      <w:contextualSpacing/>
    </w:pPr>
  </w:style>
  <w:style w:type="paragraph" w:styleId="ListBullet">
    <w:name w:val="List Bullet"/>
    <w:basedOn w:val="Normal"/>
    <w:uiPriority w:val="99"/>
    <w:semiHidden/>
    <w:unhideWhenUsed/>
    <w:rsid w:val="00190515"/>
    <w:pPr>
      <w:numPr>
        <w:numId w:val="3"/>
      </w:numPr>
      <w:contextualSpacing/>
    </w:pPr>
  </w:style>
  <w:style w:type="paragraph" w:styleId="ListBullet2">
    <w:name w:val="List Bullet 2"/>
    <w:basedOn w:val="Normal"/>
    <w:uiPriority w:val="99"/>
    <w:semiHidden/>
    <w:unhideWhenUsed/>
    <w:rsid w:val="00190515"/>
    <w:pPr>
      <w:numPr>
        <w:numId w:val="4"/>
      </w:numPr>
      <w:contextualSpacing/>
    </w:pPr>
  </w:style>
  <w:style w:type="paragraph" w:styleId="ListBullet3">
    <w:name w:val="List Bullet 3"/>
    <w:basedOn w:val="Normal"/>
    <w:uiPriority w:val="99"/>
    <w:semiHidden/>
    <w:unhideWhenUsed/>
    <w:rsid w:val="00190515"/>
    <w:pPr>
      <w:numPr>
        <w:numId w:val="5"/>
      </w:numPr>
      <w:contextualSpacing/>
    </w:pPr>
  </w:style>
  <w:style w:type="paragraph" w:styleId="ListBullet4">
    <w:name w:val="List Bullet 4"/>
    <w:basedOn w:val="Normal"/>
    <w:uiPriority w:val="99"/>
    <w:semiHidden/>
    <w:unhideWhenUsed/>
    <w:rsid w:val="00190515"/>
    <w:pPr>
      <w:numPr>
        <w:numId w:val="6"/>
      </w:numPr>
      <w:contextualSpacing/>
    </w:pPr>
  </w:style>
  <w:style w:type="paragraph" w:styleId="BalloonText">
    <w:name w:val="Balloon Text"/>
    <w:basedOn w:val="Normal"/>
    <w:link w:val="BalloonTextChar"/>
    <w:uiPriority w:val="99"/>
    <w:semiHidden/>
    <w:unhideWhenUsed/>
    <w:rsid w:val="00017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6E"/>
    <w:rPr>
      <w:rFonts w:ascii="Tahoma" w:hAnsi="Tahoma" w:cs="Tahoma"/>
      <w:sz w:val="16"/>
      <w:szCs w:val="16"/>
      <w:lang w:val="el-GR"/>
    </w:rPr>
  </w:style>
  <w:style w:type="character" w:styleId="CommentReference">
    <w:name w:val="annotation reference"/>
    <w:basedOn w:val="DefaultParagraphFont"/>
    <w:uiPriority w:val="99"/>
    <w:semiHidden/>
    <w:unhideWhenUsed/>
    <w:rsid w:val="00BE7C8B"/>
    <w:rPr>
      <w:sz w:val="16"/>
      <w:szCs w:val="16"/>
    </w:rPr>
  </w:style>
  <w:style w:type="paragraph" w:styleId="CommentText">
    <w:name w:val="annotation text"/>
    <w:basedOn w:val="Normal"/>
    <w:link w:val="CommentTextChar"/>
    <w:uiPriority w:val="99"/>
    <w:unhideWhenUsed/>
    <w:rsid w:val="00BE7C8B"/>
    <w:rPr>
      <w:sz w:val="20"/>
      <w:szCs w:val="20"/>
    </w:rPr>
  </w:style>
  <w:style w:type="character" w:customStyle="1" w:styleId="CommentTextChar">
    <w:name w:val="Comment Text Char"/>
    <w:basedOn w:val="DefaultParagraphFont"/>
    <w:link w:val="CommentText"/>
    <w:uiPriority w:val="99"/>
    <w:rsid w:val="00BE7C8B"/>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BE7C8B"/>
    <w:rPr>
      <w:b/>
      <w:bCs/>
    </w:rPr>
  </w:style>
  <w:style w:type="character" w:customStyle="1" w:styleId="CommentSubjectChar">
    <w:name w:val="Comment Subject Char"/>
    <w:basedOn w:val="CommentTextChar"/>
    <w:link w:val="CommentSubject"/>
    <w:uiPriority w:val="99"/>
    <w:semiHidden/>
    <w:rsid w:val="00BE7C8B"/>
    <w:rPr>
      <w:rFonts w:ascii="Times New Roman" w:hAnsi="Times New Roman" w:cs="Times New Roman"/>
      <w:b/>
      <w:bCs/>
      <w:sz w:val="20"/>
      <w:szCs w:val="20"/>
      <w:lang w:val="el-GR"/>
    </w:rPr>
  </w:style>
  <w:style w:type="paragraph" w:customStyle="1" w:styleId="Default">
    <w:name w:val="Default"/>
    <w:rsid w:val="00E207A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5B6D"/>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rsid w:val="004F7BDE"/>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4F7BDE"/>
    <w:pPr>
      <w:spacing w:after="0"/>
    </w:pPr>
  </w:style>
  <w:style w:type="paragraph" w:styleId="ListNumber">
    <w:name w:val="List Number"/>
    <w:basedOn w:val="Normal"/>
    <w:uiPriority w:val="99"/>
    <w:semiHidden/>
    <w:unhideWhenUsed/>
    <w:rsid w:val="004F7BDE"/>
    <w:pPr>
      <w:numPr>
        <w:numId w:val="7"/>
      </w:numPr>
      <w:contextualSpacing/>
    </w:pPr>
  </w:style>
  <w:style w:type="paragraph" w:styleId="ListNumber2">
    <w:name w:val="List Number 2"/>
    <w:basedOn w:val="Normal"/>
    <w:uiPriority w:val="99"/>
    <w:semiHidden/>
    <w:unhideWhenUsed/>
    <w:rsid w:val="004F7BDE"/>
    <w:pPr>
      <w:numPr>
        <w:numId w:val="8"/>
      </w:numPr>
      <w:contextualSpacing/>
    </w:pPr>
  </w:style>
  <w:style w:type="paragraph" w:styleId="ListNumber3">
    <w:name w:val="List Number 3"/>
    <w:basedOn w:val="Normal"/>
    <w:uiPriority w:val="99"/>
    <w:semiHidden/>
    <w:unhideWhenUsed/>
    <w:rsid w:val="004F7BDE"/>
    <w:pPr>
      <w:numPr>
        <w:numId w:val="9"/>
      </w:numPr>
      <w:contextualSpacing/>
    </w:pPr>
  </w:style>
  <w:style w:type="paragraph" w:customStyle="1" w:styleId="CM1">
    <w:name w:val="CM1"/>
    <w:basedOn w:val="Default"/>
    <w:next w:val="Default"/>
    <w:uiPriority w:val="99"/>
    <w:rsid w:val="008B3F67"/>
    <w:rPr>
      <w:color w:val="auto"/>
    </w:rPr>
  </w:style>
  <w:style w:type="paragraph" w:customStyle="1" w:styleId="CM3">
    <w:name w:val="CM3"/>
    <w:basedOn w:val="Default"/>
    <w:next w:val="Default"/>
    <w:uiPriority w:val="99"/>
    <w:rsid w:val="008B3F67"/>
    <w:rPr>
      <w:color w:val="auto"/>
    </w:rPr>
  </w:style>
  <w:style w:type="paragraph" w:styleId="Header">
    <w:name w:val="header"/>
    <w:basedOn w:val="Normal"/>
    <w:link w:val="HeaderChar"/>
    <w:uiPriority w:val="99"/>
    <w:unhideWhenUsed/>
    <w:rsid w:val="006A631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A631A"/>
    <w:rPr>
      <w:rFonts w:ascii="Times New Roman" w:hAnsi="Times New Roman" w:cs="Times New Roman"/>
      <w:sz w:val="24"/>
      <w:lang w:eastAsia="en-US" w:bidi="ar-SA"/>
    </w:rPr>
  </w:style>
  <w:style w:type="paragraph" w:styleId="Footer">
    <w:name w:val="footer"/>
    <w:basedOn w:val="Normal"/>
    <w:link w:val="FooterChar"/>
    <w:uiPriority w:val="99"/>
    <w:unhideWhenUsed/>
    <w:rsid w:val="006A631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A631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6A631A"/>
    <w:pPr>
      <w:tabs>
        <w:tab w:val="center" w:pos="7285"/>
        <w:tab w:val="right" w:pos="14003"/>
      </w:tabs>
      <w:spacing w:before="0"/>
    </w:pPr>
    <w:rPr>
      <w:lang w:eastAsia="en-US" w:bidi="ar-SA"/>
    </w:rPr>
  </w:style>
  <w:style w:type="paragraph" w:customStyle="1" w:styleId="FooterLandscape">
    <w:name w:val="FooterLandscape"/>
    <w:basedOn w:val="Normal"/>
    <w:rsid w:val="006A631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6A631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A631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4"/>
      </w:numPr>
    </w:pPr>
  </w:style>
  <w:style w:type="paragraph" w:customStyle="1" w:styleId="Tiret1">
    <w:name w:val="Tiret 1"/>
    <w:basedOn w:val="Point1"/>
    <w:rsid w:val="00877878"/>
    <w:pPr>
      <w:numPr>
        <w:numId w:val="15"/>
      </w:numPr>
    </w:pPr>
  </w:style>
  <w:style w:type="paragraph" w:customStyle="1" w:styleId="Tiret2">
    <w:name w:val="Tiret 2"/>
    <w:basedOn w:val="Point2"/>
    <w:rsid w:val="00877878"/>
    <w:pPr>
      <w:numPr>
        <w:numId w:val="16"/>
      </w:numPr>
    </w:pPr>
  </w:style>
  <w:style w:type="paragraph" w:customStyle="1" w:styleId="Tiret3">
    <w:name w:val="Tiret 3"/>
    <w:basedOn w:val="Point3"/>
    <w:rsid w:val="00877878"/>
    <w:pPr>
      <w:numPr>
        <w:numId w:val="17"/>
      </w:numPr>
    </w:pPr>
  </w:style>
  <w:style w:type="paragraph" w:customStyle="1" w:styleId="Tiret4">
    <w:name w:val="Tiret 4"/>
    <w:basedOn w:val="Point4"/>
    <w:rsid w:val="00877878"/>
    <w:pPr>
      <w:numPr>
        <w:numId w:val="18"/>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9"/>
      </w:numPr>
    </w:pPr>
  </w:style>
  <w:style w:type="paragraph" w:customStyle="1" w:styleId="NumPar2">
    <w:name w:val="NumPar 2"/>
    <w:basedOn w:val="Normal"/>
    <w:next w:val="Text1"/>
    <w:rsid w:val="00877878"/>
    <w:pPr>
      <w:numPr>
        <w:ilvl w:val="1"/>
        <w:numId w:val="19"/>
      </w:numPr>
    </w:pPr>
  </w:style>
  <w:style w:type="paragraph" w:customStyle="1" w:styleId="NumPar3">
    <w:name w:val="NumPar 3"/>
    <w:basedOn w:val="Normal"/>
    <w:next w:val="Text1"/>
    <w:rsid w:val="00877878"/>
    <w:pPr>
      <w:numPr>
        <w:ilvl w:val="2"/>
        <w:numId w:val="19"/>
      </w:numPr>
    </w:pPr>
  </w:style>
  <w:style w:type="paragraph" w:customStyle="1" w:styleId="NumPar4">
    <w:name w:val="NumPar 4"/>
    <w:basedOn w:val="Normal"/>
    <w:next w:val="Text1"/>
    <w:rsid w:val="00877878"/>
    <w:pPr>
      <w:numPr>
        <w:ilvl w:val="3"/>
        <w:numId w:val="19"/>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1"/>
      </w:numPr>
    </w:pPr>
  </w:style>
  <w:style w:type="paragraph" w:customStyle="1" w:styleId="Point1number">
    <w:name w:val="Point 1 (number)"/>
    <w:basedOn w:val="Normal"/>
    <w:rsid w:val="00877878"/>
    <w:pPr>
      <w:numPr>
        <w:ilvl w:val="2"/>
        <w:numId w:val="21"/>
      </w:numPr>
    </w:pPr>
  </w:style>
  <w:style w:type="paragraph" w:customStyle="1" w:styleId="Point2number">
    <w:name w:val="Point 2 (number)"/>
    <w:basedOn w:val="Normal"/>
    <w:rsid w:val="00877878"/>
    <w:pPr>
      <w:numPr>
        <w:ilvl w:val="4"/>
        <w:numId w:val="21"/>
      </w:numPr>
    </w:pPr>
  </w:style>
  <w:style w:type="paragraph" w:customStyle="1" w:styleId="Point3number">
    <w:name w:val="Point 3 (number)"/>
    <w:basedOn w:val="Normal"/>
    <w:rsid w:val="00877878"/>
    <w:pPr>
      <w:numPr>
        <w:ilvl w:val="6"/>
        <w:numId w:val="21"/>
      </w:numPr>
    </w:pPr>
  </w:style>
  <w:style w:type="paragraph" w:customStyle="1" w:styleId="Point0letter">
    <w:name w:val="Point 0 (letter)"/>
    <w:basedOn w:val="Normal"/>
    <w:rsid w:val="00877878"/>
    <w:pPr>
      <w:numPr>
        <w:ilvl w:val="1"/>
        <w:numId w:val="21"/>
      </w:numPr>
    </w:pPr>
  </w:style>
  <w:style w:type="paragraph" w:customStyle="1" w:styleId="Point1letter">
    <w:name w:val="Point 1 (letter)"/>
    <w:basedOn w:val="Normal"/>
    <w:rsid w:val="00877878"/>
    <w:pPr>
      <w:numPr>
        <w:ilvl w:val="3"/>
        <w:numId w:val="21"/>
      </w:numPr>
    </w:pPr>
  </w:style>
  <w:style w:type="paragraph" w:customStyle="1" w:styleId="Point2letter">
    <w:name w:val="Point 2 (letter)"/>
    <w:basedOn w:val="Normal"/>
    <w:rsid w:val="00877878"/>
    <w:pPr>
      <w:numPr>
        <w:ilvl w:val="5"/>
        <w:numId w:val="21"/>
      </w:numPr>
    </w:pPr>
  </w:style>
  <w:style w:type="paragraph" w:customStyle="1" w:styleId="Point3letter">
    <w:name w:val="Point 3 (letter)"/>
    <w:basedOn w:val="Normal"/>
    <w:rsid w:val="00877878"/>
    <w:pPr>
      <w:numPr>
        <w:ilvl w:val="7"/>
        <w:numId w:val="21"/>
      </w:numPr>
    </w:pPr>
  </w:style>
  <w:style w:type="paragraph" w:customStyle="1" w:styleId="Point4letter">
    <w:name w:val="Point 4 (letter)"/>
    <w:basedOn w:val="Normal"/>
    <w:rsid w:val="00877878"/>
    <w:pPr>
      <w:numPr>
        <w:ilvl w:val="8"/>
        <w:numId w:val="21"/>
      </w:numPr>
    </w:pPr>
  </w:style>
  <w:style w:type="paragraph" w:customStyle="1" w:styleId="Bullet0">
    <w:name w:val="Bullet 0"/>
    <w:basedOn w:val="Normal"/>
    <w:rsid w:val="00877878"/>
    <w:pPr>
      <w:numPr>
        <w:numId w:val="22"/>
      </w:numPr>
    </w:pPr>
  </w:style>
  <w:style w:type="paragraph" w:customStyle="1" w:styleId="Bullet1">
    <w:name w:val="Bullet 1"/>
    <w:basedOn w:val="Normal"/>
    <w:rsid w:val="00877878"/>
    <w:pPr>
      <w:numPr>
        <w:numId w:val="23"/>
      </w:numPr>
    </w:pPr>
  </w:style>
  <w:style w:type="paragraph" w:customStyle="1" w:styleId="Bullet2">
    <w:name w:val="Bullet 2"/>
    <w:basedOn w:val="Normal"/>
    <w:rsid w:val="00877878"/>
    <w:pPr>
      <w:numPr>
        <w:numId w:val="24"/>
      </w:numPr>
    </w:pPr>
  </w:style>
  <w:style w:type="paragraph" w:customStyle="1" w:styleId="Bullet3">
    <w:name w:val="Bullet 3"/>
    <w:basedOn w:val="Normal"/>
    <w:rsid w:val="00877878"/>
    <w:pPr>
      <w:numPr>
        <w:numId w:val="25"/>
      </w:numPr>
    </w:pPr>
  </w:style>
  <w:style w:type="paragraph" w:customStyle="1" w:styleId="Bullet4">
    <w:name w:val="Bullet 4"/>
    <w:basedOn w:val="Normal"/>
    <w:rsid w:val="00877878"/>
    <w:pPr>
      <w:numPr>
        <w:numId w:val="26"/>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7"/>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5213">
      <w:bodyDiv w:val="1"/>
      <w:marLeft w:val="0"/>
      <w:marRight w:val="0"/>
      <w:marTop w:val="0"/>
      <w:marBottom w:val="0"/>
      <w:divBdr>
        <w:top w:val="none" w:sz="0" w:space="0" w:color="auto"/>
        <w:left w:val="none" w:sz="0" w:space="0" w:color="auto"/>
        <w:bottom w:val="none" w:sz="0" w:space="0" w:color="auto"/>
        <w:right w:val="none" w:sz="0" w:space="0" w:color="auto"/>
      </w:divBdr>
    </w:div>
    <w:div w:id="1502045504">
      <w:bodyDiv w:val="1"/>
      <w:marLeft w:val="0"/>
      <w:marRight w:val="0"/>
      <w:marTop w:val="0"/>
      <w:marBottom w:val="0"/>
      <w:divBdr>
        <w:top w:val="none" w:sz="0" w:space="0" w:color="auto"/>
        <w:left w:val="none" w:sz="0" w:space="0" w:color="auto"/>
        <w:bottom w:val="none" w:sz="0" w:space="0" w:color="auto"/>
        <w:right w:val="none" w:sz="0" w:space="0" w:color="auto"/>
      </w:divBdr>
    </w:div>
    <w:div w:id="15485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2C29-C874-486F-A5B9-19BBB8F0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6580</Words>
  <Characters>39155</Characters>
  <Application>Microsoft Office Word</Application>
  <DocSecurity>0</DocSecurity>
  <Lines>663</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LAGES CARVALHO Patrick (SG)</cp:lastModifiedBy>
  <cp:revision>4</cp:revision>
  <cp:lastPrinted>2018-04-24T09:28:00Z</cp:lastPrinted>
  <dcterms:created xsi:type="dcterms:W3CDTF">2018-05-29T11:04:00Z</dcterms:created>
  <dcterms:modified xsi:type="dcterms:W3CDTF">2018-05-29T16:03:00Z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