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EAACCF-A95A-402D-B1B3-7E7B6258DFE8" style="width:450.6pt;height:423.3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stališču, ki se v imenu Unije zastopa v Skupnem odboru, ustanovljenem s Sporazumom med Evropsko unijo in Švicarsko konfederacijo o povezavi njunih sistemov trgovanja z emisijami toplogrednih plinov, glede predvidenega sprejetja njegovega poslovnika.</w:t>
      </w:r>
    </w:p>
    <w:p>
      <w:pPr>
        <w:pStyle w:val="ManualHeading1"/>
        <w:rPr>
          <w:noProof/>
        </w:rPr>
      </w:pPr>
      <w:r>
        <w:t>2.</w:t>
      </w:r>
      <w:r>
        <w:tab/>
      </w:r>
      <w:r>
        <w:rPr>
          <w:noProof/>
        </w:rPr>
        <w:t>Ozadje predloga</w:t>
      </w:r>
    </w:p>
    <w:p>
      <w:pPr>
        <w:pStyle w:val="ManualHeading2"/>
        <w:rPr>
          <w:noProof/>
        </w:rPr>
      </w:pPr>
      <w:r>
        <w:t>2.1.</w:t>
      </w:r>
      <w:r>
        <w:tab/>
      </w:r>
      <w:r>
        <w:rPr>
          <w:noProof/>
        </w:rPr>
        <w:t>Sporazum med Evropsko unijo in Švicarsko konfederacijo o povezavi njunih sistemov trgovanja z emisijami toplogrednih plinov</w:t>
      </w:r>
    </w:p>
    <w:p>
      <w:pPr>
        <w:rPr>
          <w:rFonts w:eastAsia="Arial Unicode MS"/>
          <w:noProof/>
        </w:rPr>
      </w:pPr>
      <w:r>
        <w:rPr>
          <w:noProof/>
        </w:rPr>
        <w:t xml:space="preserve">Cilj Sporazuma med Evropsko unijo in Švicarsko konfederacijo o povezavi njunih sistemov trgovanja z emisijami toplogrednih plinov (v nadaljnjem besedilu: Sporazum) je povezati sistem trgovanja z emisijami EU (EU ETS) s švicarskim, tako da se dopusti, da se s pravicami, izdanimi v enem sistemu, lahko trguje in se jih uporablja za skladnost v drugem sistemu, kar širi priložnosti za blažitev podnebnih sprememb. Sporazum je bil podpisan 23. novembra 2017. Začel bo veljati 1. januarja po izmenjavi listin o ratifikaciji ali odobritvi med pogodbenicama. Vendar Sporazum določa, da se členi 11 do 13 uporabljajo začasno od dneva podpisa Sporazuma. </w:t>
      </w:r>
    </w:p>
    <w:p>
      <w:pPr>
        <w:pStyle w:val="ManualHeading2"/>
        <w:rPr>
          <w:noProof/>
        </w:rPr>
      </w:pPr>
      <w:r>
        <w:t>2.2.</w:t>
      </w:r>
      <w:r>
        <w:tab/>
      </w:r>
      <w:r>
        <w:rPr>
          <w:noProof/>
        </w:rPr>
        <w:t>Skupni odbor</w:t>
      </w:r>
    </w:p>
    <w:p>
      <w:pPr>
        <w:rPr>
          <w:rFonts w:eastAsia="Arial Unicode MS"/>
          <w:noProof/>
        </w:rPr>
      </w:pPr>
      <w:r>
        <w:rPr>
          <w:noProof/>
        </w:rPr>
        <w:t>Skupni odbor, ustanovljen s členom 12 Sporazuma, je odgovoren za uresničevanje Sporazuma in zagotavljanje njegovega izvajanja. Lahko sprejme nove priloge k Sporazumu ali spremeni obstoječe. Lahko tudi razpravlja o spremembah členov Sporazuma, spodbuja izmenjavo mnenj o zakonodaji pogodbenic in opravlja preglede Sporazuma.</w:t>
      </w:r>
    </w:p>
    <w:p>
      <w:pPr>
        <w:rPr>
          <w:rFonts w:eastAsia="Arial Unicode MS"/>
          <w:noProof/>
        </w:rPr>
      </w:pPr>
      <w:r>
        <w:rPr>
          <w:noProof/>
        </w:rPr>
        <w:t>Skupni odbor je dvostranski organ, ki ga sestavljajo predstavniki pogodbenic (EU in Švice). Z sklepi, ki jih sprejme Skupni odbor, se strinjata obe pogodbenici.</w:t>
      </w:r>
    </w:p>
    <w:p>
      <w:pPr>
        <w:rPr>
          <w:rFonts w:eastAsia="Arial Unicode MS"/>
          <w:noProof/>
        </w:rPr>
      </w:pPr>
    </w:p>
    <w:p>
      <w:pPr>
        <w:pStyle w:val="ManualHeading2"/>
        <w:rPr>
          <w:noProof/>
        </w:rPr>
      </w:pPr>
      <w:r>
        <w:t>2.3.</w:t>
      </w:r>
      <w:r>
        <w:tab/>
      </w:r>
      <w:r>
        <w:rPr>
          <w:noProof/>
        </w:rPr>
        <w:t xml:space="preserve">Predvideni akti Skupnega odbora </w:t>
      </w:r>
    </w:p>
    <w:p>
      <w:pPr>
        <w:rPr>
          <w:rFonts w:eastAsia="Arial Unicode MS"/>
          <w:noProof/>
        </w:rPr>
      </w:pPr>
      <w:r>
        <w:rPr>
          <w:noProof/>
        </w:rPr>
        <w:t>Skupni odbor bo na prvem sestanku dne 27. junija 2018 predvidoma sprejel svoj poslovnik.</w:t>
      </w:r>
    </w:p>
    <w:p>
      <w:pPr>
        <w:rPr>
          <w:rFonts w:eastAsia="Arial Unicode MS"/>
          <w:noProof/>
        </w:rPr>
      </w:pPr>
      <w:r>
        <w:rPr>
          <w:noProof/>
        </w:rPr>
        <w:t xml:space="preserve">Namen predvidenega akta je določiti pravila, po katerih Skupni odbor deluje in razvija svoje naloge. </w:t>
      </w:r>
    </w:p>
    <w:p>
      <w:pPr>
        <w:rPr>
          <w:rFonts w:eastAsia="Arial Unicode MS"/>
          <w:noProof/>
        </w:rPr>
      </w:pPr>
      <w:r>
        <w:rPr>
          <w:noProof/>
        </w:rPr>
        <w:t xml:space="preserve">Člen 12(4) Sporazuma določa, da Skupni odbor sprejme svoj poslovnik. </w:t>
      </w:r>
    </w:p>
    <w:p>
      <w:pPr>
        <w:pStyle w:val="ManualHeading1"/>
        <w:rPr>
          <w:rFonts w:eastAsia="Arial Unicode MS"/>
          <w:noProof/>
        </w:rPr>
      </w:pPr>
      <w:r>
        <w:t>3.</w:t>
      </w:r>
      <w:r>
        <w:tab/>
      </w:r>
      <w:r>
        <w:rPr>
          <w:noProof/>
        </w:rPr>
        <w:t>Stališče, ki se zavzame v imenu Unije</w:t>
      </w:r>
    </w:p>
    <w:p>
      <w:pPr>
        <w:rPr>
          <w:noProof/>
        </w:rPr>
      </w:pPr>
      <w:r>
        <w:rPr>
          <w:noProof/>
        </w:rPr>
        <w:t>Predlog določa stališče Unije v zvezi s sprejetjem poslovnika Skupnega odbora. Osnutek poslovnika vsebuje standardne določbe, ki urejajo delovanje organa: sestavo, vodenje in tajniške funkcije, pravila o bodočih zasedanjih, določanje dnevnega reda, sprejemanje sklepov itd. Zagotavlja tudi možnost oblikovanja delovnih skupin v skladu s členom 12(5) Sporazuma.</w:t>
      </w:r>
    </w:p>
    <w:p>
      <w:pPr>
        <w:rPr>
          <w:rFonts w:eastAsia="Arial Unicode MS"/>
          <w:noProof/>
        </w:rPr>
      </w:pPr>
      <w:r>
        <w:rPr>
          <w:noProof/>
        </w:rPr>
        <w:t xml:space="preserve">Sprejetje poslovnika Skupnega odbora je nujno, da bo lahko začel z delom na pripravah za izvajanje Sporazuma. To bo podjetjem omogočalo praktične ureditve, da bodo lahko udejanila povezavo med dvema sistemoma za trgovanje z emisijami. </w:t>
      </w:r>
    </w:p>
    <w:p>
      <w:pPr>
        <w:rPr>
          <w:noProof/>
        </w:rPr>
      </w:pPr>
      <w:r>
        <w:rPr>
          <w:noProof/>
        </w:rPr>
        <w:t xml:space="preserve">Dolgoročni cilj politike EU in mednarodne skupnosti je razviti dobro delujoč mednarodni trg ogljika s povezovanjem sistemov trgovanja z emisijami na podlagi pristopa od spodaj navzgor, zlasti kot sredstvo za doseganje podnebnih ciljev Pariškega sporazuma. V tem </w:t>
      </w:r>
      <w:r>
        <w:rPr>
          <w:noProof/>
        </w:rPr>
        <w:lastRenderedPageBreak/>
        <w:t>smislu člen 25 direktive o vzpostavitvi sistema EU za trgovanje z emisijami (EU ETS) omogoča povezovanje sistema EU ETS z drugimi sistemi trgovanja z emisijami, če so ti obvezni, imajo določeno absolutno zgornjo mejo emisij in so združljivi, kot to velja za švicarski sistem. Za namene zagotavljanja neprekinjene združljivosti med EU ETS in švicarskim sistemom trgovanja z emisijami bi Skupni odbor moral začeti z delom na njegovem izvajanju.</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akte, ki imajo pravni učinek po pravilih mednarodnega prava, s katerimi se ureja zadevni organ. Vključuje tudi instrumente, ki nimajo zavezujočega učinka v mednarodnem pravu, vendar „lahko odločilno vplivajo na vsebino ureditve, ki jo sprejme zakonodajalec Unije“</w:t>
      </w:r>
      <w:r>
        <w:rPr>
          <w:rStyle w:val="FootnoteReference"/>
          <w:noProof/>
        </w:rPr>
        <w:footnoteReference w:id="1"/>
      </w:r>
      <w:r>
        <w:rPr>
          <w:noProof/>
        </w:rPr>
        <w:t>.</w:t>
      </w:r>
    </w:p>
    <w:p>
      <w:pPr>
        <w:pStyle w:val="ManualHeading3"/>
        <w:rPr>
          <w:noProof/>
        </w:rPr>
      </w:pPr>
      <w:r>
        <w:t>4.1.2.</w:t>
      </w:r>
      <w:r>
        <w:tab/>
      </w:r>
      <w:r>
        <w:rPr>
          <w:noProof/>
        </w:rPr>
        <w:t>Uporaba v obravnavanem primeru</w:t>
      </w:r>
    </w:p>
    <w:p>
      <w:pPr>
        <w:rPr>
          <w:noProof/>
        </w:rPr>
      </w:pPr>
      <w:r>
        <w:rPr>
          <w:noProof/>
        </w:rPr>
        <w:t>Skupni odbor je organ, vzpostavljen s Sporazumom med Evropsko unijo in Švicarsko konfederacijo o povezavi njunih sistemov trgovanja z emisijami toplogrednih plinov.</w:t>
      </w:r>
    </w:p>
    <w:p>
      <w:pPr>
        <w:rPr>
          <w:noProof/>
        </w:rPr>
      </w:pPr>
      <w:r>
        <w:rPr>
          <w:noProof/>
        </w:rPr>
        <w:t xml:space="preserve">Akt, k sprejetju katerega se Skupni odbor poziva, je akt s pravnim učinkom. Predvideni akt ima pravne učinke, saj bo določil pravila, ki se bodo uporabljala za Skupni odbor, ki je telo, ki upravlja Sporazum in lahko sprejme sklepe o sprejetju novih prilog ali spremembi obstoječih prilog. </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 xml:space="preserve">Glavni cilj in vsebina predvidenega akta se nanašata na okolje.  </w:t>
      </w:r>
    </w:p>
    <w:p>
      <w:pPr>
        <w:rPr>
          <w:i/>
          <w:noProof/>
        </w:rPr>
      </w:pPr>
      <w:r>
        <w:rPr>
          <w:noProof/>
        </w:rPr>
        <w:t>Materialna pravna podlaga za predlagani sklep je torej člen 191 PDEU.</w:t>
      </w:r>
    </w:p>
    <w:p>
      <w:pPr>
        <w:pStyle w:val="ManualHeading2"/>
        <w:rPr>
          <w:noProof/>
        </w:rPr>
      </w:pPr>
      <w:r>
        <w:lastRenderedPageBreak/>
        <w:t>4.3.</w:t>
      </w:r>
      <w:r>
        <w:tab/>
      </w:r>
      <w:r>
        <w:rPr>
          <w:noProof/>
        </w:rPr>
        <w:t>Sklepna ugotovitev</w:t>
      </w:r>
    </w:p>
    <w:p>
      <w:pPr>
        <w:rPr>
          <w:noProof/>
        </w:rPr>
      </w:pPr>
      <w:r>
        <w:rPr>
          <w:noProof/>
        </w:rPr>
        <w:t>Pravna podlaga za predlagani sklep bi moral biti člen 191 PDEU v povezavi s členom 218(9) PDEU.</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2018/0192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stališču, ki se v imenu Evropske unije zastopa v Skupnem odboru, ustanovljenem s Sporazumom med Evropsko unijo in Švicarsko konfederacijo o povezavi njunih sistemov trgovanja z emisijami toplogrednih plinov, glede sprejetja njegovega poslovnika </w:t>
      </w:r>
    </w:p>
    <w:p>
      <w:pPr>
        <w:pStyle w:val="IntrtEEE"/>
        <w:rPr>
          <w:noProof/>
        </w:rPr>
      </w:pPr>
      <w:r>
        <w:rPr>
          <w:noProof/>
        </w:rPr>
        <w:t>(Besedilo velja za EGP)</w:t>
      </w:r>
    </w:p>
    <w:p>
      <w:pPr>
        <w:pStyle w:val="Institutionquiagit"/>
        <w:rPr>
          <w:b/>
          <w:noProof/>
        </w:rPr>
      </w:pPr>
      <w:r>
        <w:rPr>
          <w:b/>
          <w:noProof/>
        </w:rPr>
        <w:t>SVET EVROPSKE UNIJE JE –</w:t>
      </w:r>
    </w:p>
    <w:p>
      <w:pPr>
        <w:rPr>
          <w:noProof/>
        </w:rPr>
      </w:pPr>
      <w:r>
        <w:rPr>
          <w:noProof/>
        </w:rPr>
        <w:t>ob upoštevanju Pogodbe o delovanju Evropske unije in zlasti člena 191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Sporazum med Unijo in Švicarsko konfederacijo o povezavi njunih sistemov trgovanja z emisijami toplogrednih plinov (v nadaljnjem besedilu: sporazum) je bil podpisan 23. novembra 2017.</w:t>
      </w:r>
    </w:p>
    <w:p>
      <w:pPr>
        <w:pStyle w:val="ManualConsidrant"/>
        <w:rPr>
          <w:noProof/>
        </w:rPr>
      </w:pPr>
      <w:r>
        <w:t>(2)</w:t>
      </w:r>
      <w:r>
        <w:tab/>
      </w:r>
      <w:r>
        <w:rPr>
          <w:noProof/>
        </w:rPr>
        <w:t>Na podlagi člena 22 Sporazuma se členi 11 do 13 pred začetkom veljavnosti sporazuma uporabljajo začasno od dneva podpisa Sporazuma.</w:t>
      </w:r>
    </w:p>
    <w:p>
      <w:pPr>
        <w:pStyle w:val="ManualConsidrant"/>
        <w:rPr>
          <w:noProof/>
        </w:rPr>
      </w:pPr>
      <w:r>
        <w:t>(3)</w:t>
      </w:r>
      <w:r>
        <w:tab/>
      </w:r>
      <w:r>
        <w:rPr>
          <w:noProof/>
        </w:rPr>
        <w:t xml:space="preserve">Na podlagi člena 12 Sporazuma Skupni odbor na prvem zasedanju dne 27. junija 2018 sprejme svoj poslovnik. </w:t>
      </w:r>
    </w:p>
    <w:p>
      <w:pPr>
        <w:pStyle w:val="ManualConsidrant"/>
        <w:rPr>
          <w:noProof/>
        </w:rPr>
      </w:pPr>
      <w:r>
        <w:t>(4)</w:t>
      </w:r>
      <w:r>
        <w:tab/>
      </w:r>
      <w:r>
        <w:rPr>
          <w:noProof/>
        </w:rPr>
        <w:t xml:space="preserve">Ustrezno je oblikovati stališče, ki se v imenu Unije zastopa v Skupnem odboru, saj bo pravilnik določil delovanje tega organa, odgovornega za upravljanje Sporazuma in zagotavljanje njegovega izvajanja –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se v imenu Evropske unije zastopa na prvem zasedanju Skupnega odbora, ustanovljenem s Sporazumom med Unijo in Švicarsko konfederacijo o povezavi njunih sistemov trgovanja z emisijami toplogrednih plinov, glede sprejetja njegovega poslovnika temelji na osnutku sklepa Skupnega odbora, priloženega k temu sklepu.</w:t>
      </w:r>
    </w:p>
    <w:p>
      <w:pPr>
        <w:pStyle w:val="Titrearticle"/>
        <w:rPr>
          <w:noProof/>
        </w:rPr>
      </w:pPr>
      <w:r>
        <w:rPr>
          <w:noProof/>
        </w:rPr>
        <w:lastRenderedPageBreak/>
        <w:t>Člen 2</w:t>
      </w:r>
    </w:p>
    <w:p>
      <w:pPr>
        <w:keepNext/>
        <w:keepLines/>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Sodba Sodišča Evropske unije z dne 7. oktobra 2014, Nemčija proti Svetu, C-399/12, ECLI:EU:C:2014:2258, točke 61–64.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9:25: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EAACCF-A95A-402D-B1B3-7E7B6258DFE8"/>
    <w:docVar w:name="LW_COVERPAGE_TYPE" w:val="1"/>
    <w:docVar w:name="LW_CROSSREFERENCE" w:val="&lt;UNUSED&gt;"/>
    <w:docVar w:name="LW_DocType" w:val="COM"/>
    <w:docVar w:name="LW_EMISSION" w:val="31.5.2018"/>
    <w:docVar w:name="LW_EMISSION_ISODATE" w:val="2018-05-31"/>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92"/>
    <w:docVar w:name="LW_REF.II.NEW.CP_YEAR" w:val="2018"/>
    <w:docVar w:name="LW_REF.INST.NEW" w:val="COM"/>
    <w:docVar w:name="LW_REF.INST.NEW_ADOPTED" w:val="final"/>
    <w:docVar w:name="LW_REF.INST.NEW_TEXT" w:val="(2018)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tali\u353?\u269?u, ki se v imenu Evropske unije zastopa v Skupnem odboru, ustanovljenem s Sporazumom med Evropsko unijo in \u352?vicarsko konfederacijo o povezavi njunih sistemov trgovanja z emisijami toplogrednih plinov, glede sprejetja njegovega poslovnika "/>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213F9F21-898E-4203-A715-FF5841EC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1023</Words>
  <Characters>5959</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2018-05-07T13:08:00Z</dcterms:created>
  <dcterms:modified xsi:type="dcterms:W3CDTF">2018-05-24T07:25:00Z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