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B177D898-27BF-489D-9C21-C6E661D7D04D" style="width:450.35pt;height:422.5pt">
            <v:imagedata r:id="rId10" o:title=""/>
          </v:shape>
        </w:pict>
      </w:r>
    </w:p>
    <w:p>
      <w:pPr>
        <w:rPr>
          <w:noProof/>
        </w:rPr>
        <w:sectPr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Is-suġġett tal-proposta</w:t>
      </w:r>
    </w:p>
    <w:p>
      <w:pPr>
        <w:rPr>
          <w:rFonts w:eastAsia="Arial Unicode MS"/>
          <w:noProof/>
        </w:rPr>
      </w:pPr>
      <w:r>
        <w:rPr>
          <w:noProof/>
        </w:rPr>
        <w:t>Din il-proposta tikkonċerna d-deċiżjoni li tistabbilixxi l-pożizzjoni li trid tittieħed f’isem l-Unjoni fil-Kumitat Konġunt stabbilit bil-Ftehim bejn l-Unjoni Ewropea u l-Konfederazzjoni Żvizzera dwar il-kollegament tal-iskemi għall-iskambju ta’ kwoti tal-emissjonijiet ta’ gassijiet serra tagħhom b’rabta mal-adozzjoni tar-regoli ta’ proċedura previsti.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Il-Kuntest tal-proposta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Il-Ftehim bejn l-Unjoni Ewropea u l-Konfederazzjoni Żvizzera dwar il-kollegament tal-iskemi għall-iskambju ta’ kwoti tal-emissjonijiet ta’ gassijiet serra tagħhom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L-għan tal-Ftehim bejn l-Unjoni Ewropea u l-Konfederazzjoni Żvizzera dwar il-kollegament tal-iskemi għall-iskambju ta’ kwoti tal-emissjonijiet ta’ gassijiet serra tagħhom (“il-Ftehim”) huwa li jikkollega l-Iskema tal-UE għan-negozjar ta’ emissjonijiet (EU ETS) mal-iskema Żvizzera billi jippermetti li l-kwoti taż-żewġ sistemi jkunu jistgħu jiġu nnegozjati reċiprokament u jintużaw għall-konformità fis-sistemi ta’ xulxin, u b’hekk jikbru l-opportunitajiet għall-mitigazzjoni tat-tibdil fil-klima. Il-ftehim ġie iffirmat fit-23 ta’ Novembru 2017. Dan il-Ftehim se jidħol fis-seħħ fl-1 ta’ Jannar wara l-iskambju tal-istrumenti ta’ ratifika jew ta’ approvazzjoni mill-Partijiet. Madankollu, il-Ftehim jipprevedi li l-Artikoli 11 sa 13 tiegħu jibdew japplikaw proviżorjament mid-data tal-iffirmar tal-Ftehim. 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Il-Kumitat Konġunt</w:t>
      </w:r>
    </w:p>
    <w:p>
      <w:pPr>
        <w:rPr>
          <w:rFonts w:eastAsia="Arial Unicode MS"/>
          <w:noProof/>
        </w:rPr>
      </w:pPr>
      <w:r>
        <w:rPr>
          <w:noProof/>
        </w:rPr>
        <w:t>Il-Kumitat Konġunt stabbilit bl-Artikolu 12 tal-Ftehim għandu r-responsabbiltà li jamministra l-Ftehim u li jiżgura l-implimentazzjoni tiegħu. Jista’ wkoll jiddeċiedi li jadotta annessi ġodda għall-Ftehim, jew li jemenda dawk eżistenti. U jista’ jiddiskuti l-emendi għall-Artikoli tal-Ftehim, jiffaċilita l-iskambju tal-ideat dwar il-leġiżlazzjoni tal-Partijiet u jmexxi r-rieżamijiet tal-Ftehim.</w:t>
      </w:r>
    </w:p>
    <w:p>
      <w:pPr>
        <w:rPr>
          <w:rFonts w:eastAsia="Arial Unicode MS"/>
          <w:noProof/>
        </w:rPr>
      </w:pPr>
      <w:r>
        <w:rPr>
          <w:noProof/>
        </w:rPr>
        <w:t>Il-Kumitat Konġunt huwa korp bilaterali magħmul minn rappreżentanti taż-żewġ Partijiet (l-UE u l-Iżvizzera). Għandu jkun hemm il-qbil taż-żewġ Partijiet dwar id-deċiżjonijiet li jittieħdu mill-Kumitat Konġunt.</w:t>
      </w:r>
    </w:p>
    <w:p>
      <w:pPr>
        <w:rPr>
          <w:rFonts w:eastAsia="Arial Unicode MS"/>
          <w:noProof/>
        </w:rPr>
      </w:pP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 xml:space="preserve">L-att previst tal-Kumitat Konġunt </w:t>
      </w:r>
    </w:p>
    <w:p>
      <w:pPr>
        <w:rPr>
          <w:rFonts w:eastAsia="Arial Unicode MS"/>
          <w:noProof/>
        </w:rPr>
      </w:pPr>
      <w:r>
        <w:rPr>
          <w:noProof/>
        </w:rPr>
        <w:t>Waqt l-ewwel laqgħa tiegħu fis-27 ta’ Ġunju 2018, il-Kumitat Konġunt irid jadotta r-regoli ta’ proċedura tiegħu.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L-għan tal-att previst huwa li jistabbilixxi r-regoli li bihom se jaħdem u jiżviluppa l-kompiti tiegħu l-Kumitat Konġunt. 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L-Artikolu 12(4) tal-Ftehim jipprevedi li l-Kumitat Konġunt għandu jidotta r-regoli ta’ proċedura tiegħu. </w:t>
      </w:r>
    </w:p>
    <w:p>
      <w:pPr>
        <w:pStyle w:val="ManualHeading1"/>
        <w:rPr>
          <w:rFonts w:eastAsia="Arial Unicode MS"/>
          <w:noProof/>
        </w:rPr>
      </w:pPr>
      <w:r>
        <w:t>3.</w:t>
      </w:r>
      <w:r>
        <w:tab/>
      </w:r>
      <w:r>
        <w:rPr>
          <w:noProof/>
        </w:rPr>
        <w:t>Il-pożizzjoni li trid tittieħed f’isem l-Unjoni</w:t>
      </w:r>
    </w:p>
    <w:p>
      <w:pPr>
        <w:rPr>
          <w:noProof/>
        </w:rPr>
      </w:pPr>
      <w:r>
        <w:rPr>
          <w:noProof/>
        </w:rPr>
        <w:t xml:space="preserve">Din il-proposta tiddetermina l-pożizzjoni tal-Unjoni għall-adozzjoni tar-regoli ta’ proċedura li se jirregolaw lill-Kumitat Konġunt. L-abbozz tar-regoli ta’ proċedura fihom id-dispożizzjonijiet normali li jirregolaw kif jaħdem dan il-korp: kif inhu magħmul, il-presidenza u l-funzjonijet segretarjali, ir-regoli dwar il-laqgħat li se jsiru, l-iffissar tal-aġenda, it-teħid </w:t>
      </w:r>
      <w:r>
        <w:rPr>
          <w:noProof/>
        </w:rPr>
        <w:lastRenderedPageBreak/>
        <w:t>tad-deċiżjonijiet, eċċ. Dan jipprevedi wkoll il-possibbiltà li jinħolqu gruppi ta’ ħidma bi qbil mal-Artikolu 12(5) tal-Ftehim.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L-adozzjoni tar-regoli ta’ proċedura tal-Kumitat Konġunt hija meħtieġa biex dan jibda jaħdem fuq it-tħejjija tal-implimentazzjoni tal-Ftehim. Din tippermetti li jsiru l-arranġamenti prattiċi biex il-kollegament bejn iż-żewġ skemi għall-iskambju ta’ kwoti tal-emissjonijiet isir realtà. </w:t>
      </w:r>
    </w:p>
    <w:p>
      <w:pPr>
        <w:rPr>
          <w:noProof/>
        </w:rPr>
      </w:pPr>
      <w:r>
        <w:rPr>
          <w:noProof/>
        </w:rPr>
        <w:t>L-iżvilupp ta’ suq internazzjonali tal-karbonju li jiffunzjona sew permezz ta’ kollegament minn isfel għal fuq tal-iskemi għall-iskambju ta’ kwoti tal-emissjonijiet huwa għan tal-politika fit-tul tal-UE u tal-komunità internazzjonali, b’mod partikolari bħala mezz biex jintlaħqu l-miri klimatiċi tal-Ftehim ta’ Pariġi. F’dan ir-rigward, l-Artikolu 25 tad-Direttiva li tistabbilixxi skema għall-iskambju ta’ kwoti ta’ emissjonijiet ta’ gassijiet serra (EU ETS) jipprevedi li l-EU ETS tiġi kkollegata ma’ skemi oħrajn tan-negozjar tal-kwoti tal-emissjonijiet dejjem jekk dawn ikunu obbligatorji, ikollhom limitu assolut tal-emissjonijiet, u jkunu kompatibbli, kif inhu l-każ tal-iskema Żvizzera. Biex tibqa’ żgurata l-kompatibbiltà bejn l-EU ETS u l-ETS Żvizzera, jeħtieġ li l-Kumitat Konġunt jibda jaħdem fuq l-implimentazzjoni tal-ftehim.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Il-bażi ġuridika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Il-bażi ġuridika proċedurali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Il-prinċipji</w:t>
      </w:r>
    </w:p>
    <w:p>
      <w:pPr>
        <w:rPr>
          <w:noProof/>
        </w:rPr>
      </w:pPr>
      <w:r>
        <w:rPr>
          <w:noProof/>
        </w:rPr>
        <w:t>L-Artikolu 218(9) tat-Trattat dwar il-Funzjonament tal-Unjoni Ewropea (TFUE) jipprevedi deċiżjonijiet li jistabbilixxu “</w:t>
      </w:r>
      <w:r>
        <w:rPr>
          <w:i/>
          <w:noProof/>
        </w:rPr>
        <w:t>l-pożizzjonijiet li għandhom jiġu adottati f’isem l-Unjoni f’sede stabbilita fi ftehim, meta dik is-sede tintalab tadotta atti li jkollhom effetti legali, sakemm dawn ma jkunux atti li jissupplimentaw jew jemendaw il-qafas istituzzjonali tal-ftehim</w:t>
      </w:r>
      <w:r>
        <w:rPr>
          <w:noProof/>
        </w:rPr>
        <w:t>”.</w:t>
      </w:r>
    </w:p>
    <w:p>
      <w:pPr>
        <w:rPr>
          <w:noProof/>
        </w:rPr>
      </w:pPr>
      <w:r>
        <w:rPr>
          <w:noProof/>
        </w:rPr>
        <w:t>Il-kunċett ta’ “</w:t>
      </w:r>
      <w:r>
        <w:rPr>
          <w:i/>
          <w:noProof/>
        </w:rPr>
        <w:t>atti li jkollhom effetti legali</w:t>
      </w:r>
      <w:r>
        <w:rPr>
          <w:noProof/>
        </w:rPr>
        <w:t>” jinkludi atti li jkollhom effetti legali skont ir-regoli tad-dritt internazzjonali li jirregola l-korp (“is-sede”) ikkonċernat. Jinkludi wkoll strumenti li ma jkollhomx effett vinkolanti skont id-dritt internazzjonali, iżda li “</w:t>
      </w:r>
      <w:r>
        <w:rPr>
          <w:i/>
          <w:noProof/>
        </w:rPr>
        <w:t>jistgħu jinfluwenzaw b’mod determinanti l-kontenut tal-leġiżlazzjoni adottata mil-leġiżlatur tal-Unjoni</w:t>
      </w:r>
      <w:r>
        <w:rPr>
          <w:noProof/>
        </w:rPr>
        <w:t>”</w:t>
      </w:r>
      <w:r>
        <w:rPr>
          <w:rStyle w:val="FootnoteReference"/>
          <w:noProof/>
        </w:rPr>
        <w:footnoteReference w:id="1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Applikazzjoni għall-każ preżenti</w:t>
      </w:r>
    </w:p>
    <w:p>
      <w:pPr>
        <w:rPr>
          <w:noProof/>
        </w:rPr>
      </w:pPr>
      <w:r>
        <w:rPr>
          <w:noProof/>
        </w:rPr>
        <w:t>Il-Kumitat Konġunt huwa korp stabbilit bi ftehim, jiġifieri l-Ftehim bejn l-Unjoni Ewropea u l-Konfederazzjoni Żvizzera dwar il-kollegament tal-iskemi għall-iskambju ta’ kwoti tal-emissjonijiet ta’ gassijiet serra tagħhom.</w:t>
      </w:r>
    </w:p>
    <w:p>
      <w:pPr>
        <w:rPr>
          <w:noProof/>
        </w:rPr>
      </w:pPr>
      <w:r>
        <w:rPr>
          <w:noProof/>
        </w:rPr>
        <w:t xml:space="preserve">L-att li l-Kumitat Konġunt huwa mitlub jadotta jikkostitwixxi att b’effetti legali. L-att previst ikollu effetti legali għaliex dan ikun jiddetermina r-regoli li japplikaw għall-Kumitat Konġunt, li huwa l-korp li jamministra l-Ftehim, u li jista’ jieħu d-deċiżjonijiet dwar l-adozzjoni ta’ annessi ġodda jew dwar l-emendar tal-annessi eżistenti. </w:t>
      </w:r>
    </w:p>
    <w:p>
      <w:pPr>
        <w:rPr>
          <w:noProof/>
        </w:rPr>
      </w:pPr>
      <w:r>
        <w:rPr>
          <w:noProof/>
        </w:rPr>
        <w:t>L-att previst ma jissupplimentax u ma jemendax il-qafas istituzzjonali tal-Ftehim.</w:t>
      </w:r>
    </w:p>
    <w:p>
      <w:pPr>
        <w:rPr>
          <w:noProof/>
        </w:rPr>
      </w:pPr>
      <w:r>
        <w:rPr>
          <w:noProof/>
        </w:rPr>
        <w:t>Għalhekk, il-bażi ġuridika proċedurali tad-deċiżjoni proposta hija l-Artikolu 218(9) tat-TFUE.</w:t>
      </w:r>
    </w:p>
    <w:p>
      <w:pPr>
        <w:pStyle w:val="ManualHeading2"/>
        <w:rPr>
          <w:noProof/>
        </w:rPr>
      </w:pPr>
      <w:r>
        <w:lastRenderedPageBreak/>
        <w:t>4.2.</w:t>
      </w:r>
      <w:r>
        <w:tab/>
      </w:r>
      <w:r>
        <w:rPr>
          <w:noProof/>
        </w:rPr>
        <w:t>Il-bażi ġuridika sostantiva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Il-prinċipji</w:t>
      </w:r>
    </w:p>
    <w:p>
      <w:pPr>
        <w:rPr>
          <w:noProof/>
        </w:rPr>
      </w:pPr>
      <w:r>
        <w:rPr>
          <w:noProof/>
        </w:rPr>
        <w:t>Il-bażi ġuridika sostantiva biex tittieħed deċiżjoni skont l-Artikolu 218(9) tat-TFUE tiddependi primarjament mill-għan u mill-kontenut tal-att previst li dwarhom tittieħed pożizzjoni f’isem l-Unjoni. Jekk l-att previst ikollu żewġ għanijiet jew ikollu żewġ komponenti u jekk wieħed minn dawn l-għanijiet jew komponenti jkun jista’ jiġi identifikat bħala l-ewlieni, filwaqt li l-ieħor ikun sempliċiment inċidentali, id-deċiżjoni skont l-Artikolu 218(9) tat-TFUE trid tkun imsejsa fuq bażi ġuridika sostantiva waħda, jiġifieri dik rikjesta mill-għan jew mill-komponent ewlieni jew predominanti.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L-Applikazzjoni għall-każ preżenti</w:t>
      </w:r>
    </w:p>
    <w:p>
      <w:pPr>
        <w:rPr>
          <w:noProof/>
        </w:rPr>
      </w:pPr>
      <w:r>
        <w:rPr>
          <w:noProof/>
        </w:rPr>
        <w:t xml:space="preserve">L-objettiv ewlieni u l-kontenut tal-att previst jirrigwardaw l-ambjent.  </w:t>
      </w:r>
    </w:p>
    <w:p>
      <w:pPr>
        <w:rPr>
          <w:i/>
          <w:noProof/>
        </w:rPr>
      </w:pPr>
      <w:r>
        <w:rPr>
          <w:noProof/>
        </w:rPr>
        <w:t>Għalhekk, il-bażi ġuridika sostantiva tad-Deċiżjoni proposta hija l-Artikolu 191 tat-TFUE.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Konklużjoni</w:t>
      </w:r>
    </w:p>
    <w:p>
      <w:pPr>
        <w:rPr>
          <w:noProof/>
        </w:rPr>
      </w:pPr>
      <w:r>
        <w:rPr>
          <w:noProof/>
        </w:rPr>
        <w:t>Il-bażi ġuridika tad-Deċiżjoni proposta jenħtieġ tkun l-Artikolu 191 tat-TFUE, flimkien mal-Artikolu 218(9) tat-TFUE.</w:t>
      </w:r>
    </w:p>
    <w:p>
      <w:pPr>
        <w:rPr>
          <w:noProof/>
        </w:rPr>
        <w:sectPr>
          <w:footerReference w:type="default" r:id="rId17"/>
          <w:footerReference w:type="first" r:id="rId18"/>
          <w:pgSz w:w="11907" w:h="16839"/>
          <w:pgMar w:top="1134" w:right="1417" w:bottom="1134" w:left="1417" w:header="709" w:footer="709" w:gutter="0"/>
          <w:pgNumType w:start="1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2018/0192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 xml:space="preserve">dwar il-pożizzjoni li trid tittieħed f’isem l-Unjoni Ewropea fil-Kumitat Konġunt stabbilit bil-Ftehim bejn l-Unjoni Ewropea u l-Konfederazzjoni Żvizzera dwar il-kollegament tal-iskemi għall-iskambju ta’ kwoti tal-emissjonijiet ta’ gassijiet serra tagħhom b’rabta mal-adozzjoni tar-Regoli ta’ Proċedura tiegħu </w:t>
      </w:r>
    </w:p>
    <w:p>
      <w:pPr>
        <w:pStyle w:val="IntrtEEE"/>
        <w:rPr>
          <w:noProof/>
        </w:rPr>
      </w:pPr>
      <w:r>
        <w:rPr>
          <w:noProof/>
        </w:rPr>
        <w:t>(Test b’rilevanza għaż-ŻEE)</w:t>
      </w:r>
    </w:p>
    <w:p>
      <w:pPr>
        <w:pStyle w:val="Institutionquiagit"/>
        <w:rPr>
          <w:b/>
          <w:noProof/>
        </w:rPr>
      </w:pPr>
      <w:r>
        <w:rPr>
          <w:b/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partikolari l-Artikolu 191 flimkien mal-Artikolu 218(9)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Il-Ftehim bejn l-Unjoni Ewropea u l-Konfederazzjoni Żvizzera dwar il-kollegament tal-iskemi għall-iskambju ta’ kwoti tal-emissjonijiet ta’ gassijiet serra tagħhom (“il-Ftehim”) ġie ffirmat fit-23 ta’ Novembru 2017.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Skont l-Artikolu 22 tal-Ftehim, qabel ma jidħol fis-seħħ il-Ftehim, iridu jiġu applikati proviżorjament l-Artikoli 11 sa 13 mid-data tal-iffirmar tal-Ftehim.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 xml:space="preserve">Skont l-Artikolu 12 tal-Ftehim, fl-ewwel laqgħa tiegħu fis-27 ta’ Ġunju 2018, il-Kumitat Konġunt irid jadotta r-regoli ta’ proċedura tiegħu. 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Jixraq li tiġi stabbilita l-pożizzjoni li trid tittieħed fil-Kumitat Konġunt f’isem l-Unjoni billi r-regoli ta’ proċedura se jkunu jiddeterminaw kif jaħdem dan il-korp li għandu r-responsabbiltà li jamministra l-Ftehim u li jiżgura l-implimentazzjoni tiegħu. </w:t>
      </w:r>
    </w:p>
    <w:p>
      <w:pPr>
        <w:pStyle w:val="Formuledadoption"/>
        <w:rPr>
          <w:noProof/>
        </w:rPr>
      </w:pPr>
      <w:r>
        <w:rPr>
          <w:noProof/>
        </w:rPr>
        <w:t>ADOTTA DIN ID-DEĊIŻJONI: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rPr>
          <w:noProof/>
        </w:rPr>
      </w:pPr>
      <w:r>
        <w:rPr>
          <w:noProof/>
        </w:rPr>
        <w:t>Il-pożizzjoni li trid tittieħed f’isem l-Unjoni Ewropea fl-ewwel laqa’ tal-Kumitat Konġunt stabbilit bil-Ftehim bejn l-Unjoni Ewropea u l-Konfederazzjoni Żvizzera dwar il-kollegament tal-iskemi għall-iskambju ta’ kwoti tal-emissjonijiet ta’ gassijiet serra tagħhom b’rabta mal-adozzjoni tar-Regoli ta’ Proċedura tiegħu għandha tkun ibbażata fuq l-abbozz tad-Deċiżjoni tal-Kumitat Konġunt mehmuż ma’ din id-Deċiżjoni.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keepNext/>
        <w:keepLines/>
        <w:rPr>
          <w:noProof/>
        </w:rPr>
      </w:pPr>
      <w:r>
        <w:rPr>
          <w:noProof/>
        </w:rPr>
        <w:t>Din id-Deċiżjoni hija indirizzata lill-Kummissjoni.</w:t>
      </w:r>
    </w:p>
    <w:p>
      <w:pPr>
        <w:pStyle w:val="Fait"/>
        <w:rPr>
          <w:noProof/>
        </w:rPr>
      </w:pPr>
      <w:r>
        <w:lastRenderedPageBreak/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 xml:space="preserve">Is-Sentenza tal-Qorti tal-Ġustizzja (Awla Manja) tas-7 ta’ Ottubru 2014, Ir-Repubblika Federali tal-Ġermanja vs Il-Kunsill tal-Unjoni Ewropea, C-399/12, ECLI:EU:C:2014:2258, il-paragrafi 61 sa 64.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1908D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BD263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F64FC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75864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E6246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34675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23A2E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1E60C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5-24 09:25:0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B177D898-27BF-489D-9C21-C6E661D7D04D"/>
    <w:docVar w:name="LW_COVERPAGE_TYPE" w:val="1"/>
    <w:docVar w:name="LW_CROSSREFERENCE" w:val="&lt;UNUSED&gt;"/>
    <w:docVar w:name="LW_DocType" w:val="COM"/>
    <w:docVar w:name="LW_EMISSION" w:val="31.5.2018"/>
    <w:docVar w:name="LW_EMISSION_ISODATE" w:val="2018-05-31"/>
    <w:docVar w:name="LW_EMISSION_LOCATION" w:val="BRX"/>
    <w:docVar w:name="LW_EMISSION_PREFIX" w:val="Brussell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STATUT" w:val="SJ-019"/>
    <w:docVar w:name="LW_INTERETEEE.CP" w:val="(Test b\u8217?rilevanza g\u295?a\u380?-\u379?EE)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92"/>
    <w:docVar w:name="LW_REF.II.NEW.CP_YEAR" w:val="2018"/>
    <w:docVar w:name="LW_REF.INST.NEW" w:val="COM"/>
    <w:docVar w:name="LW_REF.INST.NEW_ADOPTED" w:val="final"/>
    <w:docVar w:name="LW_REF.INST.NEW_TEXT" w:val="(2018) 35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TATUT.CP" w:val="Proposta g\u295?al"/>
    <w:docVar w:name="LW_SUPERTITRE" w:val="&lt;UNUSED&gt;"/>
    <w:docVar w:name="LW_TITRE.OBJ.CP" w:val="dwar il-po\u380?izzjoni li trid tittie\u295?ed f\u8217?isem l-Unjoni Ewropea fil-Kumitat Kon\u289?unt stabbilit bil-Ftehim bejn l-Unjoni Ewropea u l-Konfederazzjoni \u379?vizzera dwar il-kollegament tal-iskemi g\u295?all-iskambju ta\u8217? kwoti tal-emissjonijiet ta\u8217? gassijiet serra tag\u295?hom b\u8217?rabta mal-adozzjoni tar-Regoli ta\u8217? Pro\u267?edura tieg\u295?u 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</w:style>
  <w:style w:type="paragraph" w:styleId="ListBullet">
    <w:name w:val="List Bullet"/>
    <w:basedOn w:val="Normal"/>
    <w:pPr>
      <w:numPr>
        <w:numId w:val="1"/>
      </w:numPr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ListBullet3">
    <w:name w:val="List Bullet 3"/>
    <w:basedOn w:val="Normal"/>
    <w:pPr>
      <w:numPr>
        <w:numId w:val="3"/>
      </w:numPr>
    </w:pPr>
  </w:style>
  <w:style w:type="paragraph" w:styleId="ListBullet4">
    <w:name w:val="List Bullet 4"/>
    <w:basedOn w:val="Normal"/>
    <w:pPr>
      <w:numPr>
        <w:numId w:val="4"/>
      </w:numPr>
    </w:pPr>
  </w:style>
  <w:style w:type="paragraph" w:styleId="ListNumber">
    <w:name w:val="List Number"/>
    <w:basedOn w:val="Normal"/>
    <w:pPr>
      <w:numPr>
        <w:numId w:val="5"/>
      </w:numPr>
    </w:pPr>
  </w:style>
  <w:style w:type="paragraph" w:styleId="ListNumber2">
    <w:name w:val="List Number 2"/>
    <w:basedOn w:val="Normal"/>
    <w:pPr>
      <w:numPr>
        <w:numId w:val="6"/>
      </w:numPr>
    </w:pPr>
  </w:style>
  <w:style w:type="paragraph" w:styleId="ListNumber3">
    <w:name w:val="List Number 3"/>
    <w:basedOn w:val="Normal"/>
    <w:pPr>
      <w:numPr>
        <w:numId w:val="7"/>
      </w:numPr>
    </w:pPr>
  </w:style>
  <w:style w:type="paragraph" w:styleId="ListNumber4">
    <w:name w:val="List Number 4"/>
    <w:basedOn w:val="Normal"/>
    <w:pPr>
      <w:numPr>
        <w:numId w:val="8"/>
      </w:numPr>
    </w:pPr>
  </w:style>
  <w:style w:type="character" w:styleId="CommentReference">
    <w:name w:val="annotation reference"/>
    <w:semiHidden/>
    <w:rPr>
      <w:sz w:val="16"/>
      <w:szCs w:val="16"/>
      <w:shd w:val="clear" w:color="auto" w:fill="auto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</w:style>
  <w:style w:type="paragraph" w:styleId="ListBullet">
    <w:name w:val="List Bullet"/>
    <w:basedOn w:val="Normal"/>
    <w:pPr>
      <w:numPr>
        <w:numId w:val="1"/>
      </w:numPr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ListBullet3">
    <w:name w:val="List Bullet 3"/>
    <w:basedOn w:val="Normal"/>
    <w:pPr>
      <w:numPr>
        <w:numId w:val="3"/>
      </w:numPr>
    </w:pPr>
  </w:style>
  <w:style w:type="paragraph" w:styleId="ListBullet4">
    <w:name w:val="List Bullet 4"/>
    <w:basedOn w:val="Normal"/>
    <w:pPr>
      <w:numPr>
        <w:numId w:val="4"/>
      </w:numPr>
    </w:pPr>
  </w:style>
  <w:style w:type="paragraph" w:styleId="ListNumber">
    <w:name w:val="List Number"/>
    <w:basedOn w:val="Normal"/>
    <w:pPr>
      <w:numPr>
        <w:numId w:val="5"/>
      </w:numPr>
    </w:pPr>
  </w:style>
  <w:style w:type="paragraph" w:styleId="ListNumber2">
    <w:name w:val="List Number 2"/>
    <w:basedOn w:val="Normal"/>
    <w:pPr>
      <w:numPr>
        <w:numId w:val="6"/>
      </w:numPr>
    </w:pPr>
  </w:style>
  <w:style w:type="paragraph" w:styleId="ListNumber3">
    <w:name w:val="List Number 3"/>
    <w:basedOn w:val="Normal"/>
    <w:pPr>
      <w:numPr>
        <w:numId w:val="7"/>
      </w:numPr>
    </w:pPr>
  </w:style>
  <w:style w:type="paragraph" w:styleId="ListNumber4">
    <w:name w:val="List Number 4"/>
    <w:basedOn w:val="Normal"/>
    <w:pPr>
      <w:numPr>
        <w:numId w:val="8"/>
      </w:numPr>
    </w:pPr>
  </w:style>
  <w:style w:type="character" w:styleId="CommentReference">
    <w:name w:val="annotation reference"/>
    <w:semiHidden/>
    <w:rPr>
      <w:sz w:val="16"/>
      <w:szCs w:val="16"/>
      <w:shd w:val="clear" w:color="auto" w:fill="auto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423BD-5803-4232-801C-7DC981E2A5E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A761A7D-F4ED-4D9E-83DF-5B2458B8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6</Pages>
  <Words>1043</Words>
  <Characters>7653</Characters>
  <Application>Microsoft Office Word</Application>
  <DocSecurity>0</DocSecurity>
  <Lines>131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2018-05-15T10:46:00Z</dcterms:created>
  <dcterms:modified xsi:type="dcterms:W3CDTF">2018-05-24T07:25:00Z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6.0, Build 20171009</vt:lpwstr>
  </property>
  <property fmtid="{D5CDD505-2E9C-101B-9397-08002B2CF9AE}" pid="3" name="Category">
    <vt:lpwstr>COM/PL/ORG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LWTemplateID">
    <vt:lpwstr>SJ-019</vt:lpwstr>
  </property>
  <property fmtid="{D5CDD505-2E9C-101B-9397-08002B2CF9AE}" pid="7" name="Level of sensitivity">
    <vt:lpwstr>Standard treatment</vt:lpwstr>
  </property>
  <property fmtid="{D5CDD505-2E9C-101B-9397-08002B2CF9AE}" pid="8" name="DQCStatus">
    <vt:lpwstr>Green (DQC version 03)</vt:lpwstr>
  </property>
</Properties>
</file>