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0EB112C0-6401-4275-998F-E7CE59857389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Priloga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SKLEP ŠT. 1/2018 SKUPNEGA ODBORA, USTANOVLJENEGA S SPORAZUMOM MED EVROPSKO UNIJO IN ŠVICARSKO KONFEDERACIJO O POVEZAVI NJUNIH SISTEMOV TRGOVANJA Z EMISIJAMI TOPLOGREDNIH PLINOV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o sprejetju poslovnika</w:t>
      </w:r>
    </w:p>
    <w:p>
      <w:pPr>
        <w:keepNext/>
        <w:tabs>
          <w:tab w:val="left" w:pos="284"/>
        </w:tabs>
        <w:rPr>
          <w:noProof/>
          <w:szCs w:val="17"/>
        </w:rPr>
      </w:pPr>
      <w:r>
        <w:rPr>
          <w:noProof/>
        </w:rPr>
        <w:t>SKUPNI ODBOR, USTANOVLJEN S SPORAZUMOM MED EVROPSKO UNIJO IN ŠVICARSKO KONFEDERACIJO, JE –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>Ob upoštevanju Sporazuma med Evropsko unijo in Švicarsko konfederacijo o povezavi njunih sistemov trgovanja z emisijami toplogrednih plinov in zlasti člena 12 Sporazuma,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 xml:space="preserve">ob upoštevanju naslednjega: 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 xml:space="preserve">(1) Členi 11 do 13 Sporazuma med Evropsko unijo in Švicarsko konfederacijo o povezavi njunih sistemov trgovanja z emisijami toplogrednih plinov se od podpisa Sporazuma uporabljajo začasno. 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>(2) V skladu s členom 12(1) Sporazuma se ustanovi Skupni odbor, sestavljen iz predstavnikov pogodbenic.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>(3) Skupni odbor v skladu s členom 12(4) Sporazuma sprejme svoj poslovnik.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 xml:space="preserve">(4) V skladu s členom 12(5) Sporazuma se Skupni odbor lahko odloči, da ustanovi delovne skupine, ki mu pomagajo pri opravljanju njegovega dela – 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 xml:space="preserve">SPREJEL NASLEDNJI SKLEP: </w:t>
      </w:r>
    </w:p>
    <w:p>
      <w:pPr>
        <w:pStyle w:val="Titrearticle"/>
        <w:rPr>
          <w:noProof/>
        </w:rPr>
      </w:pPr>
      <w:r>
        <w:rPr>
          <w:noProof/>
        </w:rPr>
        <w:t>Edini člen</w:t>
      </w:r>
    </w:p>
    <w:p>
      <w:pPr>
        <w:keepNext/>
        <w:tabs>
          <w:tab w:val="left" w:pos="284"/>
        </w:tabs>
        <w:rPr>
          <w:noProof/>
          <w:szCs w:val="24"/>
        </w:rPr>
      </w:pPr>
      <w:r>
        <w:rPr>
          <w:noProof/>
        </w:rPr>
        <w:t xml:space="preserve">Sprejme se poslovnik Skupnega odbora, kot je določen v Prilogi k temu sklepu. </w:t>
      </w:r>
    </w:p>
    <w:p>
      <w:pPr>
        <w:pStyle w:val="Applicationdirecte"/>
        <w:rPr>
          <w:noProof/>
          <w:szCs w:val="24"/>
        </w:rPr>
      </w:pPr>
      <w:r>
        <w:rPr>
          <w:noProof/>
        </w:rPr>
        <w:t xml:space="preserve">Sestavljeno v angleščini v Zürichu. </w:t>
      </w:r>
    </w:p>
    <w:p>
      <w:pPr>
        <w:pStyle w:val="Signature"/>
        <w:rPr>
          <w:noProof/>
        </w:rPr>
      </w:pPr>
      <w:r>
        <w:rPr>
          <w:noProof/>
        </w:rPr>
        <w:t>Za Skupni odbor</w:t>
      </w:r>
    </w:p>
    <w:p>
      <w:pPr>
        <w:pStyle w:val="Signature"/>
        <w:rPr>
          <w:noProof/>
        </w:rPr>
      </w:pPr>
      <w:r>
        <w:rPr>
          <w:noProof/>
        </w:rPr>
        <w:t>Predsednik</w:t>
      </w:r>
    </w:p>
    <w:p>
      <w:pPr>
        <w:pStyle w:val="Signature"/>
        <w:rPr>
          <w:noProof/>
        </w:rPr>
      </w:pPr>
      <w:r>
        <w:rPr>
          <w:noProof/>
        </w:rPr>
        <w:t>Sekretar za Evropsko unijo</w:t>
      </w:r>
    </w:p>
    <w:p>
      <w:pPr>
        <w:pStyle w:val="Signature"/>
        <w:rPr>
          <w:noProof/>
        </w:rPr>
      </w:pPr>
      <w:r>
        <w:rPr>
          <w:noProof/>
        </w:rPr>
        <w:t>Sekretar za Švico</w:t>
      </w:r>
    </w:p>
    <w:p>
      <w:pPr>
        <w:spacing w:before="0" w:after="200" w:line="276" w:lineRule="auto"/>
        <w:jc w:val="left"/>
        <w:rPr>
          <w:rFonts w:eastAsia="Calibri"/>
          <w:b/>
          <w:caps/>
          <w:noProof/>
          <w:spacing w:val="10"/>
          <w:sz w:val="28"/>
        </w:rPr>
      </w:pPr>
      <w:r>
        <w:rPr>
          <w:noProof/>
        </w:rPr>
        <w:br w:type="page"/>
      </w:r>
    </w:p>
    <w:p>
      <w:pPr>
        <w:keepNext/>
        <w:tabs>
          <w:tab w:val="left" w:pos="284"/>
        </w:tabs>
        <w:jc w:val="center"/>
        <w:rPr>
          <w:rFonts w:eastAsia="Calibri"/>
          <w:b/>
          <w:caps/>
          <w:noProof/>
          <w:spacing w:val="10"/>
          <w:szCs w:val="24"/>
        </w:rPr>
      </w:pPr>
      <w:r>
        <w:rPr>
          <w:b/>
          <w:caps/>
          <w:noProof/>
          <w:spacing w:val="10"/>
        </w:rPr>
        <w:t>Poslovnik ODBORA ETS EVROPSKE UNIJE IN ŠVICE („SKUPNI ODBOR“)</w:t>
      </w:r>
    </w:p>
    <w:p>
      <w:pPr>
        <w:pStyle w:val="Titrearticle"/>
        <w:rPr>
          <w:noProof/>
        </w:rPr>
      </w:pPr>
      <w:r>
        <w:rPr>
          <w:noProof/>
        </w:rPr>
        <w:t>Člen 1</w:t>
      </w:r>
    </w:p>
    <w:p>
      <w:pPr>
        <w:keepNext/>
        <w:tabs>
          <w:tab w:val="left" w:pos="284"/>
          <w:tab w:val="left" w:pos="426"/>
        </w:tabs>
        <w:spacing w:before="0" w:after="0"/>
        <w:ind w:left="425" w:hanging="425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Sestava Skupnega odbora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>1. Skupni odbor sestavljajo predstavniki Evropske komisije (v nadaljnjem besedilu: Komisija), ki ravnajo v imenu Evropske unije, na eni strani ter predstavniki Švicarske konfederacije (v nadaljnjem besedilu: Švica) na drugi strani. V nadaljnjem besedilu se za posamezno stran uporablja izraz „pogodbenica“, za obe strani pa „pogodbenici“.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>2. Predstavnike pogodbenic lahko spremljajo drugi uradniki, ki delujejo v imenu pogodbenic.</w:t>
      </w:r>
    </w:p>
    <w:p>
      <w:pPr>
        <w:pStyle w:val="Titrearticle"/>
        <w:rPr>
          <w:noProof/>
        </w:rPr>
      </w:pPr>
      <w:r>
        <w:rPr>
          <w:noProof/>
        </w:rPr>
        <w:t>Člen 2</w:t>
      </w:r>
    </w:p>
    <w:p>
      <w:pPr>
        <w:keepNext/>
        <w:tabs>
          <w:tab w:val="left" w:pos="284"/>
          <w:tab w:val="left" w:pos="426"/>
        </w:tabs>
        <w:spacing w:after="0"/>
        <w:ind w:left="425" w:hanging="425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Predsedstvo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 xml:space="preserve">1. Pogodbenici izmenično predsedujeta Skupnemu odboru vsakih 12 mesecev. V prvem koledarskem letu Skupnemu odboru predseduje Švica. 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 xml:space="preserve">2. Predsedujoča pogodbenica imenuje predsednika Skupnega odbora in njegovega namestnika. 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 xml:space="preserve">3. Predsednik usmerja delo Skupnega odbora. </w:t>
      </w:r>
    </w:p>
    <w:p>
      <w:pPr>
        <w:pStyle w:val="Titrearticle"/>
        <w:rPr>
          <w:noProof/>
        </w:rPr>
      </w:pPr>
      <w:r>
        <w:rPr>
          <w:noProof/>
        </w:rPr>
        <w:t>Člen 3</w:t>
      </w:r>
    </w:p>
    <w:p>
      <w:pPr>
        <w:keepNext/>
        <w:tabs>
          <w:tab w:val="left" w:pos="284"/>
          <w:tab w:val="left" w:pos="426"/>
        </w:tabs>
        <w:spacing w:after="0"/>
        <w:ind w:left="425" w:hanging="425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 xml:space="preserve">Opazovalci 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 xml:space="preserve">Skupni odbor se lahko s skupnim soglasjem pogodbenic odloči, da na seje Skupnega odbora kot opazovalce povabi strokovnjake ali predstavnike drugih organov, da bi zagotovili informacije o določenih temah. Skupni odbor se sporazume o pogojih, pod katerimi se lahko taki opazovalci udeležijo sej. </w:t>
      </w:r>
    </w:p>
    <w:p>
      <w:pPr>
        <w:pStyle w:val="Titrearticle"/>
        <w:rPr>
          <w:noProof/>
        </w:rPr>
      </w:pPr>
      <w:r>
        <w:rPr>
          <w:noProof/>
        </w:rPr>
        <w:t xml:space="preserve">Člen 4 </w:t>
      </w:r>
    </w:p>
    <w:p>
      <w:pPr>
        <w:keepNext/>
        <w:tabs>
          <w:tab w:val="left" w:pos="284"/>
          <w:tab w:val="left" w:pos="426"/>
        </w:tabs>
        <w:spacing w:before="0" w:after="0"/>
        <w:ind w:left="425" w:hanging="425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 xml:space="preserve">Sekretariat 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 xml:space="preserve">1. Uradnik Evropske komisije in uradnik švicarske vlade skupaj opravljata funkcijo sekretarjev Skupnega odbora. 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 xml:space="preserve">2. Sekretariat Skupnega odbora je odgovoren za komunikacijo med pogodbenicama, vključno za posredovanje dokumentov. </w:t>
      </w:r>
    </w:p>
    <w:p>
      <w:pPr>
        <w:tabs>
          <w:tab w:val="left" w:pos="-180"/>
          <w:tab w:val="left" w:pos="284"/>
          <w:tab w:val="left" w:pos="360"/>
        </w:tabs>
        <w:rPr>
          <w:rFonts w:eastAsia="Calibri"/>
          <w:noProof/>
        </w:rPr>
      </w:pPr>
      <w:r>
        <w:rPr>
          <w:noProof/>
        </w:rPr>
        <w:t>3. Naloge sekretariata so v pristojnosti predsedujoče pogodbenice.</w:t>
      </w:r>
    </w:p>
    <w:p>
      <w:pPr>
        <w:pStyle w:val="Titrearticle"/>
        <w:rPr>
          <w:noProof/>
        </w:rPr>
      </w:pPr>
      <w:r>
        <w:rPr>
          <w:noProof/>
        </w:rPr>
        <w:t>Člen 5</w:t>
      </w:r>
    </w:p>
    <w:p>
      <w:pPr>
        <w:keepNext/>
        <w:tabs>
          <w:tab w:val="left" w:pos="0"/>
          <w:tab w:val="left" w:pos="284"/>
          <w:tab w:val="left" w:pos="426"/>
        </w:tabs>
        <w:spacing w:before="0" w:after="0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Seje Skupnega odbora</w:t>
      </w:r>
    </w:p>
    <w:p>
      <w:pPr>
        <w:rPr>
          <w:rFonts w:eastAsia="Calibri"/>
          <w:noProof/>
        </w:rPr>
      </w:pPr>
      <w:r>
        <w:rPr>
          <w:noProof/>
        </w:rPr>
        <w:t xml:space="preserve">1. Skupni odbor se sestaja po potrebi, načeloma enkrat na leto. Predsednik po posvetovanju s pogodbenicama skliče sejo Skupnega odbora, ki poteka ob skupno dogovorjenem času in na skupno dogovorjenem kraju. Če se pogodbenici strinjata, se lahko izvedejo tudi avdio- in videokonference. Predsednik na zahtevo Evropske unije ali Švice skliče izredno sejo Skupnega odbora. V skladu s členom 12(2) Sporazuma se Skupni odbor sestane v 30 koledarskih dneh po zahtevi. </w:t>
      </w:r>
    </w:p>
    <w:p>
      <w:pPr>
        <w:rPr>
          <w:rFonts w:eastAsia="Calibri"/>
          <w:noProof/>
        </w:rPr>
      </w:pPr>
      <w:r>
        <w:rPr>
          <w:noProof/>
        </w:rPr>
        <w:t xml:space="preserve">2. Skupni odbor se sestane v Bruslju ali Švici, odvisno od predsedujoče pogodbenice, razen če se pogodbenici dogovorita drugače. </w:t>
      </w:r>
    </w:p>
    <w:p>
      <w:pPr>
        <w:rPr>
          <w:rFonts w:eastAsia="Calibri"/>
          <w:noProof/>
        </w:rPr>
      </w:pPr>
      <w:r>
        <w:rPr>
          <w:noProof/>
        </w:rPr>
        <w:t>3. Predsednik predstavnikom pogodbenic pošlje obvestilo o sklicu seje, skupaj z osnutkom dnevnega reda in dokumentacijo za sejo, vsaj 21 koledarskih dni pred sejo. Dokumentacija za seje, sklicane v skladu s členom 12(2) Sporazuma, se razpošlje vsaj sedem koledarskih dni pred sejo.</w:t>
      </w:r>
    </w:p>
    <w:p>
      <w:pPr>
        <w:rPr>
          <w:rFonts w:eastAsia="Calibri"/>
          <w:noProof/>
        </w:rPr>
      </w:pPr>
      <w:r>
        <w:rPr>
          <w:noProof/>
        </w:rPr>
        <w:t xml:space="preserve">4. Predsednik lahko v soglasju s pogodbenicama skrajša roka iz odstavka 3, da bi upošteval zahteve posamezne zadeve. </w:t>
      </w:r>
    </w:p>
    <w:p>
      <w:pPr>
        <w:rPr>
          <w:rFonts w:eastAsia="Calibri"/>
          <w:noProof/>
        </w:rPr>
      </w:pPr>
      <w:r>
        <w:rPr>
          <w:noProof/>
        </w:rPr>
        <w:t xml:space="preserve">5. Predsednik je vsaj sedem koledarskih dni pred sejo obveščen o sestavi delegacije vsake pogodbenice. </w:t>
      </w:r>
    </w:p>
    <w:p>
      <w:pPr>
        <w:rPr>
          <w:rFonts w:eastAsia="Calibri"/>
          <w:noProof/>
        </w:rPr>
      </w:pPr>
      <w:r>
        <w:rPr>
          <w:noProof/>
        </w:rPr>
        <w:t>6. Seje Skupnega odbora niso javne, razen če pogodbenici odločita drugače.</w:t>
      </w:r>
    </w:p>
    <w:p>
      <w:pPr>
        <w:pStyle w:val="Titrearticle"/>
        <w:rPr>
          <w:noProof/>
        </w:rPr>
      </w:pPr>
      <w:r>
        <w:rPr>
          <w:noProof/>
        </w:rPr>
        <w:t>Člen 6</w:t>
      </w:r>
    </w:p>
    <w:p>
      <w:pPr>
        <w:keepNext/>
        <w:tabs>
          <w:tab w:val="left" w:pos="284"/>
          <w:tab w:val="left" w:pos="426"/>
        </w:tabs>
        <w:spacing w:before="0" w:after="0"/>
        <w:ind w:left="426" w:hanging="426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Dnevni red</w:t>
      </w:r>
    </w:p>
    <w:p>
      <w:pPr>
        <w:rPr>
          <w:rFonts w:eastAsia="Calibri"/>
          <w:noProof/>
        </w:rPr>
      </w:pPr>
      <w:r>
        <w:rPr>
          <w:noProof/>
        </w:rPr>
        <w:t xml:space="preserve">1. Predsednik ob pomoči sekretarjev za vsako sejo sestavi začasni dnevni red. </w:t>
      </w:r>
    </w:p>
    <w:p>
      <w:pPr>
        <w:rPr>
          <w:rFonts w:eastAsia="Calibri"/>
          <w:noProof/>
        </w:rPr>
      </w:pPr>
      <w:r>
        <w:rPr>
          <w:noProof/>
        </w:rPr>
        <w:t xml:space="preserve">2. Vsaka pogodbenica lahko predlaga dodatne točke za vključitev na dnevni red. Vsaka takšna zahteva mora biti ustrezno utemeljena in v pisni obliki poslana predsedniku vsaj sedem koledarskih dni pred sejo. </w:t>
      </w:r>
    </w:p>
    <w:p>
      <w:pPr>
        <w:rPr>
          <w:rFonts w:eastAsia="Calibri"/>
          <w:noProof/>
        </w:rPr>
      </w:pPr>
      <w:r>
        <w:rPr>
          <w:noProof/>
        </w:rPr>
        <w:t>3. Skupni odbor potrdi dnevni red na začetku seje.</w:t>
      </w:r>
    </w:p>
    <w:p>
      <w:pPr>
        <w:pStyle w:val="Titrearticle"/>
        <w:rPr>
          <w:noProof/>
        </w:rPr>
      </w:pPr>
      <w:r>
        <w:rPr>
          <w:noProof/>
        </w:rPr>
        <w:t>Člen 7</w:t>
      </w:r>
    </w:p>
    <w:p>
      <w:pPr>
        <w:keepNext/>
        <w:tabs>
          <w:tab w:val="left" w:pos="284"/>
          <w:tab w:val="left" w:pos="426"/>
        </w:tabs>
        <w:spacing w:before="0" w:after="0"/>
        <w:ind w:left="426" w:hanging="426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Delovne skupine Skupnega odbora</w:t>
      </w:r>
    </w:p>
    <w:p>
      <w:pPr>
        <w:rPr>
          <w:rFonts w:eastAsia="Calibri"/>
          <w:noProof/>
        </w:rPr>
      </w:pPr>
      <w:r>
        <w:rPr>
          <w:noProof/>
        </w:rPr>
        <w:t xml:space="preserve">1. Sestavo in delovanje delovnih skupin ali pododborov, ki se ustanovijo v skladu s členom 12(5) Sporazuma, določi Skupni odbor. </w:t>
      </w:r>
    </w:p>
    <w:p>
      <w:pPr>
        <w:rPr>
          <w:rFonts w:eastAsia="Calibri"/>
          <w:noProof/>
        </w:rPr>
      </w:pPr>
      <w:r>
        <w:rPr>
          <w:noProof/>
        </w:rPr>
        <w:t>2. Delovne skupine ali pododbori smiselno uporabljajo ta poslovnik.</w:t>
      </w:r>
    </w:p>
    <w:p>
      <w:pPr>
        <w:rPr>
          <w:rFonts w:eastAsia="Calibri"/>
          <w:noProof/>
        </w:rPr>
      </w:pPr>
      <w:r>
        <w:rPr>
          <w:noProof/>
        </w:rPr>
        <w:t xml:space="preserve">3. Delovne skupine ali pododbori delujejo pod vodstvom Skupnega odbora, ki mu poročajo po vsaki svoji seji. Niso pooblaščene za sprejemanje sklepov, lahko pa oblikujejo priporočila za Skupni odbor. </w:t>
      </w:r>
    </w:p>
    <w:p>
      <w:pPr>
        <w:rPr>
          <w:rFonts w:eastAsia="Calibri"/>
          <w:noProof/>
        </w:rPr>
      </w:pPr>
      <w:r>
        <w:rPr>
          <w:noProof/>
        </w:rPr>
        <w:t>4. Skupni odbor se lahko v skladu s členom 8 tega poslovnika odloči za spremembo ali prenehanje mandata delovnih skupin ali pododborov.</w:t>
      </w:r>
    </w:p>
    <w:p>
      <w:pPr>
        <w:pStyle w:val="Titrearticle"/>
        <w:rPr>
          <w:noProof/>
        </w:rPr>
      </w:pPr>
      <w:r>
        <w:rPr>
          <w:noProof/>
        </w:rPr>
        <w:t>Člen 8</w:t>
      </w:r>
    </w:p>
    <w:p>
      <w:pPr>
        <w:keepNext/>
        <w:tabs>
          <w:tab w:val="left" w:pos="284"/>
          <w:tab w:val="left" w:pos="426"/>
        </w:tabs>
        <w:spacing w:before="0" w:after="0"/>
        <w:ind w:left="426" w:hanging="426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Sklepi in priporočila</w:t>
      </w:r>
    </w:p>
    <w:p>
      <w:pPr>
        <w:rPr>
          <w:rFonts w:eastAsia="Calibri"/>
          <w:noProof/>
        </w:rPr>
      </w:pPr>
      <w:r>
        <w:rPr>
          <w:noProof/>
        </w:rPr>
        <w:t xml:space="preserve">1. Skupni odbor sprejema sklepe in oblikuje priporočila s skupnim soglasjem pogodbenic v skladu s Sporazumom. Ti se naslovijo „sklep“ oziroma „priporočilo“, čemur sledijo zaporedna številka, datum sprejetja in navedba vsebine. </w:t>
      </w:r>
    </w:p>
    <w:p>
      <w:pPr>
        <w:rPr>
          <w:rFonts w:eastAsia="Calibri"/>
          <w:noProof/>
        </w:rPr>
      </w:pPr>
      <w:r>
        <w:rPr>
          <w:noProof/>
        </w:rPr>
        <w:t xml:space="preserve">2. Sklepe in priporočila Skupnega odbora podpišejo predsednik in sekretarja, nato pa se pošljejo pogodbenicama. </w:t>
      </w:r>
    </w:p>
    <w:p>
      <w:pPr>
        <w:rPr>
          <w:rFonts w:eastAsia="Calibri"/>
          <w:noProof/>
        </w:rPr>
      </w:pPr>
      <w:r>
        <w:rPr>
          <w:noProof/>
        </w:rPr>
        <w:t xml:space="preserve">3. Vsaka pogodbenica se lahko odloči za objavo sklepa ali priporočila, ki ga sprejme Skupni odbor, v svojem uradnem listu. Pogodbenici se medsebojno obvestita o svoji nameri za objavo sklepa ali priporočila. </w:t>
      </w:r>
    </w:p>
    <w:p>
      <w:pPr>
        <w:rPr>
          <w:rFonts w:eastAsia="Calibri"/>
          <w:noProof/>
        </w:rPr>
      </w:pPr>
      <w:r>
        <w:rPr>
          <w:noProof/>
        </w:rPr>
        <w:t xml:space="preserve">4. Skupni odbor lahko sklepe ali priporočila sprejme s pisnim postopkom, če se pogodbenici s tem strinjata. Pisni postopek je uradna izmenjava not med sekretarjema, ki delujeta po dogovoru s pogodbenicama. Na besedilo predloga, ki se v ta namen razpošlje, se morebitni pridržki ali spremembe sporočijo v roku, ki ni krajši od 21 koledarskih dni. Predsednik lahko ob posvetovanju s pogodbenicama ta rok skrajša, da se upoštevajo posebne okoliščine. Ko se o besedilu doseže dogovor, sklep ali priporočilo podpišejo predsednik in sekretarja. </w:t>
      </w:r>
    </w:p>
    <w:p>
      <w:pPr>
        <w:rPr>
          <w:rFonts w:eastAsia="Calibri"/>
          <w:noProof/>
        </w:rPr>
      </w:pPr>
      <w:r>
        <w:rPr>
          <w:noProof/>
        </w:rPr>
        <w:t>5. Sklepi Skupnega odbora, ki spreminjajo priloge k Sporazumu, se sprejmejo v verodostojnih jezikih Sporazuma.</w:t>
      </w:r>
    </w:p>
    <w:p>
      <w:pPr>
        <w:spacing w:before="0"/>
        <w:rPr>
          <w:rFonts w:eastAsia="Calibri"/>
          <w:noProof/>
        </w:rPr>
      </w:pPr>
      <w:r>
        <w:rPr>
          <w:noProof/>
        </w:rPr>
        <w:t>6. Med začasno uporabo členov 11–13 Sporazuma lahko Skupni odbor pripravi sklepe, ki so potrebni za izvajanje Sporazuma. Zavezujoč uraden sklep Skupnega odbora bo imel učinke samo po začetku veljavnosti Sporazuma.</w:t>
      </w:r>
    </w:p>
    <w:p>
      <w:pPr>
        <w:tabs>
          <w:tab w:val="left" w:pos="1296"/>
        </w:tabs>
        <w:spacing w:before="0"/>
        <w:rPr>
          <w:rFonts w:eastAsia="Calibri"/>
          <w:noProof/>
        </w:rPr>
      </w:pPr>
      <w:r>
        <w:rPr>
          <w:noProof/>
        </w:rPr>
        <w:tab/>
      </w:r>
    </w:p>
    <w:p>
      <w:pPr>
        <w:pStyle w:val="Titrearticle"/>
        <w:rPr>
          <w:noProof/>
        </w:rPr>
      </w:pPr>
      <w:r>
        <w:rPr>
          <w:noProof/>
        </w:rPr>
        <w:t>Člen 9</w:t>
      </w:r>
    </w:p>
    <w:p>
      <w:pPr>
        <w:keepNext/>
        <w:tabs>
          <w:tab w:val="left" w:pos="284"/>
          <w:tab w:val="left" w:pos="426"/>
        </w:tabs>
        <w:spacing w:before="0" w:after="0"/>
        <w:ind w:left="426" w:hanging="426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Zapisnik</w:t>
      </w:r>
    </w:p>
    <w:p>
      <w:pPr>
        <w:tabs>
          <w:tab w:val="left" w:pos="1296"/>
        </w:tabs>
        <w:rPr>
          <w:rFonts w:eastAsia="Calibri"/>
          <w:noProof/>
        </w:rPr>
      </w:pPr>
      <w:r>
        <w:rPr>
          <w:noProof/>
        </w:rPr>
        <w:t xml:space="preserve">1. Sekretariat pripravi osnutek zapisnika vsake seje. V njem so navedeni sprejeti sklepi in oblikovana priporočila. Osnutek zapisnika se predloži Skupnemu odboru v sprejetje. Potem ko Skupni odbor zapisnik sprejme, ga podpišejo predsednik in sekretarja. </w:t>
      </w:r>
    </w:p>
    <w:p>
      <w:pPr>
        <w:tabs>
          <w:tab w:val="left" w:pos="1296"/>
        </w:tabs>
        <w:rPr>
          <w:rFonts w:eastAsia="Calibri"/>
          <w:noProof/>
        </w:rPr>
      </w:pPr>
      <w:r>
        <w:rPr>
          <w:noProof/>
        </w:rPr>
        <w:t>2. Osnutek zapisnika se pripravi v 21 koledarskih dneh po seji in se predloži v odobritev Skupnemu odboru bodisi po pisnem postopku bodisi na naslednji seji Skupnega odbora.</w:t>
      </w:r>
    </w:p>
    <w:p>
      <w:pPr>
        <w:pStyle w:val="Titrearticle"/>
        <w:rPr>
          <w:noProof/>
        </w:rPr>
      </w:pPr>
      <w:r>
        <w:rPr>
          <w:noProof/>
        </w:rPr>
        <w:t>Člen 10</w:t>
      </w:r>
    </w:p>
    <w:p>
      <w:pPr>
        <w:keepNext/>
        <w:tabs>
          <w:tab w:val="left" w:pos="0"/>
          <w:tab w:val="left" w:pos="284"/>
          <w:tab w:val="left" w:pos="426"/>
        </w:tabs>
        <w:spacing w:before="0" w:after="0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Korespondenca</w:t>
      </w:r>
    </w:p>
    <w:p>
      <w:pPr>
        <w:tabs>
          <w:tab w:val="left" w:pos="0"/>
          <w:tab w:val="left" w:pos="284"/>
          <w:tab w:val="left" w:pos="426"/>
        </w:tabs>
        <w:spacing w:before="0"/>
        <w:rPr>
          <w:rFonts w:eastAsia="Times New Roman"/>
          <w:noProof/>
          <w:szCs w:val="20"/>
        </w:rPr>
      </w:pPr>
      <w:r>
        <w:rPr>
          <w:noProof/>
        </w:rPr>
        <w:t xml:space="preserve">Vsa korespondenca, ki se pošlje predsedniku Skupnega odbora ali jo pošlje predsednik Skupnega odbora, se pošlje sekretariatu Skupnega odbora. </w:t>
      </w:r>
    </w:p>
    <w:p>
      <w:pPr>
        <w:pStyle w:val="Titrearticle"/>
        <w:rPr>
          <w:noProof/>
        </w:rPr>
      </w:pPr>
      <w:r>
        <w:rPr>
          <w:noProof/>
        </w:rPr>
        <w:t>Člen 11</w:t>
      </w:r>
    </w:p>
    <w:p>
      <w:pPr>
        <w:keepNext/>
        <w:tabs>
          <w:tab w:val="left" w:pos="0"/>
          <w:tab w:val="left" w:pos="284"/>
          <w:tab w:val="left" w:pos="426"/>
        </w:tabs>
        <w:spacing w:before="0" w:after="0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Redna izmenjava informacij in posvetovanje</w:t>
      </w:r>
    </w:p>
    <w:p>
      <w:pPr>
        <w:tabs>
          <w:tab w:val="left" w:pos="0"/>
          <w:tab w:val="left" w:pos="284"/>
          <w:tab w:val="left" w:pos="426"/>
        </w:tabs>
        <w:spacing w:before="0"/>
        <w:rPr>
          <w:rFonts w:eastAsia="Times New Roman"/>
          <w:noProof/>
          <w:szCs w:val="20"/>
        </w:rPr>
      </w:pPr>
      <w:r>
        <w:rPr>
          <w:noProof/>
        </w:rPr>
        <w:t>1. V skladu s členom 10(2)</w:t>
      </w:r>
      <w:r>
        <w:rPr>
          <w:rFonts w:ascii="Arial" w:hAnsi="Arial"/>
          <w:noProof/>
        </w:rPr>
        <w:t xml:space="preserve"> </w:t>
      </w:r>
      <w:r>
        <w:rPr>
          <w:noProof/>
        </w:rPr>
        <w:t>Sporazuma pogodbenica obvesti drugo pogodbenico o pripravi zakonodaje na področju, ki zadeva ta sporazum.</w:t>
      </w:r>
    </w:p>
    <w:p>
      <w:pPr>
        <w:tabs>
          <w:tab w:val="left" w:pos="0"/>
          <w:tab w:val="left" w:pos="284"/>
          <w:tab w:val="left" w:pos="426"/>
        </w:tabs>
        <w:spacing w:before="0"/>
        <w:rPr>
          <w:rFonts w:eastAsia="Times New Roman"/>
          <w:noProof/>
          <w:szCs w:val="20"/>
        </w:rPr>
      </w:pPr>
      <w:r>
        <w:rPr>
          <w:noProof/>
        </w:rPr>
        <w:t>2. V ta namen prek sekretariata Skupnega odbora med pogodbenicama potekata redna izmenjava informacij in posvetovanje.</w:t>
      </w:r>
    </w:p>
    <w:p>
      <w:pPr>
        <w:pStyle w:val="Titrearticle"/>
        <w:rPr>
          <w:noProof/>
        </w:rPr>
      </w:pPr>
      <w:r>
        <w:rPr>
          <w:noProof/>
        </w:rPr>
        <w:t>Člen 12</w:t>
      </w:r>
    </w:p>
    <w:p>
      <w:pPr>
        <w:keepNext/>
        <w:tabs>
          <w:tab w:val="left" w:pos="0"/>
          <w:tab w:val="left" w:pos="284"/>
          <w:tab w:val="left" w:pos="426"/>
        </w:tabs>
        <w:spacing w:before="0" w:after="0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Zaupnost</w:t>
      </w:r>
    </w:p>
    <w:p>
      <w:pPr>
        <w:tabs>
          <w:tab w:val="left" w:pos="0"/>
          <w:tab w:val="left" w:pos="284"/>
          <w:tab w:val="left" w:pos="426"/>
        </w:tabs>
        <w:spacing w:before="0"/>
        <w:outlineLvl w:val="0"/>
        <w:rPr>
          <w:rFonts w:eastAsia="Times New Roman"/>
          <w:noProof/>
          <w:szCs w:val="20"/>
        </w:rPr>
      </w:pPr>
      <w:r>
        <w:rPr>
          <w:noProof/>
        </w:rPr>
        <w:t>Kadar pogodbenica Skupnemu odboru predloži informacije, ki so označene kot zaupne, druga pogodbenica navedene informacije obravnava kot take.</w:t>
      </w:r>
    </w:p>
    <w:p>
      <w:pPr>
        <w:pStyle w:val="Titrearticle"/>
        <w:rPr>
          <w:noProof/>
        </w:rPr>
      </w:pPr>
      <w:r>
        <w:rPr>
          <w:noProof/>
        </w:rPr>
        <w:t>Člen 13</w:t>
      </w:r>
    </w:p>
    <w:p>
      <w:pPr>
        <w:keepNext/>
        <w:tabs>
          <w:tab w:val="left" w:pos="284"/>
          <w:tab w:val="left" w:pos="426"/>
        </w:tabs>
        <w:spacing w:before="0" w:after="0"/>
        <w:ind w:left="425" w:hanging="425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Stroški</w:t>
      </w:r>
    </w:p>
    <w:p>
      <w:pPr>
        <w:rPr>
          <w:rFonts w:eastAsia="Calibri"/>
          <w:noProof/>
        </w:rPr>
      </w:pPr>
      <w:r>
        <w:rPr>
          <w:noProof/>
        </w:rPr>
        <w:t xml:space="preserve">Vsaka pogodbenica krije svoje stroške v zvezi z udeležbo na sejah Skupnega odbora in delovnih skupin ali pododborov. </w:t>
      </w:r>
    </w:p>
    <w:p>
      <w:pPr>
        <w:pStyle w:val="Titrearticle"/>
        <w:rPr>
          <w:noProof/>
        </w:rPr>
      </w:pPr>
      <w:r>
        <w:rPr>
          <w:noProof/>
        </w:rPr>
        <w:t>Člen 14</w:t>
      </w:r>
    </w:p>
    <w:p>
      <w:pPr>
        <w:keepNext/>
        <w:tabs>
          <w:tab w:val="left" w:pos="0"/>
          <w:tab w:val="left" w:pos="284"/>
          <w:tab w:val="left" w:pos="426"/>
        </w:tabs>
        <w:spacing w:before="0" w:after="0"/>
        <w:ind w:left="425" w:hanging="425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Sprememba</w:t>
      </w:r>
    </w:p>
    <w:p>
      <w:pPr>
        <w:tabs>
          <w:tab w:val="left" w:pos="0"/>
          <w:tab w:val="left" w:pos="284"/>
          <w:tab w:val="left" w:pos="426"/>
        </w:tabs>
        <w:spacing w:before="0"/>
        <w:rPr>
          <w:rFonts w:eastAsia="Times New Roman"/>
          <w:noProof/>
          <w:szCs w:val="20"/>
        </w:rPr>
      </w:pPr>
      <w:r>
        <w:rPr>
          <w:noProof/>
        </w:rPr>
        <w:t>Ta poslovnik se lahko spremeni s sklepom Skupnega odbora v skladu s členom 8.</w:t>
      </w:r>
    </w:p>
    <w:p>
      <w:pPr>
        <w:pStyle w:val="Titrearticle"/>
        <w:rPr>
          <w:noProof/>
        </w:rPr>
      </w:pPr>
      <w:r>
        <w:rPr>
          <w:noProof/>
        </w:rPr>
        <w:t>Člen 15</w:t>
      </w:r>
    </w:p>
    <w:p>
      <w:pPr>
        <w:keepNext/>
        <w:tabs>
          <w:tab w:val="left" w:pos="284"/>
          <w:tab w:val="left" w:pos="426"/>
        </w:tabs>
        <w:spacing w:before="0" w:after="0"/>
        <w:ind w:left="426" w:hanging="426"/>
        <w:jc w:val="center"/>
        <w:rPr>
          <w:rFonts w:eastAsia="Times New Roman"/>
          <w:b/>
          <w:noProof/>
          <w:szCs w:val="20"/>
        </w:rPr>
      </w:pPr>
      <w:r>
        <w:rPr>
          <w:b/>
          <w:noProof/>
        </w:rPr>
        <w:t>Začasna uporaba</w:t>
      </w:r>
    </w:p>
    <w:p>
      <w:pPr>
        <w:tabs>
          <w:tab w:val="left" w:pos="0"/>
          <w:tab w:val="left" w:pos="284"/>
          <w:tab w:val="left" w:pos="426"/>
        </w:tabs>
        <w:spacing w:before="0"/>
        <w:rPr>
          <w:noProof/>
        </w:rPr>
      </w:pPr>
      <w:r>
        <w:rPr>
          <w:noProof/>
        </w:rPr>
        <w:t xml:space="preserve">V času začasne uporabe členov 11–13 Sporazuma se ta poslovnik uporablja smiselno. 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3CB8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9764A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6D0A1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8D823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500F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8DA72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7CB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638B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4 09:26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4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EB112C0-6401-4275-998F-E7CE59857389"/>
    <w:docVar w:name="LW_COVERPAGE_TYPE" w:val="1"/>
    <w:docVar w:name="LW_CROSSREFERENCE" w:val="&lt;UNUSED&gt;"/>
    <w:docVar w:name="LW_DocType" w:val="ANNEX"/>
    <w:docVar w:name="LW_EMISSION" w:val="31.5.2018"/>
    <w:docVar w:name="LW_EMISSION_ISODATE" w:val="2018-05-31"/>
    <w:docVar w:name="LW_EMISSION_LOCATION" w:val="BRX"/>
    <w:docVar w:name="LW_EMISSION_PREFIX" w:val="Bruselj,"/>
    <w:docVar w:name="LW_EMISSION_SUFFIX" w:val="&lt;EMPTY&gt;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stali\u353?\u269?u, ki se v imenu Evropske unije zastopa v Skupnem odboru, ustanovljenem s Sporazumom med Evropsko unijo in \u352?vicarsko konfederacijo o povezavi njunih sistemov trgovanja z emisijami toplogrednih plinov, glede sprejetja njegovega poslovnika"/>
    <w:docVar w:name="LW_OBJETACTEPRINCIPAL.CP" w:val="o stali\u353?\u269?u, ki se v imenu Evropske unije zastopa v Skupnem odboru, ustanovljenem s Sporazumom med Evropsko unijo in \u352?vicarsko konfederacijo o povezavi njunih sistemov trgovanja z emisijami toplogrednih plinov, glede sprejetja njegovega poslovnika"/>
    <w:docVar w:name="LW_PART_NBR" w:val="1"/>
    <w:docVar w:name="LW_PART_NBR_TOTAL" w:val="1"/>
    <w:docVar w:name="LW_REF.INST.NEW" w:val="COM"/>
    <w:docVar w:name="LW_REF.INST.NEW_ADOPTED" w:val="final"/>
    <w:docVar w:name="LW_REF.INST.NEW_TEXT" w:val="(2018) 3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 SKLEPA SVETA"/>
    <w:docVar w:name="LW_TYPEACTEPRINCIPAL.CP" w:val="predlogu SKLEPA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Signature">
    <w:name w:val="Signature"/>
    <w:basedOn w:val="Normal"/>
    <w:link w:val="SignatureChar"/>
    <w:uiPriority w:val="99"/>
    <w:unhideWhenUsed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4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Signature">
    <w:name w:val="Signature"/>
    <w:basedOn w:val="Normal"/>
    <w:link w:val="SignatureChar"/>
    <w:uiPriority w:val="99"/>
    <w:unhideWhenUsed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4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1116</Words>
  <Characters>6552</Characters>
  <Application>Microsoft Office Word</Application>
  <DocSecurity>0</DocSecurity>
  <Lines>148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AZNAR CANO Ismael (CLIMA)</dc:creator>
  <cp:lastModifiedBy>DIGIT/A3</cp:lastModifiedBy>
  <cp:revision>7</cp:revision>
  <cp:lastPrinted>2018-04-20T09:51:00Z</cp:lastPrinted>
  <dcterms:created xsi:type="dcterms:W3CDTF">2018-05-07T13:17:00Z</dcterms:created>
  <dcterms:modified xsi:type="dcterms:W3CDTF">2018-05-24T07:26:00Z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