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E4" w:rsidRDefault="00DC29E4" w:rsidP="00377253">
      <w:pPr>
        <w:pStyle w:val="PS-hlavika1"/>
      </w:pPr>
      <w:r>
        <w:t>Parlament České republiky</w:t>
      </w:r>
    </w:p>
    <w:p w:rsidR="00DC29E4" w:rsidRDefault="00DC29E4" w:rsidP="000E730C">
      <w:pPr>
        <w:pStyle w:val="PS-hlavika2"/>
      </w:pPr>
      <w:r>
        <w:t>POSLANECKÁ SNĚMOVNA</w:t>
      </w:r>
    </w:p>
    <w:p w:rsidR="00DC29E4" w:rsidRDefault="00EF0C30" w:rsidP="000E730C">
      <w:pPr>
        <w:pStyle w:val="PS-hlavika2"/>
      </w:pPr>
      <w:r>
        <w:t>2018</w:t>
      </w:r>
    </w:p>
    <w:p w:rsidR="00DC29E4" w:rsidRDefault="00EF0C30" w:rsidP="00377253">
      <w:pPr>
        <w:pStyle w:val="PS-hlavika1"/>
      </w:pPr>
      <w:r>
        <w:t>8</w:t>
      </w:r>
      <w:r w:rsidR="00DC29E4">
        <w:t>. volební období</w:t>
      </w:r>
    </w:p>
    <w:p w:rsidR="00DC29E4" w:rsidRDefault="00CA28ED" w:rsidP="000E730C">
      <w:pPr>
        <w:pStyle w:val="PS-slousnesen"/>
      </w:pPr>
      <w:r>
        <w:t>74</w:t>
      </w:r>
      <w:r w:rsidR="00656C37">
        <w:t>.</w:t>
      </w:r>
    </w:p>
    <w:p w:rsidR="00DC29E4" w:rsidRDefault="00DC29E4" w:rsidP="00903269">
      <w:pPr>
        <w:pStyle w:val="PS-hlavika3"/>
      </w:pPr>
      <w:r>
        <w:t>USNESENÍ</w:t>
      </w:r>
    </w:p>
    <w:p w:rsidR="00DC29E4" w:rsidRDefault="005C30D7" w:rsidP="00377253">
      <w:pPr>
        <w:pStyle w:val="PS-hlavika1"/>
      </w:pPr>
      <w:r>
        <w:t>výboru</w:t>
      </w:r>
      <w:r w:rsidR="00136646">
        <w:t xml:space="preserve"> pro evropské záležitosti</w:t>
      </w:r>
    </w:p>
    <w:p w:rsidR="00DC29E4" w:rsidRDefault="00DC29E4" w:rsidP="00377253">
      <w:pPr>
        <w:pStyle w:val="PS-hlavika1"/>
      </w:pPr>
      <w:r>
        <w:t xml:space="preserve">z </w:t>
      </w:r>
      <w:r w:rsidR="008B458C">
        <w:t>11</w:t>
      </w:r>
      <w:r>
        <w:t>. schůze</w:t>
      </w:r>
    </w:p>
    <w:p w:rsidR="00DC29E4" w:rsidRDefault="00DC29E4" w:rsidP="00377253">
      <w:pPr>
        <w:pStyle w:val="PS-hlavika1"/>
      </w:pPr>
      <w:r>
        <w:t xml:space="preserve">ze dne </w:t>
      </w:r>
      <w:r w:rsidR="008B458C">
        <w:t>9</w:t>
      </w:r>
      <w:r>
        <w:t xml:space="preserve">. </w:t>
      </w:r>
      <w:r w:rsidR="008B458C">
        <w:t>května</w:t>
      </w:r>
      <w:r w:rsidR="00EF0C30">
        <w:t xml:space="preserve"> 2018</w:t>
      </w:r>
    </w:p>
    <w:p w:rsidR="00136646" w:rsidRDefault="00136646" w:rsidP="00136646">
      <w:pPr>
        <w:pStyle w:val="Bezmezer"/>
      </w:pPr>
    </w:p>
    <w:p w:rsidR="00136646" w:rsidRDefault="00136646" w:rsidP="00136646">
      <w:pPr>
        <w:pStyle w:val="Bezmezer"/>
      </w:pPr>
    </w:p>
    <w:p w:rsidR="00136646" w:rsidRPr="00136646" w:rsidRDefault="00136646" w:rsidP="00136646">
      <w:pPr>
        <w:pStyle w:val="Bezmezer"/>
      </w:pPr>
    </w:p>
    <w:p w:rsidR="00BA00F3" w:rsidRDefault="00BA00F3" w:rsidP="00A46CDA">
      <w:pPr>
        <w:pStyle w:val="PS-uvodnodstavec"/>
      </w:pPr>
    </w:p>
    <w:p w:rsidR="00C978E8" w:rsidRPr="00C978E8" w:rsidRDefault="00C978E8" w:rsidP="00C978E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 n</w:t>
      </w:r>
      <w:r w:rsidRPr="00C978E8">
        <w:rPr>
          <w:rFonts w:ascii="Times New Roman" w:eastAsia="Times New Roman" w:hAnsi="Times New Roman"/>
          <w:sz w:val="24"/>
          <w:szCs w:val="20"/>
          <w:lang w:eastAsia="zh-CN" w:bidi="hi-IN"/>
        </w:rPr>
        <w:t>ávrh</w:t>
      </w:r>
      <w:r>
        <w:rPr>
          <w:rFonts w:ascii="Times New Roman" w:eastAsia="Times New Roman" w:hAnsi="Times New Roman"/>
          <w:sz w:val="24"/>
          <w:szCs w:val="20"/>
          <w:lang w:eastAsia="zh-CN" w:bidi="hi-IN"/>
        </w:rPr>
        <w:t>u</w:t>
      </w:r>
      <w:r w:rsidRPr="00C978E8">
        <w:rPr>
          <w:rFonts w:ascii="Times New Roman" w:eastAsia="Times New Roman" w:hAnsi="Times New Roman"/>
          <w:sz w:val="24"/>
          <w:szCs w:val="20"/>
          <w:lang w:eastAsia="zh-CN" w:bidi="hi-IN"/>
        </w:rPr>
        <w:t xml:space="preserve"> nařízení Evropského parlamentu a Rady o zřízení Evropského orgánu pro pracovní záležitosti /kód dokumentu 7203/18, KOM(2018) 131 v konečném znění/</w:t>
      </w:r>
    </w:p>
    <w:p w:rsidR="00C978E8" w:rsidRPr="00C978E8" w:rsidRDefault="00C978E8" w:rsidP="00C978E8">
      <w:pPr>
        <w:suppressAutoHyphens/>
        <w:spacing w:after="0" w:line="240" w:lineRule="auto"/>
        <w:ind w:left="1104"/>
        <w:jc w:val="center"/>
        <w:rPr>
          <w:rFonts w:ascii="Times New Roman" w:eastAsia="Times New Roman" w:hAnsi="Times New Roman"/>
          <w:sz w:val="24"/>
          <w:szCs w:val="20"/>
          <w:lang w:eastAsia="zh-CN" w:bidi="hi-IN"/>
        </w:rPr>
      </w:pPr>
    </w:p>
    <w:p w:rsidR="00C978E8" w:rsidRPr="00C978E8" w:rsidRDefault="00C978E8" w:rsidP="00C978E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ke s</w:t>
      </w:r>
      <w:r w:rsidRPr="00C978E8">
        <w:rPr>
          <w:rFonts w:ascii="Times New Roman" w:eastAsia="Times New Roman" w:hAnsi="Times New Roman"/>
          <w:sz w:val="24"/>
          <w:szCs w:val="20"/>
          <w:lang w:eastAsia="zh-CN" w:bidi="hi-IN"/>
        </w:rPr>
        <w:t>dělení Evropskému parlamentu, Radě a Evropskému hospodářskému a sociálnímu výboru – Monitorování provádění evropského pilíře sociálních práv /kód dokumentu 7411/18, KOM(2018) 130 v konečném znění/</w:t>
      </w:r>
    </w:p>
    <w:p w:rsidR="00C978E8" w:rsidRPr="00C978E8" w:rsidRDefault="00C978E8" w:rsidP="00C978E8">
      <w:pPr>
        <w:suppressAutoHyphens/>
        <w:spacing w:after="0" w:line="240" w:lineRule="auto"/>
        <w:ind w:left="1104"/>
        <w:jc w:val="center"/>
        <w:rPr>
          <w:rFonts w:ascii="Times New Roman" w:eastAsia="Times New Roman" w:hAnsi="Times New Roman"/>
          <w:sz w:val="24"/>
          <w:szCs w:val="20"/>
          <w:lang w:eastAsia="zh-CN" w:bidi="hi-IN"/>
        </w:rPr>
      </w:pPr>
    </w:p>
    <w:p w:rsidR="00C978E8" w:rsidRPr="00C978E8" w:rsidRDefault="00C978E8" w:rsidP="00C978E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 n</w:t>
      </w:r>
      <w:r w:rsidRPr="00C978E8">
        <w:rPr>
          <w:rFonts w:ascii="Times New Roman" w:eastAsia="Times New Roman" w:hAnsi="Times New Roman"/>
          <w:sz w:val="24"/>
          <w:szCs w:val="20"/>
          <w:lang w:eastAsia="zh-CN" w:bidi="hi-IN"/>
        </w:rPr>
        <w:t>ávrh</w:t>
      </w:r>
      <w:r>
        <w:rPr>
          <w:rFonts w:ascii="Times New Roman" w:eastAsia="Times New Roman" w:hAnsi="Times New Roman"/>
          <w:sz w:val="24"/>
          <w:szCs w:val="20"/>
          <w:lang w:eastAsia="zh-CN" w:bidi="hi-IN"/>
        </w:rPr>
        <w:t>u</w:t>
      </w:r>
      <w:r w:rsidRPr="00C978E8">
        <w:rPr>
          <w:rFonts w:ascii="Times New Roman" w:eastAsia="Times New Roman" w:hAnsi="Times New Roman"/>
          <w:sz w:val="24"/>
          <w:szCs w:val="20"/>
          <w:lang w:eastAsia="zh-CN" w:bidi="hi-IN"/>
        </w:rPr>
        <w:t xml:space="preserve"> doporučení Rady o přístupu pracovníků a osob samostatně výdělečně činných k sociální ochraně /kód dokumentu 7416/18, KOM(2018) 132 v konečném znění/</w:t>
      </w:r>
    </w:p>
    <w:p w:rsidR="00BA00F3" w:rsidRDefault="008B458C" w:rsidP="00C978E8">
      <w:pPr>
        <w:pStyle w:val="PS-uvodnodstavec"/>
        <w:pBdr>
          <w:bottom w:val="single" w:sz="4" w:space="1" w:color="auto"/>
        </w:pBdr>
        <w:ind w:firstLine="0"/>
        <w:jc w:val="center"/>
      </w:pPr>
      <w:r>
        <w:t xml:space="preserve"> </w:t>
      </w:r>
    </w:p>
    <w:p w:rsidR="00D46ACA" w:rsidRDefault="00D46ACA" w:rsidP="00A46CDA">
      <w:pPr>
        <w:pStyle w:val="PS-uvodnodstavec"/>
      </w:pPr>
    </w:p>
    <w:p w:rsidR="00DC29E4" w:rsidRDefault="00136646" w:rsidP="00A46CDA">
      <w:pPr>
        <w:pStyle w:val="PS-uvodnodstavec"/>
      </w:pPr>
      <w:r>
        <w:t>V</w:t>
      </w:r>
      <w:r w:rsidR="00DC29E4">
        <w:t>ýbor</w:t>
      </w:r>
      <w:r>
        <w:t xml:space="preserve"> pro evropské záležitosti</w:t>
      </w:r>
      <w:r w:rsidR="00DC29E4">
        <w:t xml:space="preserve"> Poslanecké sněmovny Parlamentu ČR po vyslechnutí</w:t>
      </w:r>
      <w:r w:rsidR="00A93982">
        <w:t xml:space="preserve"> informace</w:t>
      </w:r>
      <w:r w:rsidR="0094737F">
        <w:t xml:space="preserve"> náměstka ministryně práce a sociálních věcí doc. JUDr. Petra Hůrky, Ph.D.</w:t>
      </w:r>
      <w:r w:rsidR="00C978E8">
        <w:t xml:space="preserve"> a </w:t>
      </w:r>
      <w:r w:rsidR="002706C2">
        <w:t xml:space="preserve">ředitele Odboru koordinace hospodářských politik EU </w:t>
      </w:r>
      <w:r w:rsidR="00C978E8">
        <w:t>Úřadu vlády</w:t>
      </w:r>
      <w:r w:rsidR="002706C2">
        <w:t xml:space="preserve"> Mgr. Zbyňka Smetany</w:t>
      </w:r>
      <w:r>
        <w:t>, po vyslechnutí zpravodajské zprávy</w:t>
      </w:r>
      <w:r w:rsidR="00A93982">
        <w:t xml:space="preserve"> posl.</w:t>
      </w:r>
      <w:r w:rsidR="00C978E8">
        <w:t xml:space="preserve"> Andrey Babišové</w:t>
      </w:r>
      <w:r w:rsidR="00DC29E4">
        <w:t xml:space="preserve"> a po rozpravě</w:t>
      </w:r>
    </w:p>
    <w:p w:rsidR="00A93982" w:rsidRDefault="00A93982" w:rsidP="00C978E8">
      <w:pPr>
        <w:pStyle w:val="PS-slovanseznam"/>
        <w:numPr>
          <w:ilvl w:val="0"/>
          <w:numId w:val="0"/>
        </w:numPr>
      </w:pPr>
      <w:r>
        <w:rPr>
          <w:rStyle w:val="proloenChar"/>
        </w:rPr>
        <w:tab/>
      </w:r>
      <w:r w:rsidRPr="00A93982">
        <w:rPr>
          <w:rStyle w:val="proloenChar"/>
          <w:b/>
        </w:rPr>
        <w:t>schvaluje</w:t>
      </w:r>
      <w:r w:rsidR="002B60B3">
        <w:t xml:space="preserve"> </w:t>
      </w:r>
      <w:r>
        <w:t>stanovisko, které je přílohou tohoto usnesení.</w:t>
      </w:r>
    </w:p>
    <w:p w:rsidR="00106842" w:rsidRPr="00106842" w:rsidRDefault="00106842" w:rsidP="00893C29">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CA28ED">
        <w:rPr>
          <w:rFonts w:ascii="Times New Roman" w:hAnsi="Times New Roman"/>
          <w:sz w:val="24"/>
        </w:rPr>
        <w:t>Adam Kalous</w:t>
      </w:r>
      <w:r w:rsidR="009E1769">
        <w:rPr>
          <w:rFonts w:ascii="Times New Roman" w:hAnsi="Times New Roman"/>
          <w:sz w:val="24"/>
        </w:rPr>
        <w:t xml:space="preserve"> v. r.</w:t>
      </w:r>
      <w:r w:rsidRPr="00106842">
        <w:rPr>
          <w:rFonts w:ascii="Times New Roman" w:hAnsi="Times New Roman"/>
          <w:sz w:val="24"/>
        </w:rPr>
        <w:tab/>
        <w:t xml:space="preserve"> </w:t>
      </w:r>
      <w:r w:rsidR="00F85A4C">
        <w:rPr>
          <w:rFonts w:ascii="Times New Roman" w:hAnsi="Times New Roman"/>
          <w:sz w:val="24"/>
        </w:rPr>
        <w:tab/>
      </w:r>
      <w:r w:rsidR="00C978E8">
        <w:rPr>
          <w:rFonts w:ascii="Times New Roman" w:hAnsi="Times New Roman"/>
          <w:sz w:val="24"/>
        </w:rPr>
        <w:t>Andrea Babišová</w:t>
      </w:r>
      <w:r w:rsidR="00F85A4C">
        <w:rPr>
          <w:rFonts w:ascii="Times New Roman" w:hAnsi="Times New Roman"/>
          <w:sz w:val="24"/>
        </w:rPr>
        <w:t xml:space="preserve"> </w:t>
      </w:r>
      <w:r w:rsidR="009E1769">
        <w:rPr>
          <w:rFonts w:ascii="Times New Roman" w:hAnsi="Times New Roman"/>
          <w:sz w:val="24"/>
        </w:rPr>
        <w:t xml:space="preserve">v. r. </w:t>
      </w:r>
    </w:p>
    <w:p w:rsidR="00106842" w:rsidRPr="00106842" w:rsidRDefault="00106842" w:rsidP="00566A4C">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00254049">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r w:rsidR="00C978E8">
        <w:rPr>
          <w:rFonts w:ascii="Times New Roman" w:hAnsi="Times New Roman"/>
          <w:sz w:val="24"/>
        </w:rPr>
        <w:t>ka</w:t>
      </w:r>
    </w:p>
    <w:p w:rsidR="00106842" w:rsidRPr="00254049" w:rsidRDefault="00106842" w:rsidP="00106842">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sidR="00A93982">
        <w:rPr>
          <w:rFonts w:ascii="Times New Roman" w:hAnsi="Times New Roman"/>
          <w:sz w:val="24"/>
        </w:rPr>
        <w:t>Ondřej</w:t>
      </w:r>
      <w:r w:rsidR="00A46B62">
        <w:rPr>
          <w:rFonts w:ascii="Times New Roman" w:hAnsi="Times New Roman"/>
          <w:sz w:val="24"/>
        </w:rPr>
        <w:t xml:space="preserve"> Veselý</w:t>
      </w:r>
      <w:r w:rsidRPr="00106842">
        <w:rPr>
          <w:rFonts w:ascii="Times New Roman" w:hAnsi="Times New Roman"/>
          <w:sz w:val="24"/>
        </w:rPr>
        <w:t xml:space="preserve"> </w:t>
      </w:r>
      <w:r w:rsidR="009E1769">
        <w:rPr>
          <w:rFonts w:ascii="Times New Roman" w:hAnsi="Times New Roman"/>
          <w:sz w:val="24"/>
        </w:rPr>
        <w:t>v. r.</w:t>
      </w:r>
    </w:p>
    <w:p w:rsidR="00106842" w:rsidRDefault="00106842" w:rsidP="00106842">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sidR="00A46B62">
        <w:rPr>
          <w:rFonts w:ascii="Times New Roman" w:hAnsi="Times New Roman"/>
          <w:sz w:val="24"/>
        </w:rPr>
        <w:t>místo</w:t>
      </w:r>
      <w:r w:rsidR="00B715B6">
        <w:rPr>
          <w:rFonts w:ascii="Times New Roman" w:hAnsi="Times New Roman"/>
          <w:sz w:val="24"/>
        </w:rPr>
        <w:t>p</w:t>
      </w:r>
      <w:r w:rsidRPr="00106842">
        <w:rPr>
          <w:rFonts w:ascii="Times New Roman" w:hAnsi="Times New Roman"/>
          <w:sz w:val="24"/>
        </w:rPr>
        <w:t>ředseda</w:t>
      </w:r>
    </w:p>
    <w:p w:rsidR="00B715B6" w:rsidRDefault="00B715B6" w:rsidP="00106842">
      <w:pPr>
        <w:tabs>
          <w:tab w:val="center" w:pos="1701"/>
          <w:tab w:val="center" w:pos="4536"/>
          <w:tab w:val="center" w:pos="7371"/>
        </w:tabs>
        <w:spacing w:after="0" w:line="240" w:lineRule="auto"/>
        <w:rPr>
          <w:rFonts w:ascii="Times New Roman" w:hAnsi="Times New Roman"/>
          <w:sz w:val="24"/>
        </w:rPr>
      </w:pPr>
    </w:p>
    <w:p w:rsidR="00D066DF" w:rsidRDefault="00D066DF" w:rsidP="00D066DF">
      <w:pPr>
        <w:spacing w:after="0" w:line="240" w:lineRule="auto"/>
        <w:rPr>
          <w:rFonts w:ascii="Times New Roman" w:hAnsi="Times New Roman"/>
          <w:sz w:val="24"/>
        </w:rPr>
        <w:sectPr w:rsidR="00D066DF" w:rsidSect="000C5278">
          <w:footerReference w:type="default" r:id="rId7"/>
          <w:pgSz w:w="11906" w:h="16838"/>
          <w:pgMar w:top="1134" w:right="1418" w:bottom="1418" w:left="1418" w:header="709" w:footer="709" w:gutter="0"/>
          <w:cols w:space="708"/>
          <w:docGrid w:linePitch="360"/>
        </w:sectPr>
      </w:pPr>
    </w:p>
    <w:p w:rsidR="003A1DF9" w:rsidRDefault="003A1DF9" w:rsidP="00D066DF">
      <w:pPr>
        <w:spacing w:after="0" w:line="240" w:lineRule="auto"/>
        <w:rPr>
          <w:rFonts w:ascii="Times New Roman" w:hAnsi="Times New Roman"/>
          <w:sz w:val="24"/>
        </w:rPr>
      </w:pPr>
      <w:r>
        <w:rPr>
          <w:rFonts w:ascii="Times New Roman" w:hAnsi="Times New Roman"/>
          <w:sz w:val="24"/>
        </w:rPr>
        <w:lastRenderedPageBreak/>
        <w:t xml:space="preserve"> </w:t>
      </w:r>
      <w:r w:rsidR="00D066DF">
        <w:rPr>
          <w:rFonts w:ascii="Times New Roman" w:hAnsi="Times New Roman"/>
          <w:sz w:val="24"/>
        </w:rPr>
        <w:t xml:space="preserve">Příloha k usnesení č. </w:t>
      </w:r>
      <w:r w:rsidR="00CA28ED">
        <w:rPr>
          <w:rFonts w:ascii="Times New Roman" w:hAnsi="Times New Roman"/>
          <w:sz w:val="24"/>
        </w:rPr>
        <w:t>74</w:t>
      </w:r>
    </w:p>
    <w:p w:rsidR="00B4108A" w:rsidRDefault="00B4108A" w:rsidP="00D066DF">
      <w:pPr>
        <w:spacing w:after="0" w:line="240" w:lineRule="auto"/>
        <w:rPr>
          <w:rFonts w:ascii="Times New Roman" w:hAnsi="Times New Roman"/>
          <w:sz w:val="24"/>
        </w:rPr>
      </w:pPr>
    </w:p>
    <w:p w:rsidR="00CA28ED" w:rsidRPr="00CA28ED" w:rsidRDefault="00CA28ED" w:rsidP="00CA28ED">
      <w:pPr>
        <w:pStyle w:val="PODNZEVPRCE"/>
        <w:jc w:val="center"/>
        <w:rPr>
          <w:rFonts w:ascii="Times New Roman" w:hAnsi="Times New Roman"/>
          <w:b/>
          <w:color w:val="auto"/>
        </w:rPr>
      </w:pPr>
      <w:r w:rsidRPr="00CA28ED">
        <w:rPr>
          <w:rFonts w:ascii="Times New Roman" w:hAnsi="Times New Roman"/>
          <w:b/>
          <w:color w:val="auto"/>
        </w:rPr>
        <w:t>Návrh nařízení Evropského parlamentu a Rady o zřízení Evropského orgánu pro pracovní záležitosti</w:t>
      </w:r>
    </w:p>
    <w:p w:rsidR="00CA28ED" w:rsidRPr="00CA28ED" w:rsidRDefault="00CA28ED" w:rsidP="00CA28ED">
      <w:pPr>
        <w:pStyle w:val="PODNZEVPRCE"/>
        <w:jc w:val="center"/>
        <w:rPr>
          <w:rFonts w:ascii="Times New Roman" w:hAnsi="Times New Roman"/>
          <w:b/>
          <w:color w:val="auto"/>
          <w:sz w:val="24"/>
          <w:szCs w:val="24"/>
        </w:rPr>
      </w:pPr>
    </w:p>
    <w:p w:rsidR="00CA28ED" w:rsidRPr="00CA28ED" w:rsidRDefault="00CA28ED" w:rsidP="00CA28ED">
      <w:pPr>
        <w:pStyle w:val="PODNZEVPRCE"/>
        <w:jc w:val="center"/>
        <w:rPr>
          <w:rFonts w:ascii="Times New Roman" w:hAnsi="Times New Roman"/>
          <w:b/>
          <w:color w:val="auto"/>
          <w:sz w:val="24"/>
          <w:szCs w:val="24"/>
        </w:rPr>
      </w:pPr>
      <w:r w:rsidRPr="00CA28ED">
        <w:rPr>
          <w:rFonts w:ascii="Times New Roman" w:hAnsi="Times New Roman"/>
          <w:b/>
          <w:color w:val="auto"/>
          <w:sz w:val="24"/>
          <w:szCs w:val="24"/>
        </w:rPr>
        <w:t>KOM(2018) 131 v konečném znění, kód Rady 7203/18</w:t>
      </w:r>
    </w:p>
    <w:p w:rsidR="00CA28ED" w:rsidRPr="00CA28ED" w:rsidRDefault="00CA28ED" w:rsidP="00CA28ED">
      <w:pPr>
        <w:pStyle w:val="PODNZEVPRCE"/>
        <w:jc w:val="center"/>
        <w:rPr>
          <w:rFonts w:ascii="Times New Roman" w:hAnsi="Times New Roman"/>
          <w:b/>
          <w:color w:val="auto"/>
          <w:sz w:val="24"/>
          <w:szCs w:val="24"/>
        </w:rPr>
      </w:pPr>
      <w:r w:rsidRPr="00CA28ED">
        <w:rPr>
          <w:rFonts w:ascii="Times New Roman" w:hAnsi="Times New Roman"/>
          <w:b/>
          <w:color w:val="auto"/>
          <w:sz w:val="24"/>
          <w:szCs w:val="24"/>
        </w:rPr>
        <w:t>Interinstitucionální spis 2018/0064/COD</w:t>
      </w:r>
    </w:p>
    <w:p w:rsidR="00CA28ED" w:rsidRPr="00CA28ED" w:rsidRDefault="00CA28ED" w:rsidP="00CA28ED">
      <w:pPr>
        <w:pStyle w:val="PODNZEVPRCE"/>
        <w:jc w:val="center"/>
        <w:rPr>
          <w:rFonts w:ascii="Times New Roman" w:hAnsi="Times New Roman"/>
          <w:b/>
          <w:color w:val="auto"/>
        </w:rPr>
      </w:pPr>
    </w:p>
    <w:p w:rsidR="00CA28ED" w:rsidRPr="00CA28ED" w:rsidRDefault="00CA28ED" w:rsidP="00CA28ED">
      <w:pPr>
        <w:pStyle w:val="PODNZEVPRCE"/>
        <w:jc w:val="center"/>
        <w:rPr>
          <w:rFonts w:ascii="Times New Roman" w:hAnsi="Times New Roman"/>
          <w:b/>
          <w:color w:val="auto"/>
        </w:rPr>
      </w:pPr>
      <w:r w:rsidRPr="00CA28ED">
        <w:rPr>
          <w:rFonts w:ascii="Times New Roman" w:hAnsi="Times New Roman"/>
          <w:b/>
          <w:color w:val="auto"/>
        </w:rPr>
        <w:t>Sdělení Evropskému parlamentu, Radě a Evropskému hospodářskému a sociálnímu výboru - Monitorování provádění evropského pilíře sociálních práv</w:t>
      </w:r>
    </w:p>
    <w:p w:rsidR="00CA28ED" w:rsidRPr="00CA28ED" w:rsidRDefault="00CA28ED" w:rsidP="00CA28ED">
      <w:pPr>
        <w:pStyle w:val="PODNZEVPRCE"/>
        <w:jc w:val="center"/>
        <w:rPr>
          <w:rFonts w:ascii="Times New Roman" w:hAnsi="Times New Roman"/>
          <w:b/>
          <w:color w:val="auto"/>
          <w:sz w:val="24"/>
          <w:szCs w:val="24"/>
        </w:rPr>
      </w:pPr>
    </w:p>
    <w:p w:rsidR="00CA28ED" w:rsidRPr="00CA28ED" w:rsidRDefault="00CA28ED" w:rsidP="00CA28ED">
      <w:pPr>
        <w:pStyle w:val="PODNZEVPRCE"/>
        <w:jc w:val="center"/>
        <w:rPr>
          <w:rFonts w:ascii="Times New Roman" w:hAnsi="Times New Roman"/>
          <w:b/>
          <w:color w:val="auto"/>
          <w:sz w:val="24"/>
          <w:szCs w:val="24"/>
        </w:rPr>
      </w:pPr>
      <w:r w:rsidRPr="00CA28ED">
        <w:rPr>
          <w:rFonts w:ascii="Times New Roman" w:hAnsi="Times New Roman"/>
          <w:b/>
          <w:color w:val="auto"/>
          <w:sz w:val="24"/>
          <w:szCs w:val="24"/>
        </w:rPr>
        <w:t>KOM(2018) 130 v konečném znění, kód Rady 7411/18</w:t>
      </w:r>
    </w:p>
    <w:p w:rsidR="00CA28ED" w:rsidRPr="00CA28ED" w:rsidRDefault="00CA28ED" w:rsidP="00CA28ED">
      <w:pPr>
        <w:pStyle w:val="PODNZEVPRCE"/>
        <w:jc w:val="center"/>
        <w:rPr>
          <w:rFonts w:ascii="Times New Roman" w:hAnsi="Times New Roman"/>
          <w:b/>
          <w:color w:val="auto"/>
        </w:rPr>
      </w:pPr>
    </w:p>
    <w:p w:rsidR="00CA28ED" w:rsidRPr="00CA28ED" w:rsidRDefault="00CA28ED" w:rsidP="00CA28ED">
      <w:pPr>
        <w:pStyle w:val="PODNZEVPRCE"/>
        <w:jc w:val="center"/>
        <w:rPr>
          <w:rFonts w:ascii="Times New Roman" w:hAnsi="Times New Roman"/>
          <w:b/>
          <w:color w:val="auto"/>
        </w:rPr>
      </w:pPr>
      <w:r w:rsidRPr="00CA28ED">
        <w:rPr>
          <w:rFonts w:ascii="Times New Roman" w:hAnsi="Times New Roman"/>
          <w:b/>
          <w:color w:val="auto"/>
        </w:rPr>
        <w:t>Návrh doporučení Rady o přístupu pracovníků a osob samostatně výdělečně činných k sociální ochraně</w:t>
      </w:r>
    </w:p>
    <w:p w:rsidR="00CA28ED" w:rsidRPr="00CA28ED" w:rsidRDefault="00CA28ED" w:rsidP="00CA28ED">
      <w:pPr>
        <w:pStyle w:val="PODNZEVPRCE"/>
        <w:jc w:val="center"/>
        <w:rPr>
          <w:rFonts w:ascii="Times New Roman" w:hAnsi="Times New Roman"/>
          <w:b/>
          <w:color w:val="auto"/>
          <w:sz w:val="24"/>
          <w:szCs w:val="24"/>
        </w:rPr>
      </w:pPr>
    </w:p>
    <w:p w:rsidR="00CA28ED" w:rsidRPr="00CA28ED" w:rsidRDefault="00CA28ED" w:rsidP="00CA28ED">
      <w:pPr>
        <w:pStyle w:val="PODNZEVPRCE"/>
        <w:jc w:val="center"/>
        <w:rPr>
          <w:rFonts w:ascii="Times New Roman" w:hAnsi="Times New Roman"/>
          <w:b/>
          <w:color w:val="auto"/>
          <w:sz w:val="24"/>
          <w:szCs w:val="24"/>
        </w:rPr>
      </w:pPr>
      <w:r w:rsidRPr="00CA28ED">
        <w:rPr>
          <w:rFonts w:ascii="Times New Roman" w:hAnsi="Times New Roman"/>
          <w:b/>
          <w:color w:val="auto"/>
          <w:sz w:val="24"/>
          <w:szCs w:val="24"/>
        </w:rPr>
        <w:t>KOM(2018) 132 v konečném znění, kód Rady 7416/18</w:t>
      </w:r>
    </w:p>
    <w:p w:rsidR="00CA28ED" w:rsidRPr="00CA28ED" w:rsidRDefault="00CA28ED" w:rsidP="00CA28ED">
      <w:pPr>
        <w:pStyle w:val="PODNZEVPRCE"/>
        <w:jc w:val="center"/>
        <w:rPr>
          <w:rFonts w:ascii="Times New Roman" w:hAnsi="Times New Roman"/>
          <w:b/>
          <w:color w:val="auto"/>
          <w:sz w:val="24"/>
          <w:szCs w:val="24"/>
        </w:rPr>
      </w:pPr>
      <w:r w:rsidRPr="00CA28ED">
        <w:rPr>
          <w:rFonts w:ascii="Times New Roman" w:hAnsi="Times New Roman"/>
          <w:b/>
          <w:color w:val="auto"/>
          <w:sz w:val="24"/>
          <w:szCs w:val="24"/>
        </w:rPr>
        <w:t>Interinstitucionální spis 2018/0059/NLE</w:t>
      </w:r>
    </w:p>
    <w:p w:rsidR="00CA28ED" w:rsidRPr="00CA28ED" w:rsidRDefault="00CA28ED" w:rsidP="00CA28ED">
      <w:pPr>
        <w:jc w:val="both"/>
        <w:rPr>
          <w:rStyle w:val="Siln"/>
          <w:rFonts w:ascii="Times New Roman" w:hAnsi="Times New Roman"/>
          <w:b w:val="0"/>
          <w:bCs w:val="0"/>
          <w:caps/>
          <w:sz w:val="24"/>
          <w:szCs w:val="24"/>
        </w:rPr>
      </w:pPr>
    </w:p>
    <w:p w:rsidR="00CA28ED" w:rsidRPr="00CA28ED" w:rsidRDefault="00CA28ED" w:rsidP="00CA28ED">
      <w:pPr>
        <w:jc w:val="both"/>
        <w:rPr>
          <w:rStyle w:val="Siln"/>
          <w:rFonts w:ascii="Times New Roman" w:hAnsi="Times New Roman"/>
          <w:sz w:val="24"/>
          <w:szCs w:val="24"/>
        </w:rPr>
      </w:pPr>
    </w:p>
    <w:p w:rsidR="00CA28ED" w:rsidRPr="00CA28ED" w:rsidRDefault="00CA28ED" w:rsidP="00CA28ED">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sz w:val="24"/>
          <w:szCs w:val="24"/>
        </w:rPr>
      </w:pPr>
      <w:bookmarkStart w:id="0" w:name="_Toc445380604"/>
      <w:r w:rsidRPr="00CA28ED">
        <w:rPr>
          <w:rFonts w:ascii="Times New Roman" w:hAnsi="Times New Roman"/>
          <w:b/>
          <w:sz w:val="24"/>
          <w:szCs w:val="24"/>
        </w:rPr>
        <w:t>Právní základ:</w:t>
      </w:r>
      <w:bookmarkEnd w:id="0"/>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Články 53 odst. 1, 46, 48, 62 a 91 odst. 1 Smlouvy o fungování Evropské unie. (KOM(2018) 131)</w:t>
      </w:r>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Články 153 a 352 Smlouvy o fungování Evropské unie.</w:t>
      </w:r>
    </w:p>
    <w:p w:rsidR="00CA28ED" w:rsidRPr="00CA28ED" w:rsidRDefault="00CA28ED" w:rsidP="00CA28ED">
      <w:pPr>
        <w:jc w:val="both"/>
        <w:rPr>
          <w:rFonts w:ascii="Times New Roman" w:hAnsi="Times New Roman"/>
          <w:sz w:val="24"/>
          <w:szCs w:val="24"/>
        </w:rPr>
      </w:pPr>
    </w:p>
    <w:p w:rsidR="00CA28ED" w:rsidRPr="00CA28ED" w:rsidRDefault="00CA28ED" w:rsidP="00CA28ED">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b/>
          <w:sz w:val="24"/>
          <w:szCs w:val="24"/>
        </w:rPr>
      </w:pPr>
      <w:bookmarkStart w:id="1" w:name="_Toc445380605"/>
      <w:r w:rsidRPr="00CA28ED">
        <w:rPr>
          <w:rFonts w:ascii="Times New Roman" w:hAnsi="Times New Roman"/>
          <w:b/>
          <w:sz w:val="24"/>
          <w:szCs w:val="24"/>
        </w:rPr>
        <w:t>Datum zaslání Poslanecké sněmovně prostřednictvím VEZ:</w:t>
      </w:r>
      <w:bookmarkEnd w:id="1"/>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15. 3. 2018 (KOM(2018) 131)</w:t>
      </w:r>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22. 3. 2018 (KOM(2018) 130, KOM(2018) 132)</w:t>
      </w:r>
    </w:p>
    <w:p w:rsidR="00CA28ED" w:rsidRPr="00CA28ED" w:rsidRDefault="00CA28ED" w:rsidP="00CA28ED">
      <w:pPr>
        <w:jc w:val="both"/>
        <w:rPr>
          <w:rFonts w:ascii="Times New Roman" w:hAnsi="Times New Roman"/>
          <w:sz w:val="24"/>
          <w:szCs w:val="24"/>
        </w:rPr>
      </w:pPr>
    </w:p>
    <w:p w:rsidR="00CA28ED" w:rsidRPr="00CA28ED" w:rsidRDefault="00CA28ED" w:rsidP="00CA28ED">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b/>
          <w:sz w:val="24"/>
          <w:szCs w:val="24"/>
        </w:rPr>
      </w:pPr>
      <w:bookmarkStart w:id="2" w:name="_Toc445380606"/>
      <w:r w:rsidRPr="00CA28ED">
        <w:rPr>
          <w:rFonts w:ascii="Times New Roman" w:hAnsi="Times New Roman"/>
          <w:b/>
          <w:sz w:val="24"/>
          <w:szCs w:val="24"/>
        </w:rPr>
        <w:t>Datum projednání ve VEZ:</w:t>
      </w:r>
      <w:bookmarkEnd w:id="2"/>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28. 3. 2018 (1. kolo)</w:t>
      </w:r>
    </w:p>
    <w:p w:rsidR="00CA28ED" w:rsidRPr="00CA28ED" w:rsidRDefault="00CA28ED" w:rsidP="00CA28ED">
      <w:pPr>
        <w:jc w:val="both"/>
        <w:rPr>
          <w:rFonts w:ascii="Times New Roman" w:hAnsi="Times New Roman"/>
          <w:sz w:val="24"/>
          <w:szCs w:val="24"/>
        </w:rPr>
      </w:pPr>
    </w:p>
    <w:p w:rsidR="00CA28ED" w:rsidRPr="00CA28ED" w:rsidRDefault="00CA28ED" w:rsidP="00CA28ED">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b/>
          <w:sz w:val="24"/>
          <w:szCs w:val="24"/>
        </w:rPr>
      </w:pPr>
      <w:bookmarkStart w:id="3" w:name="_Toc445380607"/>
      <w:r w:rsidRPr="00CA28ED">
        <w:rPr>
          <w:rFonts w:ascii="Times New Roman" w:hAnsi="Times New Roman"/>
          <w:b/>
          <w:sz w:val="24"/>
          <w:szCs w:val="24"/>
        </w:rPr>
        <w:t>Procedura:</w:t>
      </w:r>
      <w:bookmarkEnd w:id="3"/>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Řádný legislativní postup. (KOM(2018) 131)</w:t>
      </w:r>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Nelegislativní postup. (KOM(2018) 132)</w:t>
      </w:r>
    </w:p>
    <w:p w:rsidR="00CA28ED" w:rsidRPr="00CA28ED" w:rsidRDefault="00CA28ED" w:rsidP="00CA28ED">
      <w:pPr>
        <w:jc w:val="both"/>
        <w:rPr>
          <w:rFonts w:ascii="Times New Roman" w:hAnsi="Times New Roman"/>
          <w:sz w:val="24"/>
          <w:szCs w:val="24"/>
        </w:rPr>
      </w:pPr>
    </w:p>
    <w:p w:rsidR="00CA28ED" w:rsidRPr="00CA28ED" w:rsidRDefault="00CA28ED" w:rsidP="00CA28ED">
      <w:pPr>
        <w:pStyle w:val="Odstavecseseznamem"/>
        <w:keepNext/>
        <w:keepLines/>
        <w:numPr>
          <w:ilvl w:val="0"/>
          <w:numId w:val="20"/>
        </w:numPr>
        <w:suppressAutoHyphens/>
        <w:autoSpaceDN w:val="0"/>
        <w:spacing w:after="0" w:line="252" w:lineRule="auto"/>
        <w:ind w:left="0"/>
        <w:contextualSpacing w:val="0"/>
        <w:jc w:val="both"/>
        <w:rPr>
          <w:rFonts w:ascii="Times New Roman" w:hAnsi="Times New Roman"/>
          <w:b/>
          <w:sz w:val="24"/>
          <w:szCs w:val="24"/>
        </w:rPr>
      </w:pPr>
      <w:bookmarkStart w:id="4" w:name="_Toc445380608"/>
      <w:r w:rsidRPr="00CA28ED">
        <w:rPr>
          <w:rFonts w:ascii="Times New Roman" w:hAnsi="Times New Roman"/>
          <w:b/>
          <w:sz w:val="24"/>
          <w:szCs w:val="24"/>
        </w:rPr>
        <w:t>Předběžná stanoviska vlády (dle § 109a odst. 1 jednacího řádu PS):</w:t>
      </w:r>
      <w:bookmarkEnd w:id="4"/>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Datovaná dnem 12. a 19. dubna 2018, doručená do výboru pro evropské záležitosti dne 25. dubna 2018 prostřednictvím systému ISAP.</w:t>
      </w:r>
    </w:p>
    <w:p w:rsidR="00CA28ED" w:rsidRPr="00CA28ED" w:rsidRDefault="00CA28ED" w:rsidP="00CA28ED">
      <w:pPr>
        <w:pStyle w:val="Nadpis1"/>
        <w:rPr>
          <w:rFonts w:ascii="Times New Roman" w:hAnsi="Times New Roman"/>
          <w:szCs w:val="24"/>
        </w:rPr>
      </w:pPr>
      <w:bookmarkStart w:id="5" w:name="_Toc448302188"/>
      <w:bookmarkStart w:id="6" w:name="_Toc445380609"/>
      <w:r w:rsidRPr="00CA28ED">
        <w:rPr>
          <w:rFonts w:ascii="Times New Roman" w:hAnsi="Times New Roman"/>
          <w:szCs w:val="24"/>
        </w:rPr>
        <w:lastRenderedPageBreak/>
        <w:t>Hodnocení z hlediska principu</w:t>
      </w:r>
      <w:r w:rsidRPr="00CA28ED">
        <w:rPr>
          <w:rStyle w:val="Nadpis1Char"/>
          <w:rFonts w:ascii="Times New Roman" w:hAnsi="Times New Roman"/>
          <w:szCs w:val="24"/>
        </w:rPr>
        <w:t xml:space="preserve"> </w:t>
      </w:r>
      <w:r w:rsidRPr="00CA28ED">
        <w:rPr>
          <w:rFonts w:ascii="Times New Roman" w:hAnsi="Times New Roman"/>
          <w:szCs w:val="24"/>
        </w:rPr>
        <w:t>subsidiarity:</w:t>
      </w:r>
      <w:bookmarkEnd w:id="5"/>
      <w:bookmarkEnd w:id="6"/>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Návrhy jsou v souladu s principem subsidiarity.</w:t>
      </w:r>
    </w:p>
    <w:p w:rsidR="00CA28ED" w:rsidRPr="00CA28ED" w:rsidRDefault="00CA28ED" w:rsidP="00CA28ED">
      <w:pPr>
        <w:jc w:val="both"/>
        <w:rPr>
          <w:rFonts w:ascii="Times New Roman" w:hAnsi="Times New Roman"/>
          <w:sz w:val="24"/>
          <w:szCs w:val="24"/>
        </w:rPr>
      </w:pPr>
    </w:p>
    <w:p w:rsidR="00CA28ED" w:rsidRPr="00CA28ED" w:rsidRDefault="00CA28ED" w:rsidP="00CA28ED">
      <w:pPr>
        <w:pStyle w:val="Nadpis1"/>
        <w:rPr>
          <w:rFonts w:ascii="Times New Roman" w:hAnsi="Times New Roman"/>
          <w:szCs w:val="24"/>
        </w:rPr>
      </w:pPr>
      <w:bookmarkStart w:id="7" w:name="_Toc448302189"/>
      <w:bookmarkStart w:id="8" w:name="_Toc445380610"/>
      <w:r w:rsidRPr="00CA28ED">
        <w:rPr>
          <w:rFonts w:ascii="Times New Roman" w:hAnsi="Times New Roman"/>
          <w:szCs w:val="24"/>
        </w:rPr>
        <w:t>Odůvodnění a předmět:</w:t>
      </w:r>
      <w:bookmarkEnd w:id="7"/>
      <w:bookmarkEnd w:id="8"/>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Navrhované dokumenty tvoří tzv. balíček sociální spravedlnosti</w:t>
      </w:r>
      <w:r w:rsidRPr="00CA28ED">
        <w:rPr>
          <w:rStyle w:val="Znakapoznpodarou"/>
          <w:rFonts w:ascii="Times New Roman" w:hAnsi="Times New Roman"/>
          <w:sz w:val="24"/>
          <w:szCs w:val="24"/>
        </w:rPr>
        <w:footnoteReference w:id="1"/>
      </w:r>
      <w:r w:rsidRPr="00CA28ED">
        <w:rPr>
          <w:rFonts w:ascii="Times New Roman" w:hAnsi="Times New Roman"/>
          <w:sz w:val="24"/>
          <w:szCs w:val="24"/>
        </w:rPr>
        <w:t xml:space="preserve"> a jsou součástí iniciativ vycházejících z evropského pilíře sociálních práv. Evropský pilíř sociálních práv, který byl vyhlášen na sociálním summitu 17. listopadu 2017, není právně závazným dokumentem, ale politickým závazkem orgánů EU týkajícím se efektivního fungování systémů sociálního zabezpečení a pracovního práva.  </w:t>
      </w:r>
    </w:p>
    <w:p w:rsidR="00CA28ED" w:rsidRPr="00CA28ED" w:rsidRDefault="00CA28ED" w:rsidP="00CA28ED">
      <w:pPr>
        <w:jc w:val="both"/>
        <w:rPr>
          <w:rFonts w:ascii="Times New Roman" w:hAnsi="Times New Roman"/>
          <w:sz w:val="24"/>
          <w:szCs w:val="24"/>
        </w:rPr>
      </w:pPr>
    </w:p>
    <w:p w:rsidR="00CA28ED" w:rsidRPr="00CA28ED" w:rsidRDefault="00CA28ED" w:rsidP="00CA28ED">
      <w:pPr>
        <w:pStyle w:val="Nadpis1"/>
        <w:rPr>
          <w:rFonts w:ascii="Times New Roman" w:hAnsi="Times New Roman"/>
          <w:szCs w:val="24"/>
        </w:rPr>
      </w:pPr>
      <w:bookmarkStart w:id="9" w:name="_Toc448302190"/>
      <w:bookmarkStart w:id="10" w:name="_Toc445380611"/>
      <w:r w:rsidRPr="00CA28ED">
        <w:rPr>
          <w:rFonts w:ascii="Times New Roman" w:hAnsi="Times New Roman"/>
          <w:szCs w:val="24"/>
        </w:rPr>
        <w:t>Obsah a dopad:</w:t>
      </w:r>
      <w:bookmarkEnd w:id="9"/>
      <w:bookmarkEnd w:id="10"/>
    </w:p>
    <w:p w:rsidR="00CA28ED" w:rsidRPr="00CA28ED" w:rsidRDefault="00CA28ED" w:rsidP="00CA28ED">
      <w:pPr>
        <w:spacing w:after="120"/>
        <w:jc w:val="both"/>
        <w:rPr>
          <w:rFonts w:ascii="Times New Roman" w:hAnsi="Times New Roman"/>
          <w:b/>
          <w:sz w:val="24"/>
          <w:szCs w:val="24"/>
        </w:rPr>
      </w:pPr>
      <w:r w:rsidRPr="00CA28ED">
        <w:rPr>
          <w:rFonts w:ascii="Times New Roman" w:hAnsi="Times New Roman"/>
          <w:b/>
          <w:sz w:val="24"/>
          <w:szCs w:val="24"/>
        </w:rPr>
        <w:t>Sdělení</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Evropský pilíř sociálních práv představuje politický závazek EU, který by měl vést ke sbližování v oblasti sociální politiky a pracovních předpisů a zlepšení pracovních a sociálních podmínek v EU. Dne 17. listopadu 2017 byl vyhlášen Evropským parlamentem, Radou a Komisí na sociálním summitu Göteborgu. V rámci závěrů přijatých na zasedání Evropské rady dne 14. prosince 2017 byla Komise vyzvána, aby navrhla systém monitorování provádění tohoto pilíře. Sdělení obsahuje nastínění dalšího postupu v oblasti sociálního pilíře na úrovni EU a na úrovni členských států a možnosti jeho monitorování.</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Pokud jde o obecné předpoklady dalšího vývoje, Komise vyjadřuje odhodlání začleňovat priority ze sociálního pilíře do všech oblastí politik EU, podporovat činnost všech zainteresovaných stran a zavést účinné formy monitoringu.</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u w:val="single"/>
        </w:rPr>
        <w:t>Co se týče provádění pilíře na úrovni EU, Komise připomíná, že od roku 2014 navrhla celkem 22 právních aktů v oblasti zaměstnanosti a sociální politiky, z nichž deset bylo přijato a dvanáct má být ještě schváleno</w:t>
      </w:r>
      <w:r w:rsidRPr="00CA28ED">
        <w:rPr>
          <w:rFonts w:ascii="Times New Roman" w:hAnsi="Times New Roman"/>
          <w:sz w:val="24"/>
          <w:szCs w:val="24"/>
        </w:rPr>
        <w:t>.</w:t>
      </w:r>
      <w:r w:rsidRPr="00CA28ED">
        <w:rPr>
          <w:rStyle w:val="Znakapoznpodarou"/>
          <w:rFonts w:ascii="Times New Roman" w:hAnsi="Times New Roman"/>
          <w:sz w:val="24"/>
          <w:szCs w:val="24"/>
        </w:rPr>
        <w:footnoteReference w:id="2"/>
      </w:r>
      <w:r w:rsidRPr="00CA28ED">
        <w:rPr>
          <w:rFonts w:ascii="Times New Roman" w:hAnsi="Times New Roman"/>
          <w:sz w:val="24"/>
          <w:szCs w:val="24"/>
        </w:rPr>
        <w:t xml:space="preserve"> Zároveň byly podle Komise aspekty pilíře průřezově zohledněny ve všech jejích politikách.</w:t>
      </w:r>
      <w:r w:rsidRPr="00CA28ED">
        <w:rPr>
          <w:rStyle w:val="Znakapoznpodarou"/>
          <w:rFonts w:ascii="Times New Roman" w:hAnsi="Times New Roman"/>
          <w:sz w:val="24"/>
          <w:szCs w:val="24"/>
        </w:rPr>
        <w:footnoteReference w:id="3"/>
      </w:r>
      <w:r w:rsidRPr="00CA28ED">
        <w:rPr>
          <w:rFonts w:ascii="Times New Roman" w:hAnsi="Times New Roman"/>
          <w:sz w:val="24"/>
          <w:szCs w:val="24"/>
        </w:rPr>
        <w:t xml:space="preserve"> Podle Komise bude zároveň nezbytné zohlednit náklady sociálního pilíře ve víceletém finančním rámci na období po roce 2020, jehož návrh bude předložen v tomto roce.</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Pokud jde o provádění na úrovni členských států, Komise připomíná, že většinu kompetencí vykonávají členské státy na národní či obecní úrovni nebo na úrovni občanské společnosti. Současně poukazuje na různorodost systémů sociálního zabezpečení a nemožnost přijetí paušálního řešení. Podle údajů uváděných Komisí je, přes relativně dobrou ekonomickou situaci, v EU 18 milionů nezaměstnaných a příjmy řady domácností nepřesáhly příjmy před rokem 2018. Členské státy si tak mohou priority v oblastech, které se dotýkají sociálního pilíře, určit samy.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S ohledem na monitorování sociálního pilíře EU se Komise domnívá, že nejvhodnějším nástrojem je </w:t>
      </w:r>
      <w:r w:rsidRPr="00CA28ED">
        <w:rPr>
          <w:rFonts w:ascii="Times New Roman" w:hAnsi="Times New Roman"/>
          <w:sz w:val="24"/>
          <w:szCs w:val="24"/>
          <w:u w:val="single"/>
        </w:rPr>
        <w:t>evropský semestr pro koordinaci politiky</w:t>
      </w:r>
      <w:r w:rsidRPr="00CA28ED">
        <w:rPr>
          <w:rFonts w:ascii="Times New Roman" w:hAnsi="Times New Roman"/>
          <w:sz w:val="24"/>
          <w:szCs w:val="24"/>
        </w:rPr>
        <w:t xml:space="preserve">. Jeho nastavení, které funguje tak, že analyzuje situaci v členských zemí a zároveň je založen na podávání podrobných zpráv a diskusi, jej činí vhodným pro všechny aktéry. Podle Komise bude nezbytná jeho úprava, aby </w:t>
      </w:r>
      <w:r w:rsidRPr="00CA28ED">
        <w:rPr>
          <w:rFonts w:ascii="Times New Roman" w:hAnsi="Times New Roman"/>
          <w:sz w:val="24"/>
          <w:szCs w:val="24"/>
        </w:rPr>
        <w:lastRenderedPageBreak/>
        <w:t xml:space="preserve">odpovídala požadavkům vyplývajícím z evropského pilíře sociálních práv. Za prvé se bude jednat o začlenění priorit pilíře do evropského semestru a výběr témat pro předkládání ročních podrobných zpráv, za druhé o poskytování technické pomoci, podporu referenčního srovnávání a výměnu osvědčených postupů a za třetí o posuzování a monitorování výsledků pomocí nového srovnávacího přehledu sociálních ukazatelů. </w:t>
      </w:r>
    </w:p>
    <w:p w:rsidR="00CA28ED" w:rsidRPr="00CA28ED" w:rsidRDefault="00CA28ED" w:rsidP="00CA28ED">
      <w:pPr>
        <w:spacing w:after="120"/>
        <w:jc w:val="both"/>
        <w:rPr>
          <w:rFonts w:ascii="Times New Roman" w:hAnsi="Times New Roman"/>
          <w:b/>
          <w:sz w:val="24"/>
          <w:szCs w:val="24"/>
        </w:rPr>
      </w:pPr>
      <w:r w:rsidRPr="00CA28ED">
        <w:rPr>
          <w:rFonts w:ascii="Times New Roman" w:hAnsi="Times New Roman"/>
          <w:b/>
          <w:sz w:val="24"/>
          <w:szCs w:val="24"/>
        </w:rPr>
        <w:t>Návrh nařízení</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Volný pohyb pracovníků vyžaduje po členských státech s odlišnými právními režimy účinnou koordinaci systémů sociálního zabezpečení. </w:t>
      </w:r>
      <w:r w:rsidRPr="00CA28ED">
        <w:rPr>
          <w:rFonts w:ascii="Times New Roman" w:hAnsi="Times New Roman"/>
          <w:sz w:val="24"/>
          <w:szCs w:val="24"/>
          <w:u w:val="single"/>
        </w:rPr>
        <w:t>EU využívá systém koordinace sociálního zabezpečení prostřednictvím kolizních norem, které stanoví pravidla pro výběr rozhodného právního řádu v konkrétním případě</w:t>
      </w:r>
      <w:r w:rsidRPr="00CA28ED">
        <w:rPr>
          <w:rFonts w:ascii="Times New Roman" w:hAnsi="Times New Roman"/>
          <w:sz w:val="24"/>
          <w:szCs w:val="24"/>
        </w:rPr>
        <w:t xml:space="preserve">. Podle Komise však existují obavy, že pracovníkům mohou být v přeshraničních situacích upírána jejich práva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Rozvoj mobility pracovníků, ke kterému v EU dochází, vytváří podle názoru Komise vyšší nároky také na spolupráci národních orgánů a rovněž potřebu zlepšení přístupu jednotlivců (pracovníků a jejich zaměstnavatelů) k informacím o jejich právech a povinnostech</w:t>
      </w:r>
      <w:r w:rsidRPr="00CA28ED">
        <w:rPr>
          <w:rFonts w:ascii="Times New Roman" w:hAnsi="Times New Roman"/>
          <w:color w:val="FF0000"/>
          <w:sz w:val="24"/>
          <w:szCs w:val="24"/>
        </w:rPr>
        <w:t xml:space="preserve">.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K zajištění těchto cílů navrhuje Komise zřídit </w:t>
      </w:r>
      <w:r w:rsidRPr="00CA28ED">
        <w:rPr>
          <w:rFonts w:ascii="Times New Roman" w:hAnsi="Times New Roman"/>
          <w:sz w:val="24"/>
          <w:szCs w:val="24"/>
          <w:u w:val="single"/>
        </w:rPr>
        <w:t>Evropský orgán pro pracovní záležitosti</w:t>
      </w:r>
      <w:r w:rsidRPr="00CA28ED">
        <w:rPr>
          <w:rFonts w:ascii="Times New Roman" w:hAnsi="Times New Roman"/>
          <w:sz w:val="24"/>
          <w:szCs w:val="24"/>
        </w:rPr>
        <w:t xml:space="preserve"> (dále také jen „orgán“). Tento orgán by měl plnit tři základní cíle.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Za prvé by měl sloužit jako </w:t>
      </w:r>
      <w:r w:rsidRPr="00CA28ED">
        <w:rPr>
          <w:rFonts w:ascii="Times New Roman" w:hAnsi="Times New Roman"/>
          <w:b/>
          <w:sz w:val="24"/>
          <w:szCs w:val="24"/>
        </w:rPr>
        <w:t>centrální přístupový bod pro informace týkající se pracovních příležitostí</w:t>
      </w:r>
      <w:r w:rsidRPr="00CA28ED">
        <w:rPr>
          <w:rFonts w:ascii="Times New Roman" w:hAnsi="Times New Roman"/>
          <w:sz w:val="24"/>
          <w:szCs w:val="24"/>
        </w:rPr>
        <w:t xml:space="preserve">, učňovské přípravy, režimu pro mobilitu či pro informace týkající se práv a povinností souvisejících s životem a prací v jiném členském státě. Jedná se například o informace ze systému EURES (podle návrhu by měl orgán pro pracovní záležitosti namísto Komise převzít řízení tohoto systému), což je portál pracovní mobility, informace o sociálním zabezpečení EU, informace o evropské kartě zdravotního pojištění atd. V současné době jsou tyto informace dostupné na různých portálech a webových stránkách a Evropský orgán pro pracovní příležitosti by měl zajistit centralizovaný přístup k těmto informacím.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Druhým základním cílem Evropského orgánu pro pracovní záležitosti je </w:t>
      </w:r>
      <w:r w:rsidRPr="00CA28ED">
        <w:rPr>
          <w:rFonts w:ascii="Times New Roman" w:hAnsi="Times New Roman"/>
          <w:b/>
          <w:sz w:val="24"/>
          <w:szCs w:val="24"/>
        </w:rPr>
        <w:t>podpora spolupráce mezi národními orgány v přeshraničních případech, včetně provádění společných inspekcí.</w:t>
      </w:r>
      <w:r w:rsidRPr="00CA28ED">
        <w:rPr>
          <w:rFonts w:ascii="Times New Roman" w:hAnsi="Times New Roman"/>
          <w:sz w:val="24"/>
          <w:szCs w:val="24"/>
        </w:rPr>
        <w:t xml:space="preserve"> Podpora spolupráce zahrnuje zejména identifikaci příslušných kontaktních míst vnitrostátních orgánů, usnadnění komunikace mezi národními orgány, včetně logistické a technické podpory, usnadnění přeshraničního vymáhání sankcí a pokut či podporu a sdílení osvědčených postupů. Pokud jde o koordinaci společných inspekcí, tyto inspekce by měly probíhat na základě žádosti jednoho či více členských států, přičemž provedení inspekce by mohl navrhnout sám orgán. Vnitrostátní orgány nemají povinnost se společné inspekce účastnit, nicméně informace o své neúčasti mají s předstihem oznámit orgánům dotčených členských států. Inspekce se provádějí pouze v zúčastněných členských státech. O společné inspekci se mezi členskými státy uzavírá dohoda, která stanoví podmínky inspekce. Úkolem orgánu je zejména poskytovat logistickou a technickou podporu (poskytuje zejména překladatelské a tlumočnické služby). Vnitrostátní orgány provádějící společnou inspekci předkládají orgánu zprávu o jejím průběhu a výsledcích. Informace o inspekcích jsou zahrnovány do čtvrtletních a ročních zpráv, které orgán publikuje.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Třetím cílem navrhovaného Evropského orgánu pro pracovní záležitosti je </w:t>
      </w:r>
      <w:r w:rsidRPr="00CA28ED">
        <w:rPr>
          <w:rFonts w:ascii="Times New Roman" w:hAnsi="Times New Roman"/>
          <w:b/>
          <w:sz w:val="24"/>
          <w:szCs w:val="24"/>
        </w:rPr>
        <w:t>mediace mezi členskými státy</w:t>
      </w:r>
      <w:r w:rsidRPr="00CA28ED">
        <w:rPr>
          <w:rFonts w:ascii="Times New Roman" w:hAnsi="Times New Roman"/>
          <w:sz w:val="24"/>
          <w:szCs w:val="24"/>
        </w:rPr>
        <w:t xml:space="preserve">. Orgán má podle návrhu plnit úlohu mediátora v případech, kdy dojde ke sporům mezi členskými státy v oblastech, na které se vztahuje návrh nařízení. Mediace se zahajuje zpravidla na základě žádosti členského státu, v případě souhlasu všech členských států dotčených sporem může mediaci zahájit i sám orgán.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lastRenderedPageBreak/>
        <w:t xml:space="preserve">Pokud jde o organizační strukturu, orgán se skládá ze správní rady, která především dohlíží na činnosti orgánu a přijímá jeho rozpočet, výkonného ředitele, který řídí orgán a zajišťuje jeho běžný provoz, a skupiny zúčastněných stran, která předkládá stanoviska a radí orgánu ohledně právních otázek v působnosti tohoto návrhu.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Bude se jednat o decentralizovanou agenturu EU se sídlem v některém z členských států EU.</w:t>
      </w:r>
    </w:p>
    <w:p w:rsidR="00CA28ED" w:rsidRPr="00CA28ED" w:rsidRDefault="00CA28ED" w:rsidP="00CA28ED">
      <w:pPr>
        <w:spacing w:after="120"/>
        <w:jc w:val="both"/>
        <w:rPr>
          <w:rFonts w:ascii="Times New Roman" w:hAnsi="Times New Roman"/>
          <w:b/>
          <w:sz w:val="24"/>
          <w:szCs w:val="24"/>
        </w:rPr>
      </w:pPr>
      <w:r w:rsidRPr="00CA28ED">
        <w:rPr>
          <w:rFonts w:ascii="Times New Roman" w:hAnsi="Times New Roman"/>
          <w:b/>
          <w:sz w:val="24"/>
          <w:szCs w:val="24"/>
        </w:rPr>
        <w:t xml:space="preserve">Návrh doporučení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Podle údajů EUROSTATU se trh práce za posledních 20 let značně proměnil. V současné době stále více osob pracuje jinou formou než v rámci smlouvy na plný úvazek. Smlouvu na plný úvazek na dobu neurčitou mělo v roce 2016 uzavřeno 60 % zaměstnaných osob. Mezi nejčastější nestandardní formy zaměstnání patří například práce na částečný úvazek, krátkodobé smlouvy, práce na zavolanou, dočasná agenturní práce apod. Zvyšuje se i počet osob samostatně výdělečných činných a rovněž osob, které kombinují podnikání se zaměstnáním na částečný úvazek, přičemž některé kategorie zaměstnanců nemusí mít přístup k sociální ochraně. Evropská komise považuje za nutné na tyto změny reagovat. V listopadu 2017 vyhlásily společně Evropský parlament s Radou a Komisí Evropský pilíř sociálních práv, který je postavený na 20 zásadách. Jednou z nich je, že bez ohledu na typ a dobu pracovního poměru mají zaměstnanci a osoby samostatně výdělečně činné právo na přiměřenou sociální ochranu. Návrh doporučení vychází ze zásady sociální ochrany pro osoby samostatně výdělečně činné tak, jak byla formulována v Evropském pilíři sociálních práv.</w:t>
      </w:r>
      <w:r w:rsidRPr="00CA28ED">
        <w:rPr>
          <w:rStyle w:val="Ukotvenpoznmkypodarou"/>
          <w:rFonts w:ascii="Times New Roman" w:hAnsi="Times New Roman"/>
          <w:sz w:val="24"/>
          <w:szCs w:val="24"/>
        </w:rPr>
        <w:footnoteReference w:id="4"/>
      </w:r>
      <w:r w:rsidRPr="00CA28ED">
        <w:rPr>
          <w:rFonts w:ascii="Times New Roman" w:hAnsi="Times New Roman"/>
          <w:sz w:val="24"/>
          <w:szCs w:val="24"/>
        </w:rPr>
        <w:t xml:space="preserve"> Jako právní formu zvolila Komise doporučení, neboť podle jejího názoru se takové řešení jeví jako nejpřiměřenější, jelikož umožňuje lepší spolupráci členských států a Evropské unie, přičemž bere v potaz vnitrostátní situaci členských států a nejednotnost názorů ohledně sociálních reforem.  V tomto ohledu je na místě připomenout, že doporučení, ačkoliv je legislativním aktem, není pro členské státy závazné, tj. nestanoví práva a povinnosti. </w:t>
      </w:r>
    </w:p>
    <w:p w:rsidR="00CA28ED" w:rsidRPr="00CA28ED" w:rsidRDefault="00CA28ED" w:rsidP="00CA28ED">
      <w:pPr>
        <w:spacing w:after="120"/>
        <w:jc w:val="both"/>
        <w:rPr>
          <w:rFonts w:ascii="Times New Roman" w:eastAsia="Times New Roman" w:hAnsi="Times New Roman"/>
          <w:sz w:val="24"/>
          <w:szCs w:val="24"/>
          <w:lang w:eastAsia="cs-CZ"/>
        </w:rPr>
      </w:pPr>
      <w:r w:rsidRPr="00CA28ED">
        <w:rPr>
          <w:rFonts w:ascii="Times New Roman" w:hAnsi="Times New Roman"/>
          <w:b/>
          <w:sz w:val="24"/>
          <w:szCs w:val="24"/>
        </w:rPr>
        <w:t>Cílem návrhu doporučení je poskytnout přístup k odpovídající sociální ochraně pro všechny pracovníky a osoby samostatně výdělečně činné v členských státech</w:t>
      </w:r>
      <w:r w:rsidRPr="00CA28ED">
        <w:rPr>
          <w:rFonts w:ascii="Times New Roman" w:hAnsi="Times New Roman"/>
          <w:sz w:val="24"/>
          <w:szCs w:val="24"/>
        </w:rPr>
        <w:t xml:space="preserve">. Návrh je zaměřen na stanovení minimálních norem v oblasti sociální ochrany pracovníků a OSVČ, přičemž je explicitně stanovena výhrada čl. 153 odst. 4 SFEU, že výše příspěvků a základní uspořádání je v kompetenci členských států.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Návrh doporučení zahrnuje dvě základní práva – </w:t>
      </w:r>
      <w:r w:rsidRPr="00CA28ED">
        <w:rPr>
          <w:rFonts w:ascii="Times New Roman" w:hAnsi="Times New Roman"/>
          <w:sz w:val="24"/>
          <w:szCs w:val="24"/>
          <w:u w:val="single"/>
        </w:rPr>
        <w:t>právo na účast v systému</w:t>
      </w:r>
      <w:r w:rsidRPr="00CA28ED">
        <w:rPr>
          <w:rFonts w:ascii="Times New Roman" w:hAnsi="Times New Roman"/>
          <w:sz w:val="24"/>
          <w:szCs w:val="24"/>
        </w:rPr>
        <w:t xml:space="preserve"> a </w:t>
      </w:r>
      <w:r w:rsidRPr="00CA28ED">
        <w:rPr>
          <w:rFonts w:ascii="Times New Roman" w:hAnsi="Times New Roman"/>
          <w:sz w:val="24"/>
          <w:szCs w:val="24"/>
          <w:u w:val="single"/>
        </w:rPr>
        <w:t>právo na nabývání a využívání nároků</w:t>
      </w:r>
      <w:r w:rsidRPr="00CA28ED">
        <w:rPr>
          <w:rFonts w:ascii="Times New Roman" w:hAnsi="Times New Roman"/>
          <w:sz w:val="24"/>
          <w:szCs w:val="24"/>
        </w:rPr>
        <w:t>. Práva by měla pracovníkům a OSVČ zajistit za prvé formální pokrytí sociální ochrany, za druhé účinné sociální zabezpečení, přiměřenost a převoditelnost sociální ochrany a za třetí transparentnost nároků na sociální ochranu.</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Doporučení se vztahuje na tyto subsystémy sociální ochrany:</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a) dávky v nezaměstnanosti;</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b) nemocenské dávky a dávky zdravotní péče;</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c) dávky v mateřství a rovnocenné otcovské dávky;</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d) dávky v invaliditě,</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e) dávky ve stáří;</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f) dávky při pracovních úrazech a nemocech z povolání.</w:t>
      </w:r>
    </w:p>
    <w:p w:rsidR="00CA28ED" w:rsidRPr="00CA28ED" w:rsidRDefault="00CA28ED" w:rsidP="00CA28ED">
      <w:pPr>
        <w:spacing w:after="120"/>
        <w:jc w:val="both"/>
        <w:rPr>
          <w:rFonts w:ascii="Times New Roman" w:hAnsi="Times New Roman"/>
          <w:b/>
          <w:sz w:val="24"/>
          <w:szCs w:val="24"/>
        </w:rPr>
      </w:pPr>
      <w:r w:rsidRPr="00CA28ED">
        <w:rPr>
          <w:rFonts w:ascii="Times New Roman" w:hAnsi="Times New Roman"/>
          <w:sz w:val="24"/>
          <w:szCs w:val="24"/>
        </w:rPr>
        <w:lastRenderedPageBreak/>
        <w:t xml:space="preserve">Pokud jde o formální sociální zabezpečení, tedy o aplikaci právních pravidel daného subsystému na pracovníka či OSVČ, doporučení členským státům stanoví, že by </w:t>
      </w:r>
      <w:r w:rsidRPr="00CA28ED">
        <w:rPr>
          <w:rFonts w:ascii="Times New Roman" w:hAnsi="Times New Roman"/>
          <w:b/>
          <w:sz w:val="24"/>
          <w:szCs w:val="24"/>
        </w:rPr>
        <w:t>měly zajistit, aby pracovníci měli přístup k sociální ochraně, a to rozšířením povinného formálního sociálního zabezpečení na všechny pracovníky bez ohledu na typ jejich pracovněprávního vztahu</w:t>
      </w:r>
      <w:r w:rsidRPr="00CA28ED">
        <w:rPr>
          <w:rFonts w:ascii="Times New Roman" w:hAnsi="Times New Roman"/>
          <w:sz w:val="24"/>
          <w:szCs w:val="24"/>
        </w:rPr>
        <w:t xml:space="preserve">. To znamená, že pravidla sociálního zabezpečení by se měla vztahovat na všechny kategorie zaměstnanců. V případě OSVČ by měly členské státy zajistit </w:t>
      </w:r>
      <w:r w:rsidRPr="00CA28ED">
        <w:rPr>
          <w:rFonts w:ascii="Times New Roman" w:hAnsi="Times New Roman"/>
          <w:b/>
          <w:sz w:val="24"/>
          <w:szCs w:val="24"/>
        </w:rPr>
        <w:t>povinnou účast těchto subjektů v případě nemocenských dávek a dávek zdravotní péče, mateřských/otcovských dávek, dávek ve stáří a invaliditě a také dávek v případě pracovních úrazů a nemocí z povolání</w:t>
      </w:r>
      <w:r w:rsidRPr="00CA28ED">
        <w:rPr>
          <w:rFonts w:ascii="Times New Roman" w:hAnsi="Times New Roman"/>
          <w:sz w:val="24"/>
          <w:szCs w:val="24"/>
        </w:rPr>
        <w:t xml:space="preserve">. V případě </w:t>
      </w:r>
      <w:r w:rsidRPr="00CA28ED">
        <w:rPr>
          <w:rFonts w:ascii="Times New Roman" w:hAnsi="Times New Roman"/>
          <w:b/>
          <w:sz w:val="24"/>
          <w:szCs w:val="24"/>
        </w:rPr>
        <w:t>dávek v nezaměstnanosti</w:t>
      </w:r>
      <w:r w:rsidRPr="00CA28ED">
        <w:rPr>
          <w:rFonts w:ascii="Times New Roman" w:hAnsi="Times New Roman"/>
          <w:sz w:val="24"/>
          <w:szCs w:val="24"/>
        </w:rPr>
        <w:t xml:space="preserve"> členské státy mohou zajistit </w:t>
      </w:r>
      <w:r w:rsidRPr="00CA28ED">
        <w:rPr>
          <w:rFonts w:ascii="Times New Roman" w:hAnsi="Times New Roman"/>
          <w:b/>
          <w:sz w:val="24"/>
          <w:szCs w:val="24"/>
        </w:rPr>
        <w:t>jejich dobrovolnou účast.</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Pokud jde o efektivní sociální zabezpečení a převoditelnost, návrh doporučuje členským státům, aby pravidla upravující příspěvky či nároky (např. minimální doba zaměstnání, čekací doby apod.) </w:t>
      </w:r>
      <w:r w:rsidRPr="00CA28ED">
        <w:rPr>
          <w:rFonts w:ascii="Times New Roman" w:hAnsi="Times New Roman"/>
          <w:b/>
          <w:sz w:val="24"/>
          <w:szCs w:val="24"/>
        </w:rPr>
        <w:t>nebránila vzniku nároků na dávky</w:t>
      </w:r>
      <w:r w:rsidRPr="00CA28ED">
        <w:rPr>
          <w:rFonts w:ascii="Times New Roman" w:hAnsi="Times New Roman"/>
          <w:sz w:val="24"/>
          <w:szCs w:val="24"/>
        </w:rPr>
        <w:t xml:space="preserve"> z důvodu typu pracovněprávního vztahu nebo postavení na trhu práce. Rozdíly v pravidlech by měly být přiměřené. Požadavek efektivní sociálního zabezpečení rovněž zahrnuje </w:t>
      </w:r>
      <w:r w:rsidRPr="00CA28ED">
        <w:rPr>
          <w:rFonts w:ascii="Times New Roman" w:hAnsi="Times New Roman"/>
          <w:b/>
          <w:sz w:val="24"/>
          <w:szCs w:val="24"/>
        </w:rPr>
        <w:t>možnost kumulace a převoditelnosti nároků</w:t>
      </w:r>
      <w:r w:rsidRPr="00CA28ED">
        <w:rPr>
          <w:rFonts w:ascii="Times New Roman" w:hAnsi="Times New Roman"/>
          <w:sz w:val="24"/>
          <w:szCs w:val="24"/>
        </w:rPr>
        <w:t xml:space="preserve"> mezi různými typy zaměstnání či výdělečné činnosti. Co se týče přiměřenosti sociálního zabezpečení, doporučení zahrnuje požadavek, aby členské státy zajistily dostatečnou výši a dobu poskytování sociální ochrany a chránily cílové subjekty před chudobou.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Pokud jde o transparentnost sociálních systémů, podle doporučení by měly být tyto systémy transparentní, tj. uživatelé by měli mít přístup k aktualizovaným, dostupným a srozumitelným informacím o svých nárocích. Komise by měla podle návrhu vyhodnocovat pokrok v provádění tohoto doporučení ve spolupráci s členskými státy. </w:t>
      </w:r>
    </w:p>
    <w:p w:rsidR="00CA28ED" w:rsidRPr="00CA28ED" w:rsidRDefault="00CA28ED" w:rsidP="00CA28ED">
      <w:pPr>
        <w:spacing w:after="120"/>
        <w:jc w:val="both"/>
        <w:rPr>
          <w:rFonts w:ascii="Times New Roman" w:hAnsi="Times New Roman"/>
          <w:sz w:val="24"/>
          <w:szCs w:val="24"/>
        </w:rPr>
      </w:pPr>
    </w:p>
    <w:p w:rsidR="00CA28ED" w:rsidRPr="00CA28ED" w:rsidRDefault="00CA28ED" w:rsidP="00CA28ED">
      <w:pPr>
        <w:jc w:val="both"/>
        <w:rPr>
          <w:rFonts w:ascii="Times New Roman" w:hAnsi="Times New Roman"/>
          <w:i/>
          <w:sz w:val="24"/>
          <w:szCs w:val="24"/>
          <w:u w:val="single"/>
        </w:rPr>
      </w:pPr>
      <w:r w:rsidRPr="00CA28ED">
        <w:rPr>
          <w:rFonts w:ascii="Times New Roman" w:hAnsi="Times New Roman"/>
          <w:i/>
          <w:sz w:val="24"/>
          <w:szCs w:val="24"/>
          <w:u w:val="single"/>
        </w:rPr>
        <w:t>Dopad na státní rozpočet a právní řád ČR:</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Návrh nařízení může mít podle rámcové pozice vlády ČR dopad na právní řád ČR s ohledem na absenci podrobné úpravy těchto kontrol v nařízení. Vzhledem k tomu, že se jedná o zásah do práv fyzických či právnických osob, bude nezbytné pravidla vtělit do zákona případně do unijního právního předpisu.</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Návrh doporučení je sice návrhem legislativního aktu, nicméně doporučení není pro členské státy závazné. To znamená, že dopad na právní řád je nulový. V případě, že by se ČR řídila doporučením, byla by nezbytná revize právních předpisů, které se týkají především pojistných systémů (např. nemocenské či důchodové pojištění).</w:t>
      </w:r>
    </w:p>
    <w:p w:rsidR="00CA28ED" w:rsidRPr="00CA28ED" w:rsidRDefault="00CA28ED" w:rsidP="00CA28ED">
      <w:pPr>
        <w:jc w:val="both"/>
        <w:rPr>
          <w:rFonts w:ascii="Times New Roman" w:hAnsi="Times New Roman"/>
          <w:sz w:val="24"/>
          <w:szCs w:val="24"/>
        </w:rPr>
      </w:pPr>
      <w:r w:rsidRPr="00CA28ED">
        <w:rPr>
          <w:rFonts w:ascii="Times New Roman" w:hAnsi="Times New Roman"/>
          <w:sz w:val="24"/>
          <w:szCs w:val="24"/>
        </w:rPr>
        <w:t>Sdělení není legislativním aktem, nemá tedy dopad na právní řád ČR.</w:t>
      </w:r>
    </w:p>
    <w:p w:rsidR="00CA28ED" w:rsidRPr="00CA28ED" w:rsidRDefault="00CA28ED" w:rsidP="00CA28ED">
      <w:pPr>
        <w:jc w:val="both"/>
        <w:rPr>
          <w:rFonts w:ascii="Times New Roman" w:hAnsi="Times New Roman"/>
          <w:sz w:val="24"/>
          <w:szCs w:val="24"/>
        </w:rPr>
      </w:pPr>
    </w:p>
    <w:p w:rsidR="00CA28ED" w:rsidRPr="00CA28ED" w:rsidRDefault="00CA28ED" w:rsidP="00CA28ED">
      <w:pPr>
        <w:pStyle w:val="Nadpis1"/>
        <w:rPr>
          <w:rFonts w:ascii="Times New Roman" w:hAnsi="Times New Roman"/>
          <w:szCs w:val="24"/>
        </w:rPr>
      </w:pPr>
      <w:bookmarkStart w:id="11" w:name="_Toc448302191"/>
      <w:bookmarkStart w:id="12" w:name="_Toc445380612"/>
      <w:r w:rsidRPr="00CA28ED">
        <w:rPr>
          <w:rFonts w:ascii="Times New Roman" w:hAnsi="Times New Roman"/>
          <w:szCs w:val="24"/>
        </w:rPr>
        <w:t>Stanovisko vlády ČR:</w:t>
      </w:r>
      <w:bookmarkEnd w:id="11"/>
      <w:bookmarkEnd w:id="12"/>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 xml:space="preserve">Pokud jde o návrh nařízení o zřízení Evropského orgánu pro pracovní záležitosti, vláda ČR jej a priori neodmítá, nicméně podle jejího názoru je důležité, aby došlo ke zpřesnění textu a vyjasnění některých sporných otázek. V tomto ohledu se např. jedná o praktické provádění společných a sladěných kontrol či o vágnost mediačního řízení.  </w:t>
      </w:r>
    </w:p>
    <w:p w:rsidR="00CA28ED" w:rsidRPr="00CA28ED" w:rsidRDefault="00CA28ED" w:rsidP="00CA28ED">
      <w:pPr>
        <w:spacing w:after="120"/>
        <w:jc w:val="both"/>
        <w:rPr>
          <w:rFonts w:ascii="Times New Roman" w:hAnsi="Times New Roman"/>
          <w:sz w:val="24"/>
          <w:szCs w:val="24"/>
        </w:rPr>
      </w:pPr>
      <w:r w:rsidRPr="00CA28ED">
        <w:rPr>
          <w:rFonts w:ascii="Times New Roman" w:hAnsi="Times New Roman"/>
          <w:sz w:val="24"/>
          <w:szCs w:val="24"/>
        </w:rPr>
        <w:t>Pokud jde o návrh doporučení o přístupu pracovníků a osob samostatně výdělečně činných k sociální ochraně, vláda ČR s ním v obecné rovině souhlasí, neodmítá a priori ani povinnou účast dotčených osob v systému sociálního zabezpečení, nicméně bude usilovat o změnu s tím, aby účast byla dobrovolná.</w:t>
      </w:r>
    </w:p>
    <w:p w:rsidR="00CA28ED" w:rsidRPr="00CA28ED" w:rsidRDefault="00CA28ED" w:rsidP="00CA28ED">
      <w:pPr>
        <w:spacing w:before="120" w:line="40" w:lineRule="atLeast"/>
        <w:jc w:val="both"/>
        <w:rPr>
          <w:rFonts w:ascii="Times New Roman" w:eastAsia="Times New Roman" w:hAnsi="Times New Roman"/>
          <w:sz w:val="24"/>
          <w:szCs w:val="24"/>
          <w:lang w:eastAsia="cs-CZ"/>
        </w:rPr>
      </w:pPr>
      <w:r w:rsidRPr="00CA28ED">
        <w:rPr>
          <w:rFonts w:ascii="Times New Roman" w:hAnsi="Times New Roman"/>
          <w:sz w:val="24"/>
          <w:szCs w:val="24"/>
        </w:rPr>
        <w:lastRenderedPageBreak/>
        <w:t>Co se týče sdělení, vláda ČR další konvergenci v sociální oblasti vítá a na zvyšování a vyrovnávání sociálních standardů v Evropě má sama svůj eminentní zájem. V tomto ohledu však nepodporuje žádné změny v rozdělení kompetencí v sociální oblasti mezi členskými státy a EU. ČR je rovněž otevřena systematičtějšímu monitorování implementace sociálního pilíře a další konvergence v sociální oblasti.</w:t>
      </w:r>
    </w:p>
    <w:p w:rsidR="00CA28ED" w:rsidRPr="00CA28ED" w:rsidRDefault="00CA28ED" w:rsidP="00CA28ED">
      <w:pPr>
        <w:jc w:val="both"/>
        <w:rPr>
          <w:rFonts w:ascii="Times New Roman" w:hAnsi="Times New Roman"/>
          <w:sz w:val="24"/>
          <w:szCs w:val="24"/>
        </w:rPr>
      </w:pPr>
    </w:p>
    <w:p w:rsidR="00CA28ED" w:rsidRPr="00CA28ED" w:rsidRDefault="00CA28ED" w:rsidP="00CA28ED">
      <w:pPr>
        <w:pStyle w:val="Nadpis1"/>
        <w:rPr>
          <w:rFonts w:ascii="Times New Roman" w:hAnsi="Times New Roman"/>
          <w:szCs w:val="24"/>
        </w:rPr>
      </w:pPr>
      <w:bookmarkStart w:id="13" w:name="_Toc448302192"/>
      <w:bookmarkStart w:id="14" w:name="_Toc445380613"/>
      <w:r w:rsidRPr="00CA28ED">
        <w:rPr>
          <w:rFonts w:ascii="Times New Roman" w:hAnsi="Times New Roman"/>
          <w:szCs w:val="24"/>
        </w:rPr>
        <w:t>Předpokládaný harmonogram projednávání v orgánech EU:</w:t>
      </w:r>
      <w:bookmarkEnd w:id="13"/>
      <w:bookmarkEnd w:id="14"/>
    </w:p>
    <w:p w:rsidR="00B4108A" w:rsidRPr="00CA28ED" w:rsidRDefault="00CA28ED" w:rsidP="00CA28ED">
      <w:pPr>
        <w:jc w:val="both"/>
        <w:rPr>
          <w:rFonts w:ascii="Times New Roman" w:hAnsi="Times New Roman"/>
        </w:rPr>
      </w:pPr>
      <w:r w:rsidRPr="00CA28ED">
        <w:rPr>
          <w:rFonts w:ascii="Times New Roman" w:hAnsi="Times New Roman"/>
          <w:sz w:val="24"/>
          <w:szCs w:val="24"/>
        </w:rPr>
        <w:t>Příslušným výborem pro projednání návrhu nařízení o zřízení Evropského orgánu pro pracovní záležitosti, návrhu doporučení Rady o přístupu pracovníků a osob samostatně výdělečně činných k sociální ochraně a sdělení Evropskému parlamentu, Radě a Evropskému hospodářskému a sociálnímu výboru - Monitorování provádění evropského pilíře sociálních práv byl určen Výbor pro zaměstnanost a sociální</w:t>
      </w:r>
      <w:r w:rsidRPr="00CA28ED">
        <w:rPr>
          <w:rFonts w:ascii="Times New Roman" w:hAnsi="Times New Roman"/>
        </w:rPr>
        <w:t xml:space="preserve"> záležitosti Evropského parlamentu (EMPL). </w:t>
      </w:r>
    </w:p>
    <w:p w:rsidR="006D769E" w:rsidRDefault="006D769E" w:rsidP="006D769E">
      <w:pPr>
        <w:pStyle w:val="Odstavecseseznamem"/>
        <w:numPr>
          <w:ilvl w:val="0"/>
          <w:numId w:val="14"/>
        </w:numPr>
        <w:spacing w:before="240" w:after="0" w:line="240" w:lineRule="auto"/>
        <w:ind w:left="0"/>
        <w:outlineLvl w:val="0"/>
        <w:rPr>
          <w:rFonts w:ascii="Times New Roman" w:eastAsia="Times New Roman" w:hAnsi="Times New Roman"/>
          <w:b/>
          <w:sz w:val="24"/>
          <w:szCs w:val="20"/>
          <w:lang w:eastAsia="cs-CZ"/>
        </w:rPr>
      </w:pPr>
      <w:bookmarkStart w:id="15" w:name="_Toc448302193"/>
      <w:bookmarkStart w:id="16" w:name="_Toc445380614"/>
      <w:r>
        <w:rPr>
          <w:rFonts w:ascii="Times New Roman" w:eastAsia="Times New Roman" w:hAnsi="Times New Roman"/>
          <w:b/>
          <w:sz w:val="24"/>
          <w:szCs w:val="20"/>
          <w:lang w:eastAsia="cs-CZ"/>
        </w:rPr>
        <w:t>Závěr:</w:t>
      </w:r>
      <w:bookmarkEnd w:id="15"/>
      <w:bookmarkEnd w:id="16"/>
      <w:r>
        <w:rPr>
          <w:rFonts w:ascii="Times New Roman" w:eastAsia="Times New Roman" w:hAnsi="Times New Roman"/>
          <w:b/>
          <w:sz w:val="24"/>
          <w:szCs w:val="20"/>
          <w:lang w:eastAsia="cs-CZ"/>
        </w:rPr>
        <w:t xml:space="preserve"> </w:t>
      </w:r>
    </w:p>
    <w:p w:rsidR="006D769E" w:rsidRDefault="006D769E" w:rsidP="006D769E">
      <w:pPr>
        <w:spacing w:after="0" w:line="240" w:lineRule="auto"/>
        <w:jc w:val="both"/>
        <w:rPr>
          <w:rFonts w:ascii="Times New Roman" w:hAnsi="Times New Roman"/>
          <w:sz w:val="24"/>
        </w:rPr>
      </w:pPr>
    </w:p>
    <w:p w:rsidR="006D769E" w:rsidRDefault="006D769E" w:rsidP="006D769E">
      <w:pPr>
        <w:spacing w:after="0" w:line="240" w:lineRule="auto"/>
        <w:rPr>
          <w:rFonts w:ascii="Times New Roman" w:eastAsia="Times New Roman" w:hAnsi="Times New Roman"/>
          <w:iCs/>
          <w:sz w:val="24"/>
          <w:szCs w:val="20"/>
          <w:lang w:eastAsia="cs-CZ"/>
        </w:rPr>
      </w:pPr>
      <w:r>
        <w:rPr>
          <w:rFonts w:ascii="Times New Roman" w:eastAsia="Times New Roman" w:hAnsi="Times New Roman"/>
          <w:iCs/>
          <w:sz w:val="24"/>
          <w:szCs w:val="20"/>
          <w:lang w:eastAsia="cs-CZ"/>
        </w:rPr>
        <w:t>Výbor pro evropské záležitosti</w:t>
      </w:r>
    </w:p>
    <w:p w:rsidR="006D769E" w:rsidRDefault="006D769E" w:rsidP="006D769E">
      <w:pPr>
        <w:spacing w:after="0" w:line="240" w:lineRule="auto"/>
        <w:rPr>
          <w:rFonts w:ascii="Times New Roman" w:eastAsia="Times New Roman" w:hAnsi="Times New Roman"/>
          <w:i/>
          <w:iCs/>
          <w:sz w:val="24"/>
          <w:szCs w:val="20"/>
          <w:lang w:eastAsia="cs-CZ"/>
        </w:rPr>
      </w:pPr>
    </w:p>
    <w:p w:rsidR="006D769E" w:rsidRDefault="006D769E" w:rsidP="006D769E">
      <w:pPr>
        <w:keepNext/>
        <w:keepLines/>
        <w:numPr>
          <w:ilvl w:val="0"/>
          <w:numId w:val="15"/>
        </w:numPr>
        <w:suppressAutoHyphens/>
        <w:autoSpaceDN w:val="0"/>
        <w:spacing w:line="252" w:lineRule="auto"/>
        <w:jc w:val="both"/>
        <w:textAlignment w:val="baseline"/>
        <w:rPr>
          <w:rFonts w:ascii="Times New Roman" w:hAnsi="Times New Roman"/>
          <w:iCs/>
          <w:sz w:val="24"/>
        </w:rPr>
      </w:pPr>
      <w:r>
        <w:rPr>
          <w:rFonts w:ascii="Times New Roman" w:hAnsi="Times New Roman"/>
          <w:b/>
          <w:spacing w:val="60"/>
          <w:sz w:val="24"/>
        </w:rPr>
        <w:t>bere na vědomí</w:t>
      </w:r>
      <w:r w:rsidR="00B25A7D">
        <w:rPr>
          <w:rFonts w:ascii="Times New Roman" w:hAnsi="Times New Roman"/>
          <w:b/>
          <w:spacing w:val="60"/>
          <w:sz w:val="24"/>
        </w:rPr>
        <w:t xml:space="preserve"> </w:t>
      </w:r>
      <w:r w:rsidR="00B25A7D">
        <w:rPr>
          <w:rFonts w:ascii="Times New Roman" w:eastAsiaTheme="minorHAnsi" w:hAnsi="Times New Roman"/>
          <w:sz w:val="24"/>
          <w:szCs w:val="24"/>
        </w:rPr>
        <w:t>návrh nařízení Evropského parlamentu a Rady o zřízení Evropského orgánu pro pracovní záležitosti KOM(2018) 131 v konečném znění, sdělení Evropskému parlamentu, Radě a Evropskému hospodářskému a sociálnímu výboru – Monitorování provádění evropského pilíře sociálních práv KOM(2018) 130 v konečném znění a návrh doporučení Rady o přístupu pracovníků a osob samostatně výdělečně činných k sociální ochraně KOM(2018) 132 v konečném znění</w:t>
      </w:r>
      <w:r>
        <w:rPr>
          <w:rFonts w:ascii="Times New Roman" w:hAnsi="Times New Roman"/>
          <w:sz w:val="24"/>
        </w:rPr>
        <w:t>;</w:t>
      </w:r>
    </w:p>
    <w:p w:rsidR="006D769E" w:rsidRDefault="006D769E" w:rsidP="006D769E">
      <w:pPr>
        <w:keepNext/>
        <w:keepLines/>
        <w:numPr>
          <w:ilvl w:val="0"/>
          <w:numId w:val="15"/>
        </w:numPr>
        <w:suppressAutoHyphens/>
        <w:autoSpaceDN w:val="0"/>
        <w:spacing w:line="252" w:lineRule="auto"/>
        <w:jc w:val="both"/>
        <w:textAlignment w:val="baseline"/>
        <w:rPr>
          <w:rFonts w:ascii="Times New Roman" w:hAnsi="Times New Roman"/>
          <w:iCs/>
          <w:sz w:val="24"/>
        </w:rPr>
      </w:pPr>
      <w:r>
        <w:rPr>
          <w:rFonts w:ascii="Times New Roman" w:hAnsi="Times New Roman"/>
          <w:b/>
          <w:spacing w:val="60"/>
          <w:sz w:val="24"/>
        </w:rPr>
        <w:t xml:space="preserve">podporuje </w:t>
      </w:r>
      <w:r>
        <w:rPr>
          <w:rFonts w:ascii="Times New Roman" w:hAnsi="Times New Roman"/>
          <w:sz w:val="24"/>
        </w:rPr>
        <w:t>rámcové pozice vlády ČR k těmto dokumentům;</w:t>
      </w:r>
    </w:p>
    <w:p w:rsidR="006D769E" w:rsidRDefault="006D769E" w:rsidP="006D769E">
      <w:pPr>
        <w:keepNext/>
        <w:keepLines/>
        <w:numPr>
          <w:ilvl w:val="0"/>
          <w:numId w:val="15"/>
        </w:numPr>
        <w:suppressAutoHyphens/>
        <w:autoSpaceDN w:val="0"/>
        <w:spacing w:after="0" w:line="252" w:lineRule="auto"/>
        <w:jc w:val="both"/>
        <w:textAlignment w:val="baseline"/>
        <w:rPr>
          <w:rFonts w:ascii="Times New Roman" w:hAnsi="Times New Roman"/>
          <w:sz w:val="24"/>
        </w:rPr>
      </w:pPr>
      <w:r>
        <w:rPr>
          <w:rFonts w:ascii="Times New Roman" w:hAnsi="Times New Roman"/>
          <w:b/>
          <w:spacing w:val="60"/>
          <w:sz w:val="24"/>
        </w:rPr>
        <w:t>žádá vládu</w:t>
      </w:r>
      <w:r>
        <w:rPr>
          <w:rFonts w:ascii="Times New Roman" w:hAnsi="Times New Roman"/>
          <w:sz w:val="24"/>
        </w:rPr>
        <w:t>, aby</w:t>
      </w:r>
      <w:r w:rsidR="00CA28ED">
        <w:rPr>
          <w:rFonts w:ascii="Times New Roman" w:hAnsi="Times New Roman"/>
          <w:sz w:val="24"/>
        </w:rPr>
        <w:t xml:space="preserve"> jej informovala o dalším projednávání těchto dokumentů</w:t>
      </w:r>
      <w:r>
        <w:rPr>
          <w:rFonts w:ascii="Times New Roman" w:hAnsi="Times New Roman"/>
          <w:sz w:val="24"/>
        </w:rPr>
        <w:t>.</w:t>
      </w:r>
    </w:p>
    <w:p w:rsidR="00B4108A" w:rsidRDefault="00B4108A" w:rsidP="00D066DF">
      <w:pPr>
        <w:spacing w:after="0" w:line="240" w:lineRule="auto"/>
        <w:rPr>
          <w:rFonts w:ascii="Times New Roman" w:hAnsi="Times New Roman"/>
          <w:sz w:val="24"/>
        </w:rPr>
      </w:pPr>
    </w:p>
    <w:p w:rsidR="00B25A7D" w:rsidRDefault="00B25A7D" w:rsidP="00D066DF">
      <w:pPr>
        <w:spacing w:after="0" w:line="240" w:lineRule="auto"/>
        <w:rPr>
          <w:rFonts w:ascii="Times New Roman" w:hAnsi="Times New Roman"/>
          <w:sz w:val="24"/>
        </w:rPr>
      </w:pPr>
    </w:p>
    <w:p w:rsidR="00B25A7D" w:rsidRDefault="00B25A7D" w:rsidP="00D066DF">
      <w:pPr>
        <w:spacing w:after="0" w:line="240" w:lineRule="auto"/>
        <w:rPr>
          <w:rFonts w:ascii="Times New Roman" w:hAnsi="Times New Roman"/>
          <w:sz w:val="24"/>
        </w:rPr>
      </w:pPr>
    </w:p>
    <w:p w:rsidR="00B25A7D" w:rsidRDefault="00B25A7D" w:rsidP="00D066DF">
      <w:pPr>
        <w:spacing w:after="0" w:line="240" w:lineRule="auto"/>
        <w:rPr>
          <w:rFonts w:ascii="Times New Roman" w:hAnsi="Times New Roman"/>
          <w:sz w:val="24"/>
        </w:rPr>
      </w:pPr>
    </w:p>
    <w:p w:rsidR="00B25A7D" w:rsidRDefault="00B25A7D" w:rsidP="00D066DF">
      <w:pPr>
        <w:spacing w:after="0" w:line="240" w:lineRule="auto"/>
        <w:rPr>
          <w:rFonts w:ascii="Times New Roman" w:hAnsi="Times New Roman"/>
          <w:sz w:val="24"/>
        </w:rPr>
      </w:pPr>
    </w:p>
    <w:p w:rsidR="00B25A7D" w:rsidRDefault="00B25A7D" w:rsidP="00D066DF">
      <w:pPr>
        <w:spacing w:after="0" w:line="240" w:lineRule="auto"/>
        <w:rPr>
          <w:rFonts w:ascii="Times New Roman" w:hAnsi="Times New Roman"/>
          <w:sz w:val="24"/>
        </w:rPr>
      </w:pPr>
    </w:p>
    <w:p w:rsidR="00B25A7D" w:rsidRDefault="00B25A7D" w:rsidP="00D066DF">
      <w:pPr>
        <w:spacing w:after="0" w:line="240" w:lineRule="auto"/>
        <w:rPr>
          <w:rFonts w:ascii="Times New Roman" w:hAnsi="Times New Roman"/>
          <w:sz w:val="24"/>
        </w:rPr>
      </w:pPr>
    </w:p>
    <w:p w:rsidR="00B25A7D" w:rsidRDefault="00B25A7D" w:rsidP="00D066DF">
      <w:pPr>
        <w:spacing w:after="0" w:line="240" w:lineRule="auto"/>
        <w:rPr>
          <w:rFonts w:ascii="Times New Roman" w:hAnsi="Times New Roman"/>
          <w:sz w:val="24"/>
        </w:rPr>
      </w:pPr>
    </w:p>
    <w:p w:rsidR="00B25A7D" w:rsidRPr="00106842" w:rsidRDefault="00B25A7D" w:rsidP="00B25A7D">
      <w:pPr>
        <w:keepNext/>
        <w:tabs>
          <w:tab w:val="center" w:pos="1701"/>
          <w:tab w:val="center" w:pos="4536"/>
          <w:tab w:val="center" w:pos="7371"/>
        </w:tabs>
        <w:spacing w:before="1000" w:after="0" w:line="240" w:lineRule="auto"/>
        <w:rPr>
          <w:rFonts w:ascii="Times New Roman" w:hAnsi="Times New Roman"/>
          <w:sz w:val="24"/>
        </w:rPr>
      </w:pPr>
      <w:r>
        <w:rPr>
          <w:rFonts w:ascii="Times New Roman" w:hAnsi="Times New Roman"/>
          <w:sz w:val="24"/>
        </w:rPr>
        <w:tab/>
        <w:t>Adam Kalous</w:t>
      </w:r>
      <w:r w:rsidR="009E1769">
        <w:rPr>
          <w:rFonts w:ascii="Times New Roman" w:hAnsi="Times New Roman"/>
          <w:sz w:val="24"/>
        </w:rPr>
        <w:t xml:space="preserve"> v. r.</w:t>
      </w:r>
      <w:r w:rsidRPr="00106842">
        <w:rPr>
          <w:rFonts w:ascii="Times New Roman" w:hAnsi="Times New Roman"/>
          <w:sz w:val="24"/>
        </w:rPr>
        <w:tab/>
        <w:t xml:space="preserve"> </w:t>
      </w:r>
      <w:r>
        <w:rPr>
          <w:rFonts w:ascii="Times New Roman" w:hAnsi="Times New Roman"/>
          <w:sz w:val="24"/>
        </w:rPr>
        <w:tab/>
        <w:t xml:space="preserve">Andrea Babišová </w:t>
      </w:r>
      <w:r w:rsidR="009E1769">
        <w:rPr>
          <w:rFonts w:ascii="Times New Roman" w:hAnsi="Times New Roman"/>
          <w:sz w:val="24"/>
        </w:rPr>
        <w:t>v. r.</w:t>
      </w:r>
    </w:p>
    <w:p w:rsidR="00B25A7D" w:rsidRPr="00106842" w:rsidRDefault="00B25A7D" w:rsidP="00B25A7D">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r>
        <w:rPr>
          <w:rFonts w:ascii="Times New Roman" w:hAnsi="Times New Roman"/>
          <w:sz w:val="24"/>
        </w:rPr>
        <w:t>ka</w:t>
      </w:r>
    </w:p>
    <w:p w:rsidR="00B25A7D" w:rsidRPr="00254049" w:rsidRDefault="00B25A7D" w:rsidP="00B25A7D">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Ondřej Veselý</w:t>
      </w:r>
      <w:r w:rsidRPr="00106842">
        <w:rPr>
          <w:rFonts w:ascii="Times New Roman" w:hAnsi="Times New Roman"/>
          <w:sz w:val="24"/>
        </w:rPr>
        <w:t xml:space="preserve"> </w:t>
      </w:r>
      <w:r w:rsidR="009E1769">
        <w:rPr>
          <w:rFonts w:ascii="Times New Roman" w:hAnsi="Times New Roman"/>
          <w:sz w:val="24"/>
        </w:rPr>
        <w:t>v. r.</w:t>
      </w:r>
      <w:bookmarkStart w:id="17" w:name="_GoBack"/>
      <w:bookmarkEnd w:id="17"/>
    </w:p>
    <w:p w:rsidR="00B25A7D" w:rsidRDefault="00B25A7D" w:rsidP="00B25A7D">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místop</w:t>
      </w:r>
      <w:r w:rsidRPr="00106842">
        <w:rPr>
          <w:rFonts w:ascii="Times New Roman" w:hAnsi="Times New Roman"/>
          <w:sz w:val="24"/>
        </w:rPr>
        <w:t>ředseda</w:t>
      </w:r>
    </w:p>
    <w:p w:rsidR="00B25A7D" w:rsidRDefault="00B25A7D" w:rsidP="00D066DF">
      <w:pPr>
        <w:spacing w:after="0" w:line="240" w:lineRule="auto"/>
        <w:rPr>
          <w:rFonts w:ascii="Times New Roman" w:hAnsi="Times New Roman"/>
          <w:sz w:val="24"/>
        </w:rPr>
      </w:pPr>
    </w:p>
    <w:sectPr w:rsidR="00B25A7D" w:rsidSect="00563B5A">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5A" w:rsidRDefault="00563B5A" w:rsidP="00563B5A">
      <w:pPr>
        <w:spacing w:after="0" w:line="240" w:lineRule="auto"/>
      </w:pPr>
      <w:r>
        <w:separator/>
      </w:r>
    </w:p>
  </w:endnote>
  <w:endnote w:type="continuationSeparator" w:id="0">
    <w:p w:rsidR="00563B5A" w:rsidRDefault="00563B5A" w:rsidP="005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52567428"/>
      <w:docPartObj>
        <w:docPartGallery w:val="Page Numbers (Bottom of Page)"/>
        <w:docPartUnique/>
      </w:docPartObj>
    </w:sdtPr>
    <w:sdtEndPr/>
    <w:sdtContent>
      <w:p w:rsidR="00563B5A" w:rsidRPr="00563B5A" w:rsidRDefault="00563B5A">
        <w:pPr>
          <w:pStyle w:val="Zpat"/>
          <w:jc w:val="center"/>
          <w:rPr>
            <w:rFonts w:ascii="Times New Roman" w:hAnsi="Times New Roman"/>
            <w:sz w:val="24"/>
            <w:szCs w:val="24"/>
          </w:rPr>
        </w:pPr>
        <w:r w:rsidRPr="00563B5A">
          <w:rPr>
            <w:rFonts w:ascii="Times New Roman" w:hAnsi="Times New Roman"/>
            <w:sz w:val="24"/>
            <w:szCs w:val="24"/>
          </w:rPr>
          <w:fldChar w:fldCharType="begin"/>
        </w:r>
        <w:r w:rsidRPr="00563B5A">
          <w:rPr>
            <w:rFonts w:ascii="Times New Roman" w:hAnsi="Times New Roman"/>
            <w:sz w:val="24"/>
            <w:szCs w:val="24"/>
          </w:rPr>
          <w:instrText>PAGE   \* MERGEFORMAT</w:instrText>
        </w:r>
        <w:r w:rsidRPr="00563B5A">
          <w:rPr>
            <w:rFonts w:ascii="Times New Roman" w:hAnsi="Times New Roman"/>
            <w:sz w:val="24"/>
            <w:szCs w:val="24"/>
          </w:rPr>
          <w:fldChar w:fldCharType="separate"/>
        </w:r>
        <w:r w:rsidR="009E1769">
          <w:rPr>
            <w:rFonts w:ascii="Times New Roman" w:hAnsi="Times New Roman"/>
            <w:noProof/>
            <w:sz w:val="24"/>
            <w:szCs w:val="24"/>
          </w:rPr>
          <w:t>6</w:t>
        </w:r>
        <w:r w:rsidRPr="00563B5A">
          <w:rPr>
            <w:rFonts w:ascii="Times New Roman" w:hAnsi="Times New Roman"/>
            <w:sz w:val="24"/>
            <w:szCs w:val="24"/>
          </w:rPr>
          <w:fldChar w:fldCharType="end"/>
        </w:r>
      </w:p>
    </w:sdtContent>
  </w:sdt>
  <w:p w:rsidR="00563B5A" w:rsidRDefault="00563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5A" w:rsidRDefault="00563B5A" w:rsidP="00563B5A">
      <w:pPr>
        <w:spacing w:after="0" w:line="240" w:lineRule="auto"/>
      </w:pPr>
      <w:r>
        <w:separator/>
      </w:r>
    </w:p>
  </w:footnote>
  <w:footnote w:type="continuationSeparator" w:id="0">
    <w:p w:rsidR="00563B5A" w:rsidRDefault="00563B5A" w:rsidP="00563B5A">
      <w:pPr>
        <w:spacing w:after="0" w:line="240" w:lineRule="auto"/>
      </w:pPr>
      <w:r>
        <w:continuationSeparator/>
      </w:r>
    </w:p>
  </w:footnote>
  <w:footnote w:id="1">
    <w:p w:rsidR="00CA28ED" w:rsidRPr="00CA28ED" w:rsidRDefault="00CA28ED" w:rsidP="00CA28ED">
      <w:pPr>
        <w:pStyle w:val="Textpoznpodarou"/>
        <w:rPr>
          <w:rFonts w:ascii="Times New Roman" w:hAnsi="Times New Roman"/>
        </w:rPr>
      </w:pPr>
      <w:r w:rsidRPr="00CA28ED">
        <w:rPr>
          <w:rStyle w:val="Znakapoznpodarou"/>
          <w:rFonts w:ascii="Times New Roman" w:hAnsi="Times New Roman"/>
        </w:rPr>
        <w:footnoteRef/>
      </w:r>
      <w:r w:rsidRPr="00CA28ED">
        <w:rPr>
          <w:rFonts w:ascii="Times New Roman" w:hAnsi="Times New Roman"/>
        </w:rPr>
        <w:t xml:space="preserve"> Angl. „Social Fairness package“.</w:t>
      </w:r>
    </w:p>
  </w:footnote>
  <w:footnote w:id="2">
    <w:p w:rsidR="00CA28ED" w:rsidRPr="00CA28ED" w:rsidRDefault="00CA28ED" w:rsidP="00CA28ED">
      <w:pPr>
        <w:pStyle w:val="Textpoznpodarou"/>
        <w:rPr>
          <w:rFonts w:ascii="Times New Roman" w:hAnsi="Times New Roman"/>
        </w:rPr>
      </w:pPr>
      <w:r w:rsidRPr="00CA28ED">
        <w:rPr>
          <w:rStyle w:val="Znakapoznpodarou"/>
          <w:rFonts w:ascii="Times New Roman" w:hAnsi="Times New Roman"/>
        </w:rPr>
        <w:footnoteRef/>
      </w:r>
      <w:r w:rsidRPr="00CA28ED">
        <w:rPr>
          <w:rFonts w:ascii="Times New Roman" w:hAnsi="Times New Roman"/>
        </w:rPr>
        <w:t xml:space="preserve"> Mezi nejdůležitější návrhy patří např. revize směrnice o vysílání pracovníků, směrnice o rovnováze mezi pracovním a soukromým životem rodičů či předpisy týkající se modernizace koordinace sociálního zabezpečení a další. </w:t>
      </w:r>
    </w:p>
  </w:footnote>
  <w:footnote w:id="3">
    <w:p w:rsidR="00CA28ED" w:rsidRPr="00CA28ED" w:rsidRDefault="00CA28ED" w:rsidP="00CA28ED">
      <w:pPr>
        <w:pStyle w:val="Textpoznpodarou"/>
        <w:rPr>
          <w:rFonts w:ascii="Times New Roman" w:hAnsi="Times New Roman"/>
        </w:rPr>
      </w:pPr>
      <w:r w:rsidRPr="00CA28ED">
        <w:rPr>
          <w:rStyle w:val="Znakapoznpodarou"/>
          <w:rFonts w:ascii="Times New Roman" w:hAnsi="Times New Roman"/>
        </w:rPr>
        <w:footnoteRef/>
      </w:r>
      <w:r w:rsidRPr="00CA28ED">
        <w:rPr>
          <w:rFonts w:ascii="Times New Roman" w:hAnsi="Times New Roman"/>
        </w:rPr>
        <w:t xml:space="preserve"> Např. energetická unie, jednotný digitální trh, dopravní politika, jakost pitné vody apod.</w:t>
      </w:r>
    </w:p>
  </w:footnote>
  <w:footnote w:id="4">
    <w:p w:rsidR="00CA28ED" w:rsidRPr="00CA28ED" w:rsidRDefault="00CA28ED" w:rsidP="00CA28ED">
      <w:pPr>
        <w:pStyle w:val="Poznmkapodarou"/>
        <w:rPr>
          <w:rFonts w:ascii="Times New Roman" w:hAnsi="Times New Roman"/>
          <w:sz w:val="20"/>
        </w:rPr>
      </w:pPr>
      <w:r w:rsidRPr="00CA28ED">
        <w:rPr>
          <w:rFonts w:ascii="Times New Roman" w:hAnsi="Times New Roman"/>
          <w:sz w:val="20"/>
        </w:rPr>
        <w:footnoteRef/>
      </w:r>
      <w:r w:rsidRPr="00CA28ED">
        <w:rPr>
          <w:rFonts w:ascii="Times New Roman" w:hAnsi="Times New Roman"/>
          <w:sz w:val="20"/>
        </w:rPr>
        <w:t xml:space="preserve"> V čl.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8225F2"/>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61FA405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3208CFE2"/>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6BA8939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57C9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02C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AC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0E82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4BEA8"/>
    <w:lvl w:ilvl="0">
      <w:start w:val="1"/>
      <w:numFmt w:val="upperRoman"/>
      <w:pStyle w:val="slovanseznam"/>
      <w:lvlText w:val="%1."/>
      <w:lvlJc w:val="left"/>
      <w:pPr>
        <w:ind w:left="360" w:hanging="360"/>
      </w:pPr>
      <w:rPr>
        <w:rFonts w:hint="default"/>
      </w:rPr>
    </w:lvl>
  </w:abstractNum>
  <w:abstractNum w:abstractNumId="9">
    <w:nsid w:val="FFFFFF89"/>
    <w:multiLevelType w:val="singleLevel"/>
    <w:tmpl w:val="1F2AE5AE"/>
    <w:lvl w:ilvl="0">
      <w:start w:val="1"/>
      <w:numFmt w:val="bullet"/>
      <w:lvlText w:val=""/>
      <w:lvlJc w:val="left"/>
      <w:pPr>
        <w:tabs>
          <w:tab w:val="num" w:pos="360"/>
        </w:tabs>
        <w:ind w:left="360" w:hanging="360"/>
      </w:pPr>
      <w:rPr>
        <w:rFonts w:ascii="Symbol" w:hAnsi="Symbol" w:hint="default"/>
      </w:rPr>
    </w:lvl>
  </w:abstractNum>
  <w:abstractNum w:abstractNumId="10">
    <w:nsid w:val="07A14B8C"/>
    <w:multiLevelType w:val="hybridMultilevel"/>
    <w:tmpl w:val="146CBBA6"/>
    <w:lvl w:ilvl="0" w:tplc="A7DC4C5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F658F2"/>
    <w:multiLevelType w:val="hybridMultilevel"/>
    <w:tmpl w:val="9D601508"/>
    <w:lvl w:ilvl="0" w:tplc="A7DC4C58">
      <w:start w:val="1"/>
      <w:numFmt w:val="upperRoman"/>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3B4E6877"/>
    <w:multiLevelType w:val="hybridMultilevel"/>
    <w:tmpl w:val="7C74D018"/>
    <w:lvl w:ilvl="0" w:tplc="AAB6B2BC">
      <w:start w:val="1"/>
      <w:numFmt w:val="upperRoman"/>
      <w:pStyle w:val="PS-slovanseznam"/>
      <w:lvlText w:val="%1."/>
      <w:lvlJc w:val="left"/>
      <w:pPr>
        <w:ind w:left="4046"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4">
    <w:nsid w:val="452C60E0"/>
    <w:multiLevelType w:val="hybridMultilevel"/>
    <w:tmpl w:val="7688DA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nsid w:val="4AB431D6"/>
    <w:multiLevelType w:val="hybridMultilevel"/>
    <w:tmpl w:val="842A9E2A"/>
    <w:lvl w:ilvl="0" w:tplc="2032779C">
      <w:start w:val="1"/>
      <w:numFmt w:val="bullet"/>
      <w:pStyle w:val="Nadpis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7B85469"/>
    <w:multiLevelType w:val="hybridMultilevel"/>
    <w:tmpl w:val="6450DC9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700376BA"/>
    <w:multiLevelType w:val="hybridMultilevel"/>
    <w:tmpl w:val="5DAA95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7B9566FE"/>
    <w:multiLevelType w:val="hybridMultilevel"/>
    <w:tmpl w:val="07188B2E"/>
    <w:lvl w:ilvl="0" w:tplc="D7488604">
      <w:numFmt w:val="bullet"/>
      <w:lvlText w:val="-"/>
      <w:lvlJc w:val="left"/>
      <w:pPr>
        <w:ind w:left="644" w:hanging="360"/>
      </w:pPr>
      <w:rPr>
        <w:rFonts w:ascii="Calibri Light" w:eastAsia="Calibri" w:hAnsi="Calibri Light"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0"/>
  </w:num>
  <w:num w:numId="9">
    <w:abstractNumId w:val="4"/>
  </w:num>
  <w:num w:numId="10">
    <w:abstractNumId w:val="5"/>
  </w:num>
  <w:num w:numId="11">
    <w:abstractNumId w:val="6"/>
  </w:num>
  <w:num w:numId="12">
    <w:abstractNumId w:val="7"/>
  </w:num>
  <w:num w:numId="13">
    <w:abstractNumId w:val="9"/>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20"/>
    <w:rsid w:val="000476E4"/>
    <w:rsid w:val="000C5278"/>
    <w:rsid w:val="000E730C"/>
    <w:rsid w:val="00103C04"/>
    <w:rsid w:val="00106842"/>
    <w:rsid w:val="00136646"/>
    <w:rsid w:val="001B45F3"/>
    <w:rsid w:val="001E6E20"/>
    <w:rsid w:val="00230024"/>
    <w:rsid w:val="00254049"/>
    <w:rsid w:val="002706C2"/>
    <w:rsid w:val="00272E1B"/>
    <w:rsid w:val="002A2F32"/>
    <w:rsid w:val="002B0FB6"/>
    <w:rsid w:val="002B2119"/>
    <w:rsid w:val="002B60B3"/>
    <w:rsid w:val="002C6BED"/>
    <w:rsid w:val="00356011"/>
    <w:rsid w:val="00377253"/>
    <w:rsid w:val="003A1DF9"/>
    <w:rsid w:val="003D2033"/>
    <w:rsid w:val="005227BF"/>
    <w:rsid w:val="00563B5A"/>
    <w:rsid w:val="00566A4C"/>
    <w:rsid w:val="00597608"/>
    <w:rsid w:val="005C30D7"/>
    <w:rsid w:val="005E094C"/>
    <w:rsid w:val="005F6CAE"/>
    <w:rsid w:val="0061035F"/>
    <w:rsid w:val="00620764"/>
    <w:rsid w:val="00630AC0"/>
    <w:rsid w:val="00656C37"/>
    <w:rsid w:val="006D769E"/>
    <w:rsid w:val="007C62DA"/>
    <w:rsid w:val="007D5EE1"/>
    <w:rsid w:val="007E1D0B"/>
    <w:rsid w:val="00812496"/>
    <w:rsid w:val="00830BFE"/>
    <w:rsid w:val="00893C29"/>
    <w:rsid w:val="008B458C"/>
    <w:rsid w:val="00903269"/>
    <w:rsid w:val="0094737F"/>
    <w:rsid w:val="009E1769"/>
    <w:rsid w:val="00A46B62"/>
    <w:rsid w:val="00A46CDA"/>
    <w:rsid w:val="00A93982"/>
    <w:rsid w:val="00AA0D27"/>
    <w:rsid w:val="00B13892"/>
    <w:rsid w:val="00B25A7D"/>
    <w:rsid w:val="00B4108A"/>
    <w:rsid w:val="00B53E8D"/>
    <w:rsid w:val="00B715B6"/>
    <w:rsid w:val="00BA00F3"/>
    <w:rsid w:val="00BA0357"/>
    <w:rsid w:val="00C56014"/>
    <w:rsid w:val="00C978E8"/>
    <w:rsid w:val="00CA28ED"/>
    <w:rsid w:val="00D066DF"/>
    <w:rsid w:val="00D46ACA"/>
    <w:rsid w:val="00D76FB3"/>
    <w:rsid w:val="00DC29E4"/>
    <w:rsid w:val="00ED15A8"/>
    <w:rsid w:val="00EF0C30"/>
    <w:rsid w:val="00EF3B15"/>
    <w:rsid w:val="00EF4E08"/>
    <w:rsid w:val="00EF679B"/>
    <w:rsid w:val="00F85A4C"/>
    <w:rsid w:val="00FB7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26CB-5D64-4419-954A-44FF3EA1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B6"/>
    <w:pPr>
      <w:spacing w:after="160" w:line="259" w:lineRule="auto"/>
    </w:pPr>
    <w:rPr>
      <w:sz w:val="22"/>
      <w:szCs w:val="22"/>
      <w:lang w:eastAsia="en-US"/>
    </w:rPr>
  </w:style>
  <w:style w:type="paragraph" w:styleId="Nadpis1">
    <w:name w:val="heading 1"/>
    <w:basedOn w:val="Normln"/>
    <w:next w:val="Normln"/>
    <w:link w:val="Nadpis1Char"/>
    <w:qFormat/>
    <w:rsid w:val="00CA28ED"/>
    <w:pPr>
      <w:numPr>
        <w:numId w:val="18"/>
      </w:numPr>
      <w:spacing w:after="0" w:line="240" w:lineRule="auto"/>
      <w:ind w:left="0"/>
      <w:outlineLvl w:val="0"/>
    </w:pPr>
    <w:rPr>
      <w:rFonts w:asciiTheme="majorHAnsi" w:eastAsia="Times New Roman" w:hAnsiTheme="majorHAnsi"/>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qFormat/>
    <w:rsid w:val="00377253"/>
    <w:pPr>
      <w:spacing w:after="0" w:line="240" w:lineRule="auto"/>
      <w:jc w:val="center"/>
    </w:pPr>
    <w:rPr>
      <w:rFonts w:ascii="Times New Roman" w:hAnsi="Times New Roman"/>
      <w:b/>
      <w:i/>
      <w:sz w:val="24"/>
    </w:rPr>
  </w:style>
  <w:style w:type="paragraph" w:customStyle="1" w:styleId="PS-hlavika2">
    <w:name w:val="PS-hlavička 2"/>
    <w:basedOn w:val="Normln"/>
    <w:next w:val="PS-hlavika1"/>
    <w:qFormat/>
    <w:rsid w:val="00103C04"/>
    <w:pPr>
      <w:spacing w:after="0" w:line="240" w:lineRule="auto"/>
      <w:jc w:val="center"/>
    </w:pPr>
    <w:rPr>
      <w:rFonts w:ascii="Times New Roman" w:hAnsi="Times New Roman"/>
      <w:b/>
      <w:i/>
      <w:caps/>
      <w:sz w:val="36"/>
    </w:rPr>
  </w:style>
  <w:style w:type="paragraph" w:customStyle="1" w:styleId="PS-slousnesen">
    <w:name w:val="PS-číslo usnesení"/>
    <w:basedOn w:val="Normln"/>
    <w:next w:val="Bezmezer"/>
    <w:qFormat/>
    <w:rsid w:val="000E730C"/>
    <w:pPr>
      <w:spacing w:before="360" w:after="360" w:line="240" w:lineRule="auto"/>
      <w:jc w:val="center"/>
    </w:pPr>
    <w:rPr>
      <w:rFonts w:ascii="Times New Roman" w:hAnsi="Times New Roman"/>
      <w:b/>
      <w:i/>
      <w:sz w:val="24"/>
    </w:rPr>
  </w:style>
  <w:style w:type="paragraph" w:customStyle="1" w:styleId="PS-hlavika3">
    <w:name w:val="PS-hlavička 3"/>
    <w:basedOn w:val="Normln"/>
    <w:next w:val="PS-hlavika1"/>
    <w:qFormat/>
    <w:rsid w:val="00103C04"/>
    <w:pPr>
      <w:spacing w:after="0" w:line="240" w:lineRule="auto"/>
      <w:jc w:val="center"/>
    </w:pPr>
    <w:rPr>
      <w:rFonts w:ascii="Times New Roman" w:hAnsi="Times New Roman"/>
      <w:b/>
      <w:i/>
      <w:caps/>
      <w:sz w:val="32"/>
    </w:rPr>
  </w:style>
  <w:style w:type="paragraph" w:styleId="Bezmezer">
    <w:name w:val="No Spacing"/>
    <w:uiPriority w:val="1"/>
    <w:qFormat/>
    <w:rsid w:val="000E730C"/>
    <w:rPr>
      <w:sz w:val="22"/>
      <w:szCs w:val="22"/>
      <w:lang w:eastAsia="en-US"/>
    </w:rPr>
  </w:style>
  <w:style w:type="paragraph" w:customStyle="1" w:styleId="PS-pedmtusnesen">
    <w:name w:val="PS-předmět usnesení"/>
    <w:basedOn w:val="Normln"/>
    <w:next w:val="PS-uvodnodstavec"/>
    <w:qFormat/>
    <w:rsid w:val="000476E4"/>
    <w:pPr>
      <w:pBdr>
        <w:bottom w:val="single" w:sz="4" w:space="12" w:color="auto"/>
      </w:pBdr>
      <w:spacing w:before="240" w:after="400" w:line="240" w:lineRule="auto"/>
      <w:jc w:val="center"/>
    </w:pPr>
    <w:rPr>
      <w:rFonts w:ascii="Times New Roman" w:hAnsi="Times New Roman"/>
      <w:sz w:val="24"/>
    </w:rPr>
  </w:style>
  <w:style w:type="paragraph" w:styleId="Normlnweb">
    <w:name w:val="Normal (Web)"/>
    <w:basedOn w:val="Normln"/>
    <w:uiPriority w:val="99"/>
    <w:semiHidden/>
    <w:unhideWhenUsed/>
    <w:rsid w:val="00D76FB3"/>
    <w:pPr>
      <w:spacing w:before="100" w:beforeAutospacing="1" w:after="119" w:line="240" w:lineRule="auto"/>
    </w:pPr>
    <w:rPr>
      <w:rFonts w:ascii="Times New Roman" w:eastAsia="Times New Roman" w:hAnsi="Times New Roman"/>
      <w:sz w:val="24"/>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next w:val="Normln"/>
    <w:qFormat/>
    <w:rsid w:val="005E094C"/>
    <w:pPr>
      <w:spacing w:after="360"/>
      <w:ind w:firstLine="709"/>
      <w:jc w:val="both"/>
    </w:pPr>
    <w:rPr>
      <w:rFonts w:ascii="Times New Roman" w:hAnsi="Times New Roman"/>
      <w:sz w:val="24"/>
    </w:rPr>
  </w:style>
  <w:style w:type="paragraph" w:styleId="slovanseznam2">
    <w:name w:val="List Number 2"/>
    <w:basedOn w:val="Normln"/>
    <w:uiPriority w:val="99"/>
    <w:unhideWhenUsed/>
    <w:rsid w:val="00A46CDA"/>
    <w:pPr>
      <w:numPr>
        <w:numId w:val="2"/>
      </w:numPr>
      <w:contextualSpacing/>
    </w:pPr>
  </w:style>
  <w:style w:type="paragraph" w:styleId="slovanseznam3">
    <w:name w:val="List Number 3"/>
    <w:basedOn w:val="Normln"/>
    <w:uiPriority w:val="99"/>
    <w:unhideWhenUsed/>
    <w:rsid w:val="00A46CDA"/>
    <w:pPr>
      <w:numPr>
        <w:numId w:val="3"/>
      </w:numPr>
      <w:contextualSpacing/>
    </w:pPr>
  </w:style>
  <w:style w:type="paragraph" w:styleId="slovanseznam4">
    <w:name w:val="List Number 4"/>
    <w:basedOn w:val="Normln"/>
    <w:uiPriority w:val="99"/>
    <w:unhideWhenUsed/>
    <w:rsid w:val="00A46CDA"/>
    <w:pPr>
      <w:numPr>
        <w:numId w:val="4"/>
      </w:numPr>
      <w:contextualSpacing/>
    </w:pPr>
  </w:style>
  <w:style w:type="paragraph" w:styleId="slovanseznam5">
    <w:name w:val="List Number 5"/>
    <w:basedOn w:val="Normln"/>
    <w:uiPriority w:val="99"/>
    <w:unhideWhenUsed/>
    <w:rsid w:val="00A46CDA"/>
    <w:pPr>
      <w:numPr>
        <w:numId w:val="5"/>
      </w:numPr>
      <w:contextualSpacing/>
    </w:pPr>
  </w:style>
  <w:style w:type="paragraph" w:styleId="slovanseznam">
    <w:name w:val="List Number"/>
    <w:basedOn w:val="Normln"/>
    <w:uiPriority w:val="99"/>
    <w:unhideWhenUsed/>
    <w:rsid w:val="002B60B3"/>
    <w:pPr>
      <w:numPr>
        <w:numId w:val="1"/>
      </w:numPr>
      <w:spacing w:after="400"/>
      <w:ind w:left="357" w:hanging="357"/>
    </w:pPr>
    <w:rPr>
      <w:rFonts w:ascii="Times New Roman" w:hAnsi="Times New Roman"/>
      <w:sz w:val="24"/>
    </w:rPr>
  </w:style>
  <w:style w:type="paragraph" w:customStyle="1" w:styleId="PS-slovanseznam">
    <w:name w:val="PS-číslovaný seznam"/>
    <w:basedOn w:val="Normln"/>
    <w:link w:val="PS-slovanseznamChar"/>
    <w:qFormat/>
    <w:rsid w:val="005F6CAE"/>
    <w:pPr>
      <w:numPr>
        <w:numId w:val="6"/>
      </w:numPr>
      <w:tabs>
        <w:tab w:val="left" w:pos="0"/>
      </w:tabs>
      <w:spacing w:after="400"/>
      <w:ind w:left="357" w:hanging="357"/>
      <w:jc w:val="both"/>
    </w:pPr>
    <w:rPr>
      <w:rFonts w:ascii="Times New Roman" w:hAnsi="Times New Roman"/>
      <w:sz w:val="24"/>
    </w:rPr>
  </w:style>
  <w:style w:type="character" w:customStyle="1" w:styleId="PS-slovanseznamChar">
    <w:name w:val="PS-číslovaný seznam Char"/>
    <w:link w:val="PS-slovanseznam"/>
    <w:rsid w:val="005F6CAE"/>
    <w:rPr>
      <w:rFonts w:ascii="Times New Roman" w:hAnsi="Times New Roman"/>
      <w:sz w:val="24"/>
      <w:szCs w:val="22"/>
      <w:lang w:eastAsia="en-US"/>
    </w:r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link w:val="proloenChar"/>
    <w:qFormat/>
    <w:rsid w:val="00ED15A8"/>
    <w:pPr>
      <w:tabs>
        <w:tab w:val="center" w:pos="1701"/>
        <w:tab w:val="center" w:pos="4536"/>
        <w:tab w:val="center" w:pos="7371"/>
      </w:tabs>
      <w:spacing w:after="0" w:line="240" w:lineRule="auto"/>
    </w:pPr>
    <w:rPr>
      <w:rFonts w:ascii="Times New Roman" w:hAnsi="Times New Roman"/>
      <w:spacing w:val="60"/>
      <w:sz w:val="24"/>
    </w:rPr>
  </w:style>
  <w:style w:type="character" w:customStyle="1" w:styleId="proloenChar">
    <w:name w:val="proložení Char"/>
    <w:link w:val="proloen"/>
    <w:rsid w:val="00ED15A8"/>
    <w:rPr>
      <w:rFonts w:ascii="Times New Roman" w:hAnsi="Times New Roman"/>
      <w:spacing w:val="60"/>
      <w:sz w:val="24"/>
      <w:szCs w:val="22"/>
      <w:lang w:eastAsia="en-US"/>
    </w:rPr>
  </w:style>
  <w:style w:type="character" w:styleId="Zdraznn">
    <w:name w:val="Emphasis"/>
    <w:uiPriority w:val="20"/>
    <w:qFormat/>
    <w:rsid w:val="00B4108A"/>
    <w:rPr>
      <w:rFonts w:ascii="Times New Roman" w:hAnsi="Times New Roman" w:cs="Times New Roman" w:hint="default"/>
      <w:i/>
      <w:iCs/>
    </w:rPr>
  </w:style>
  <w:style w:type="paragraph" w:customStyle="1" w:styleId="rmeek">
    <w:name w:val="rámeček"/>
    <w:basedOn w:val="Normln"/>
    <w:qFormat/>
    <w:rsid w:val="00B4108A"/>
    <w:pPr>
      <w:pBdr>
        <w:top w:val="single" w:sz="4" w:space="1" w:color="auto"/>
        <w:left w:val="single" w:sz="4" w:space="4" w:color="auto"/>
        <w:bottom w:val="single" w:sz="4" w:space="1" w:color="auto"/>
        <w:right w:val="single" w:sz="4" w:space="4" w:color="auto"/>
      </w:pBdr>
      <w:spacing w:after="0" w:line="240" w:lineRule="auto"/>
      <w:ind w:left="709"/>
      <w:jc w:val="both"/>
    </w:pPr>
    <w:rPr>
      <w:rFonts w:ascii="Times New Roman" w:hAnsi="Times New Roman"/>
      <w:sz w:val="24"/>
    </w:rPr>
  </w:style>
  <w:style w:type="character" w:customStyle="1" w:styleId="rozen">
    <w:name w:val="rozšířené"/>
    <w:uiPriority w:val="1"/>
    <w:qFormat/>
    <w:rsid w:val="00B4108A"/>
    <w:rPr>
      <w:b/>
      <w:bCs w:val="0"/>
      <w:spacing w:val="60"/>
    </w:rPr>
  </w:style>
  <w:style w:type="paragraph" w:styleId="Odstavecseseznamem">
    <w:name w:val="List Paragraph"/>
    <w:basedOn w:val="Normln"/>
    <w:qFormat/>
    <w:rsid w:val="006D769E"/>
    <w:pPr>
      <w:spacing w:line="256" w:lineRule="auto"/>
      <w:ind w:left="720"/>
      <w:contextualSpacing/>
    </w:pPr>
  </w:style>
  <w:style w:type="paragraph" w:styleId="Zhlav">
    <w:name w:val="header"/>
    <w:basedOn w:val="Normln"/>
    <w:link w:val="ZhlavChar"/>
    <w:uiPriority w:val="99"/>
    <w:unhideWhenUsed/>
    <w:rsid w:val="00563B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3B5A"/>
    <w:rPr>
      <w:sz w:val="22"/>
      <w:szCs w:val="22"/>
      <w:lang w:eastAsia="en-US"/>
    </w:rPr>
  </w:style>
  <w:style w:type="paragraph" w:styleId="Zpat">
    <w:name w:val="footer"/>
    <w:basedOn w:val="Normln"/>
    <w:link w:val="ZpatChar"/>
    <w:uiPriority w:val="99"/>
    <w:unhideWhenUsed/>
    <w:rsid w:val="0056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563B5A"/>
    <w:rPr>
      <w:sz w:val="22"/>
      <w:szCs w:val="22"/>
      <w:lang w:eastAsia="en-US"/>
    </w:rPr>
  </w:style>
  <w:style w:type="character" w:customStyle="1" w:styleId="Nadpis1Char">
    <w:name w:val="Nadpis 1 Char"/>
    <w:basedOn w:val="Standardnpsmoodstavce"/>
    <w:link w:val="Nadpis1"/>
    <w:rsid w:val="00CA28ED"/>
    <w:rPr>
      <w:rFonts w:asciiTheme="majorHAnsi" w:eastAsia="Times New Roman" w:hAnsiTheme="majorHAnsi"/>
      <w:b/>
      <w:sz w:val="24"/>
    </w:rPr>
  </w:style>
  <w:style w:type="paragraph" w:styleId="Textpoznpodarou">
    <w:name w:val="footnote text"/>
    <w:basedOn w:val="Normln"/>
    <w:link w:val="TextpoznpodarouChar"/>
    <w:uiPriority w:val="99"/>
    <w:semiHidden/>
    <w:unhideWhenUsed/>
    <w:rsid w:val="00CA28ED"/>
    <w:pPr>
      <w:spacing w:after="0" w:line="240" w:lineRule="auto"/>
    </w:pPr>
    <w:rPr>
      <w:rFonts w:asciiTheme="majorHAnsi" w:eastAsia="Times New Roman" w:hAnsiTheme="majorHAnsi"/>
      <w:sz w:val="20"/>
      <w:szCs w:val="20"/>
      <w:lang w:eastAsia="cs-CZ"/>
    </w:rPr>
  </w:style>
  <w:style w:type="character" w:customStyle="1" w:styleId="TextpoznpodarouChar">
    <w:name w:val="Text pozn. pod čarou Char"/>
    <w:basedOn w:val="Standardnpsmoodstavce"/>
    <w:link w:val="Textpoznpodarou"/>
    <w:uiPriority w:val="99"/>
    <w:semiHidden/>
    <w:rsid w:val="00CA28ED"/>
    <w:rPr>
      <w:rFonts w:asciiTheme="majorHAnsi" w:eastAsia="Times New Roman" w:hAnsiTheme="majorHAnsi"/>
    </w:rPr>
  </w:style>
  <w:style w:type="paragraph" w:customStyle="1" w:styleId="PODNZEVPRCE">
    <w:name w:val="PODNÁZEV PRÁCE"/>
    <w:basedOn w:val="Normln"/>
    <w:qFormat/>
    <w:rsid w:val="00CA28ED"/>
    <w:pPr>
      <w:spacing w:after="0" w:line="240" w:lineRule="auto"/>
    </w:pPr>
    <w:rPr>
      <w:rFonts w:asciiTheme="majorHAnsi" w:hAnsiTheme="majorHAnsi"/>
      <w:color w:val="1F4E79" w:themeColor="accent1" w:themeShade="80"/>
      <w:sz w:val="28"/>
      <w:szCs w:val="28"/>
    </w:rPr>
  </w:style>
  <w:style w:type="paragraph" w:customStyle="1" w:styleId="ZHLAVTITULKY">
    <w:name w:val="ZÁHLAVÍ TITULKY"/>
    <w:basedOn w:val="Normln"/>
    <w:qFormat/>
    <w:rsid w:val="00CA28ED"/>
    <w:pPr>
      <w:spacing w:after="0" w:line="240" w:lineRule="auto"/>
    </w:pPr>
    <w:rPr>
      <w:rFonts w:eastAsia="Times New Roman" w:cs="Arial"/>
      <w:b/>
      <w:color w:val="1F4E79" w:themeColor="accent1" w:themeShade="80"/>
      <w:sz w:val="28"/>
      <w:szCs w:val="28"/>
      <w:lang w:eastAsia="cs-CZ"/>
    </w:rPr>
  </w:style>
  <w:style w:type="paragraph" w:customStyle="1" w:styleId="Poznmkapodarou">
    <w:name w:val="Poznámka pod čarou"/>
    <w:basedOn w:val="Normln"/>
    <w:rsid w:val="00CA28ED"/>
    <w:pPr>
      <w:spacing w:after="0" w:line="240" w:lineRule="auto"/>
    </w:pPr>
    <w:rPr>
      <w:rFonts w:asciiTheme="majorHAnsi" w:eastAsia="Times New Roman" w:hAnsiTheme="majorHAnsi"/>
      <w:sz w:val="24"/>
      <w:szCs w:val="20"/>
      <w:lang w:eastAsia="cs-CZ"/>
    </w:rPr>
  </w:style>
  <w:style w:type="character" w:styleId="Znakapoznpodarou">
    <w:name w:val="footnote reference"/>
    <w:uiPriority w:val="99"/>
    <w:semiHidden/>
    <w:unhideWhenUsed/>
    <w:rsid w:val="00CA28ED"/>
    <w:rPr>
      <w:vertAlign w:val="superscript"/>
    </w:rPr>
  </w:style>
  <w:style w:type="character" w:customStyle="1" w:styleId="Ukotvenpoznmkypodarou">
    <w:name w:val="Ukotvení poznámky pod čarou"/>
    <w:rsid w:val="00CA28ED"/>
    <w:rPr>
      <w:vertAlign w:val="superscript"/>
    </w:rPr>
  </w:style>
  <w:style w:type="character" w:styleId="Siln">
    <w:name w:val="Strong"/>
    <w:basedOn w:val="Standardnpsmoodstavce"/>
    <w:uiPriority w:val="22"/>
    <w:qFormat/>
    <w:rsid w:val="00CA2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8115">
      <w:bodyDiv w:val="1"/>
      <w:marLeft w:val="0"/>
      <w:marRight w:val="0"/>
      <w:marTop w:val="0"/>
      <w:marBottom w:val="0"/>
      <w:divBdr>
        <w:top w:val="none" w:sz="0" w:space="0" w:color="auto"/>
        <w:left w:val="none" w:sz="0" w:space="0" w:color="auto"/>
        <w:bottom w:val="none" w:sz="0" w:space="0" w:color="auto"/>
        <w:right w:val="none" w:sz="0" w:space="0" w:color="auto"/>
      </w:divBdr>
    </w:div>
    <w:div w:id="1010528839">
      <w:bodyDiv w:val="1"/>
      <w:marLeft w:val="0"/>
      <w:marRight w:val="0"/>
      <w:marTop w:val="0"/>
      <w:marBottom w:val="0"/>
      <w:divBdr>
        <w:top w:val="none" w:sz="0" w:space="0" w:color="auto"/>
        <w:left w:val="none" w:sz="0" w:space="0" w:color="auto"/>
        <w:bottom w:val="none" w:sz="0" w:space="0" w:color="auto"/>
        <w:right w:val="none" w:sz="0" w:space="0" w:color="auto"/>
      </w:divBdr>
    </w:div>
    <w:div w:id="1104886758">
      <w:bodyDiv w:val="1"/>
      <w:marLeft w:val="0"/>
      <w:marRight w:val="0"/>
      <w:marTop w:val="0"/>
      <w:marBottom w:val="0"/>
      <w:divBdr>
        <w:top w:val="none" w:sz="0" w:space="0" w:color="auto"/>
        <w:left w:val="none" w:sz="0" w:space="0" w:color="auto"/>
        <w:bottom w:val="none" w:sz="0" w:space="0" w:color="auto"/>
        <w:right w:val="none" w:sz="0" w:space="0" w:color="auto"/>
      </w:divBdr>
    </w:div>
    <w:div w:id="1467434451">
      <w:bodyDiv w:val="1"/>
      <w:marLeft w:val="0"/>
      <w:marRight w:val="0"/>
      <w:marTop w:val="0"/>
      <w:marBottom w:val="0"/>
      <w:divBdr>
        <w:top w:val="none" w:sz="0" w:space="0" w:color="auto"/>
        <w:left w:val="none" w:sz="0" w:space="0" w:color="auto"/>
        <w:bottom w:val="none" w:sz="0" w:space="0" w:color="auto"/>
        <w:right w:val="none" w:sz="0" w:space="0" w:color="auto"/>
      </w:divBdr>
    </w:div>
    <w:div w:id="1506557170">
      <w:bodyDiv w:val="1"/>
      <w:marLeft w:val="0"/>
      <w:marRight w:val="0"/>
      <w:marTop w:val="0"/>
      <w:marBottom w:val="0"/>
      <w:divBdr>
        <w:top w:val="none" w:sz="0" w:space="0" w:color="auto"/>
        <w:left w:val="none" w:sz="0" w:space="0" w:color="auto"/>
        <w:bottom w:val="none" w:sz="0" w:space="0" w:color="auto"/>
        <w:right w:val="none" w:sz="0" w:space="0" w:color="auto"/>
      </w:divBdr>
    </w:div>
    <w:div w:id="1697610279">
      <w:bodyDiv w:val="1"/>
      <w:marLeft w:val="0"/>
      <w:marRight w:val="0"/>
      <w:marTop w:val="0"/>
      <w:marBottom w:val="0"/>
      <w:divBdr>
        <w:top w:val="none" w:sz="0" w:space="0" w:color="auto"/>
        <w:left w:val="none" w:sz="0" w:space="0" w:color="auto"/>
        <w:bottom w:val="none" w:sz="0" w:space="0" w:color="auto"/>
        <w:right w:val="none" w:sz="0" w:space="0" w:color="auto"/>
      </w:divBdr>
    </w:div>
    <w:div w:id="1843397270">
      <w:bodyDiv w:val="1"/>
      <w:marLeft w:val="0"/>
      <w:marRight w:val="0"/>
      <w:marTop w:val="0"/>
      <w:marBottom w:val="0"/>
      <w:divBdr>
        <w:top w:val="none" w:sz="0" w:space="0" w:color="auto"/>
        <w:left w:val="none" w:sz="0" w:space="0" w:color="auto"/>
        <w:bottom w:val="none" w:sz="0" w:space="0" w:color="auto"/>
        <w:right w:val="none" w:sz="0" w:space="0" w:color="auto"/>
      </w:divBdr>
    </w:div>
    <w:div w:id="19773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V&#253;bor\VEZ\SEKRETARIAT\&#353;ablony\usnese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usnesení.dotx</Template>
  <TotalTime>49</TotalTime>
  <Pages>7</Pages>
  <Words>2403</Words>
  <Characters>14181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Koubova Blanka</dc:creator>
  <cp:keywords/>
  <dc:description/>
  <cp:lastModifiedBy>Koubova Blanka</cp:lastModifiedBy>
  <cp:revision>26</cp:revision>
  <dcterms:created xsi:type="dcterms:W3CDTF">2015-09-22T08:40:00Z</dcterms:created>
  <dcterms:modified xsi:type="dcterms:W3CDTF">2018-05-14T12:59:00Z</dcterms:modified>
</cp:coreProperties>
</file>