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22CDFD84-B0A0-4421-B400-8C5383EB2188" style="width:450.75pt;height:365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Il-bidla teknoloġika qed tolqot lil kull parti tas-soċjetà u tal-ekonomija, u qed tittrasforma l-ħajja taċ-ċittadini tal-UE. Anki t-trasport qed isegwi din ix-xejra. It-teknoloġiji ġodda qed ibiddlu l-pajsaġġ tal-mobbiltà mill-qiegħ. F’dan il-kuntest, l-UE u l-industriji tagħha jridu jilqgħu l-isfida biex isiru mexxejja dinjija fl-innovazzjoni, fid-diġitalizzazzjoni u fid-dekarbonizzazzjoni. Għalhekk, il-Kummissjoni adottat strateġija komprensiva biex tiżgura li l-politiki tal-mobbiltà tal-UE jkunu jirriflettu dawn il-prijoritajiet politiċi fil-forma ta’ tliet pakketti tal-mobbiltà msejħin “L-Ewropa Attiva”.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Wara l-Istrateġija għall-Mobbiltà b’Emissjonijiet Baxxi, il-Kummissjoni adottat żewġ pakketti tal-mobbiltà f’Mejju u Novembru 2017. Dawn il-pakketti jistabbilixxu aġenda pożittiva li timplimenta l-istrateġija tal-mobbiltà b’livell baxx ta’ emissjonijiet u li tiżgura tranżizzjoni bla xkiel lejn mobbiltà nadifa, kompetittiva u konnessa għal kulħadd. Il-Parlament Ewropew u l-Kunsill jenħtieġ jiżguraw l-adozzjoni malajr ta’ dawn il-proposti.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l-inizjattiva hi parti mit-Tielet Pakkett ta’ “L-Ewropa Attiva”, li jwettaq l-istrateġija l-ġdida tal-politika industrijali ta’ Settembru 2017, u tfasslet biex jitlesta l-proċess biex l-Ewropa tkun tista’ tgawdi bis-sħiħ il-benefiċċji kollha tal-modernizzazzjoni tal-mobbiltà. Hu essenzjali li s-sistema tal-mobbiltà tal-ġejjieni tkun sikura, nadifa u effiċjenti għaċ-ċittadini kollha tal-UE. L-għan hu li l-mobbiltà Ewropea ssir aktar sikura u aktar aċċessibbli, l-industrija Ewropea ssir aktar kompetittività, l-impjiegi Ewropej jsiru aktar siguri, u biex ikunu aktar nodfa u adattati aħjar għall-isforzi li jiffaċċjaw it-tibdil fil-klima. Dan se jkun jeħtieġ l-impenn sħiħ tal-UE, tal-Istati Membri u tal-partijiet ikkonċernati, b’mod partikolari biex jissaħħu l-investimenti fl-infrastruttura tat-trasport.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Fil-qalba tal-prijoritajiet tal-Kummissjoni hemm l-istimulazzjoni tat-tkabbir ekonomiku u l-ixprunar tal-investiment fl-ekonomija reali. Il-Pjan ta’ Investiment għall-Ewropa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li jsarraf din il-mira ġenerali f’termini operattivi, għandu tliet għanijiet: li jimmobilizza l-finanzjament għall-ekonomija reali, li jagħti viżibbiltà u assistenza teknika lill-proġetti tal-investiment, u li jtejjeb il-qafas regolatorju għall-investiment.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L-investiment fl-infrastruttura tat-trasport jikkontribwixxi ġmielu biex jintlaħqu dawn l-għanijiet. B’mod partikolari, it-tlestija tan-netwerk ewlieni tan-Netwerk Trans-Ewropew tat-Trasport (TEN-T) u tal-kurituri tiegħu mistennija tiġġenera EUR 4 500 biljun addizzjonali jew 1,8 % tal-PDG tal-UE u tammonta għal 13-il miljun sena tal-impjieg sal-2030</w:t>
      </w:r>
      <w:r>
        <w:rPr>
          <w:rStyle w:val="FootnoteReference"/>
          <w:noProof/>
        </w:rPr>
        <w:footnoteReference w:id="2"/>
      </w:r>
      <w:r>
        <w:rPr>
          <w:noProof/>
        </w:rPr>
        <w:t>. Hu stmat li l-investiment meħtieġ biex jitlesta n-netwerk ewlieni tat-TENT-T jammonta għal madwar EUR 500 biljun bejn l-2021 u l-2030, u għal madwar EUR 1 500 biljun li jinkludu l-investiment tan-netwerk komprensiv tat-TEN-T u investiment tat-trasport ieħor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Mill-esperjenza jidher li l-implimentazzjoni tal-proġetti tan-netwerk ewlieni tat-TEN-T hi affettwata minn proċeduri amministrattivi kumplessi u inċertezza regolatorja, li jistgħu jwasslu għal aktar spejjeż u dewmien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Fost ir-rakkomandazzjonijiet li jgħinu fit-tlestija tat-TEN-T, il-Pjan ta’ Azzjoni ta’ Christophersen-Bodewig-Secchi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- </w:t>
      </w:r>
      <w:r>
        <w:rPr>
          <w:i/>
          <w:noProof/>
        </w:rPr>
        <w:t>Making the best use of new financial schemes for European transport infrastructure projects</w:t>
      </w:r>
      <w:r>
        <w:rPr>
          <w:noProof/>
        </w:rPr>
        <w:t xml:space="preserve"> (Nagħmlu l-aħjar użu mill-iskemi finanzjarji ġodda għall-proġetti infrastrutturali tat-trasport fl-Ewropa) (2015) li ġie aġġornat dan l-aħħar, jidentifika s-simplifikazzjoni tal-awtorizzazzjonijiet amministrattivi, ir-regoli dwar l-għoti tal-permessi u proċeduri regolatorji oħrajn. Dan il-Pjan ta’ Azzjoni ġie ppreżentat mill-Koordinaturi Ewropej tat-TEN-T Bodewig u Secchi kif ukoll mill-Eks Viċi President H. Christophersen.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It-tlestija effettiva tat-TEN-T hi essenzjali għall-funzjonament tas-suq uniku, għad-diġitalizzazzjoni tat-trasport u għat-tranżizzjoni lejn mobbiltà b’livell baxx tal-emissjonijiet tal-karbonju</w:t>
      </w:r>
      <w:r>
        <w:rPr>
          <w:rStyle w:val="FootnoteReference"/>
          <w:noProof/>
        </w:rPr>
        <w:footnoteReference w:id="6"/>
      </w:r>
      <w:r>
        <w:rPr>
          <w:noProof/>
        </w:rPr>
        <w:t>. Fil-Komunikazzjonijiet riċenti tagħha, il-Kummissjoni saħqet fuq il-ħtieġa li jiġu mmobilizzati investimenti privati f’setturi kritiċi għall-ġejjieni tal-UE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 fejn għad hemm fallimenti tas-suq</w:t>
      </w:r>
      <w:r>
        <w:rPr>
          <w:rStyle w:val="FootnoteReference"/>
          <w:noProof/>
        </w:rPr>
        <w:footnoteReference w:id="8"/>
      </w:r>
      <w:r>
        <w:rPr>
          <w:noProof/>
        </w:rPr>
        <w:t>. Din tenniet ukoll l-importanza tat-trasport transfruntier u sostenibbli u tal-infrastruttura TEN-T għall-iżvilupp tal-UE lejn ekonomija effiċjenti fir-riżorsi u b’livell baxx ta’ emissjonijiet tal-karbonju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Li noħolqu ambjent regolatorju ta’ sostenn u ndaħħlu proċeduri effiċjenti huma sfida mhux biss fil-livell Ewropew. Il-G7 irrikonoxxa wkoll il-kumplessità tar-regolamentazzjoni li taffettwa l-effiċjenza tal-proċeduri tal-għoti tal-permessi, b’mod speċifiku fid-Dikjarazzjoni tal-Ministri adottata waqt il-Laqgħa tal-Ministri tat-Trasport tal-G7 f’Cagliari f’Ġunju 2017. Id-Dikjarazzjoni enfasizzat l-importanza li tiżdied l-aċċettazzjoni tal-pubbliku għall-proġetti infrastrutturali, li jitħaddmu proċeduri amministrattivi effiċjenti u li jiġi simplifikat l-ambjent regolatorju</w:t>
      </w:r>
      <w:r>
        <w:rPr>
          <w:rStyle w:val="FootnoteReference"/>
          <w:noProof/>
        </w:rPr>
        <w:footnoteReference w:id="10"/>
      </w:r>
      <w:r>
        <w:rPr>
          <w:noProof/>
        </w:rPr>
        <w:t>. L-Istati Membri għamlu wkoll sforzi biex jirrazzjonalizzaw il-proċeduri fil-livell nazzjonali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l-inizjattiva għandha l-għan li tnaqqas id-dewmien li nħoloq fl-implimentazzjoni ta’ proġetti infrastrutturali tat-TEN-T. L-inizjattiva tpoġġi limitu massimu ta’ tliet snin għall-proċess kollu tal-għoti tal-permessi. Għandha l-għan ukoll li tiċċara aktar il-proċessi li l-promoturi tal-proġetti jeħtieġ isegwu, l-aktar fejn jidħlu l-proċeduri tal-għoti tal-permessi, tal-akkwist pubbliku u proċeduri oħra.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l-inizjattiva tħares l-aċċess għall-ġustizzja fejn tidħol l-implimentazzjoni ta’ proġetti infrastrutturali tat-TEN-T. Ma taffettwax il-proċeduri amministrattivi tal-appell u ta’ rimedji ġudizzjarji quddiem qorti jew tribunal. Madankollu, l-Istati Membri jistgħu jistabbilixxu regoli proċedurali speċifiċi, fosthom l-inammissibbiltà ta’ argument ippreżentat b’mod abbużiv jew </w:t>
      </w:r>
      <w:r>
        <w:rPr>
          <w:i/>
          <w:noProof/>
        </w:rPr>
        <w:t>in mala fide</w:t>
      </w:r>
      <w:r>
        <w:rPr>
          <w:noProof/>
        </w:rPr>
        <w:t>, li jkunu jikkostitwixxu mekkaniżmi xierqa li jiżguraw l-effiċjenza tal-proċedimenti ġuridiċi. Il-proġetti transfruntieri qed jiffaċċjaw diffikultajiet waqt it-twettiq tal-akkwist pubbliku, l-aktar minħabba l-ħtieġa li jiġu applikati leġiżlazzjonijiet differenti, kif enfasizzaw il-partijiet ikkonċernati. Dan iżid il-kumplessità tal-proġetti u toħloq l-ispejjeż. Din l-inizjattiva għandha l-għan li tippermetti applikazzjoni sistematika ta’ qafas uniku wieħed fil-każ ta’ proġetti transfruntieri implimentati minn entità konġunta, diment li l-Istati Membri parteċipanti ma jiddeċidux mod ieħor. Dan hu konformi mal-għanijiet stabbiliti fil-Komunikazzjoni riċenti “Insaħħu t-Tkabbir u l-Koeżjoni f’Reġjuni mal-Fruntieri tal-UE”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Minbarra li tiġġenera aktar investiment u jattira l-kapital privat għal infrastruttura ta’ valur miżjud għoli tal-UE, hu mifhum li din l-inizjattiva se tipprovdi aktar ċarezza għaċ-ċittadini u s-soċjetà ċivili għax se ssaħħaħ il-qafas tat-trasparenza biex jinvolvu ruħhom fl-ippjanar ta’ proġetti tat-TEN-T.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noProof/>
        </w:rPr>
      </w:pPr>
      <w:r>
        <w:rPr>
          <w:noProof/>
        </w:rPr>
        <w:t>Hu stmat li l-benefiċċji speċifiċi mistennija jkunu dawn li ġejjin: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 xml:space="preserve">Iffrankar fil-ħin: il-proċeduri tal-għoti tal-permessi huma mistennija jdumu sa massimu ta’ tliet snin u dan hu titjib sinifikanti meta mqabbel mas-sitwazzjoni attwali. </w:t>
      </w:r>
    </w:p>
    <w:p>
      <w:pPr>
        <w:pStyle w:val="Bullet0"/>
        <w:rPr>
          <w:noProof/>
        </w:rPr>
      </w:pPr>
      <w:r>
        <w:rPr>
          <w:noProof/>
        </w:rPr>
        <w:t>Iffrankar fl-ispejjeż tal-utent: aktar minn EUR 5 biljun fi ffrankar tal-ispejjeż tal-utent.</w:t>
      </w:r>
    </w:p>
    <w:p>
      <w:pPr>
        <w:pStyle w:val="Bullet0"/>
        <w:rPr>
          <w:noProof/>
        </w:rPr>
      </w:pPr>
      <w:r>
        <w:rPr>
          <w:noProof/>
        </w:rPr>
        <w:t>Investiment: 84 % tal-investiment totali fin-netwerk ewlieni tat-TEN-T se jitressqu qabel l-2025.</w:t>
      </w:r>
    </w:p>
    <w:p>
      <w:pPr>
        <w:pStyle w:val="Bullet0"/>
        <w:rPr>
          <w:noProof/>
        </w:rPr>
      </w:pPr>
      <w:r>
        <w:rPr>
          <w:noProof/>
        </w:rPr>
        <w:t>Tnaqqis fl-effetti esterni tat-trasport: EUR 700 miljun iffrankati mil-lat ta’ emissjonijiet tas-CO</w:t>
      </w:r>
      <w:r>
        <w:rPr>
          <w:noProof/>
          <w:vertAlign w:val="subscript"/>
        </w:rPr>
        <w:t>2</w:t>
      </w:r>
      <w:r>
        <w:rPr>
          <w:noProof/>
        </w:rPr>
        <w:t>, storbju, tniġġis tal-arja, konġestjoni u inqas inċidenti. It-tnaqqis fl-emissjonijiet tas-CO</w:t>
      </w:r>
      <w:r>
        <w:rPr>
          <w:noProof/>
          <w:vertAlign w:val="subscript"/>
        </w:rPr>
        <w:t>2</w:t>
      </w:r>
      <w:r>
        <w:rPr>
          <w:noProof/>
        </w:rPr>
        <w:t xml:space="preserve"> hu stmat li se jiffranka 2 686 elf tunnellata tul il-perjodu 2018-2030.</w:t>
      </w:r>
    </w:p>
    <w:p>
      <w:pPr>
        <w:pStyle w:val="Bullet0"/>
        <w:rPr>
          <w:noProof/>
        </w:rPr>
      </w:pPr>
      <w:r>
        <w:rPr>
          <w:noProof/>
        </w:rPr>
        <w:t>Spejjeż amministrattivi: tfaddil nett ta’ EUR 150 miljun għall-promoturi tal-proġetti u l-awtoritajiet pubbliċi.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Bħalissa ma teżisti l-ebda dispożizzjoni speċifika relatata mal-proċeduri tal-għoti tal-permessi u mal-proċeduri regolatorji fil-qasam tat-TEN-T. Iżda jeżistu dispożizzjonijiet simili applikabbli fil-qasam tan-Netwerk Trans-Ewropew tal-Enerġija (TEN-E)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L-għanijiet ta’ din l-inizjattiva huma konformi mal-politiki rilevanti tal-Unjoni fil-qasam tat-trasport, tas-suq uniku u oqsma oħra. L-inizjattiva tikkontribwixxi biex jitrawwem l-investiment u jinħolqu l-impjiegi billi tirrazzjonalizza l-investiment fl-ekonomija reali.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It-tlestija tat-TEN-T se twassal biex jinħoloq suq intern aktar profond u ġust, għax it-TEN-T għandu l-għan li jgħaqqad fiżikament lill-Istati Membri u għandu valur miżjud ċar għall-Unjoni għax jiffoka fuq konnessjonijiet transfruntieri.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Il-bażi ġuridika għal din il-proposta hi l-Artikolu 172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L-iżvilupp ikkoordinat tat-TEN-T li jappoġġa l-flussi tat-trasport fis-suq uniku Ewropew u l-koeżjoni ekonomika, soċjali u territorjali fl-Unjoni jeħtieġ li tittieħed azzjoni fil-livell tal-Unjoni. Il-proċeduri tal-għoti tal-permessi huma differenti ferm fost l-Istati Membri fejn jidħlu l-għadd ta’ permessi meħtieġa u d-deċiżjonijiet li jridu jittieħdu; dan jagħmilha diffiċli li wieħed jissinkronizza l-iżvilupp tan-netwerk. Qabel ma jitlestew l-elementi kollha tiegħu, in-netwerk tat-TEN-T la jista’ jiffunzjona sew b’mod ġenerali u lanqas ma jista’ joffri l-benefiċċji tiegħu fil-livell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konformi mal-prinċipju tal-proporzjonalità. Din taqa’ fl-ambitu għal azzjoni fil-qasam tan-netwerk trans-Ewropew tat-trasport, kif definit fl-Artikolu 170 tat-Trattat dwar il-Funzjonament tal-Unjoni Ewropea.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L-azzjoni maħsuba f’din il-proposta hi limitata b’mod speċifiku għad-dimensjoni Ewropea tal-infrastruttura tat-trasport.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Regolament hu strument effettiv għax dan ikun applikabbli direttament fl-ordinament ġuridiku tal-Istati Membri mal-adozzjoni tiegħu u ma jkun jeħtieġ l-ebda perjodu ta’ traspożizzjoni qabel ma jikseb l-effett ġuridiku sħiħ tiegħu. Dan jikkonforma mal-għan li jixxejnu d-diskrepanzi li jirriżultaw mit-traspożizzjoni tad-Direttivi u jsir avvanz fit-tħejjija tal-proġetti u l-proċeduri tal-awtorizzazzjoni.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Il-politika tat-TEN-T ssaħħet ġmielu fl-2013 bl-adozzjoni ta’ Regolament ġdid li jiddefinixxi strateġija ħolistika bbażata fuq l-istabbiliment tan-netwerk ewlieni sal-2030 u n-netwerk komprensiv sal-2050. Iżda l-politika tat-TEN-T ilha teżisti għal 25 sena u waqt it-tħejjija tal-qafas attwali tat-TEN-T, diġà kienet teżisti evidenza dwar l-eżistenza u l-impatti ta’ dewmien fil-proċeduri tal-għoti tal-permessi u proċeduri regolatorji oħra. Il-miżuri tas-simplifikazzjoni ġew previsti inizjalment fil-qafas tat-TEN-T, iżda mbagħad tqiesu prematuri minħabba diversi fatturi. B’mod speċifiku, il-qafas tat-TEN-T imsawwar mill-ġdid kien diġà fih sett ambizzjuż ta’ innovazzjonijiet, l-aktar b’rabta mal-ħolqien ta’ strument ġdid tal-finanzjament, il-Faċilità Nikkollegaw l-Ewropa.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Minħabba f’hekk, ir-Regolament (UE) Nru 1315/2013 attwali ma jipprevedi l-ebda soluzzjoni speċifika fejn jidħlu l-proċeduri tal-għoti tal-permessi, b’differenza mir-Regolament (UE) Nru 347/2013 tal-Parlament Ewropew u tal-Kunsill tas-17 ta’ April 2013 dwar linji gwida għall-infrastruttura tal-enerġija trans-Ewropea</w:t>
      </w:r>
      <w:r>
        <w:rPr>
          <w:rStyle w:val="FootnoteReference"/>
          <w:noProof/>
        </w:rPr>
        <w:footnoteReference w:id="14"/>
      </w:r>
      <w:r>
        <w:rPr>
          <w:noProof/>
        </w:rPr>
        <w:t>. Għaldaqstant din l-inizjattiva ma setgħetx tiġi żviluppata bħala parti mill-programm REFIT; iżda tnebbħet mill-esperjenza tat-TEN-E.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Konsultazzjonijiet, ġbir tad-dejta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L-attivitajiet tal-konsultazzjoni inkludew:</w:t>
      </w:r>
    </w:p>
    <w:p>
      <w:pPr>
        <w:pStyle w:val="Point1number"/>
        <w:numPr>
          <w:ilvl w:val="2"/>
          <w:numId w:val="11"/>
        </w:numPr>
        <w:rPr>
          <w:noProof/>
        </w:rPr>
      </w:pPr>
      <w:r>
        <w:rPr>
          <w:noProof/>
        </w:rPr>
        <w:t>Saret konsultazzjoni pubblika miftuħa fuq l-internet għal 13-il ġimgħa mill-1 ta’ Awwissu 2017 sad-9 ta’ Novembru 2017. B’kollox waslu 99 tweġiba li jirrappreżentaw 23 Stat Membru differenti ekwivalenti għal 94 % tal-kontributi kollha. Il-kategoriji tal-organizzazzjoni bl-akbar rappreżentanza kienu l-awtoritajiet reġjonali, lokali jew muniċipali (20 %), il-promoturi tal-proġetti (19 %) u l-assoċjazzjonijiet industrijali, kummerċjali jew settorjali (20 %), u warajhom kien hemm il-gvernijiet nazzjonali (16 %).</w:t>
      </w:r>
    </w:p>
    <w:p>
      <w:pPr>
        <w:pStyle w:val="Point1number"/>
        <w:rPr>
          <w:noProof/>
        </w:rPr>
      </w:pPr>
      <w:r>
        <w:rPr>
          <w:noProof/>
        </w:rPr>
        <w:t>Is-servizzi tal-Kummissjoni responsabbli għall-oqsma tal-inizjattiva organizzaw sensiela ta’ sessjonijiet ta’ ħidma b’mod konġunt, dwar l-akkwist pubbliku fil-15 ta’ Ġunju 2017, dwar l-għajnuna mill-Istat u l-finanzjament fil-21 ta’ Settembru 2017, u dwar il-valutazzjonijiet ambjentali u l-għoti tal-permessi fis-17 ta’ Ottubru 2017.</w:t>
      </w:r>
    </w:p>
    <w:p>
      <w:pPr>
        <w:pStyle w:val="Point1number"/>
        <w:rPr>
          <w:noProof/>
        </w:rPr>
      </w:pPr>
      <w:r>
        <w:rPr>
          <w:noProof/>
        </w:rPr>
        <w:t>Bejn is-6 ta’ Diċembru 2017 u s-17 ta’ Jannar 2018 saru wkoll intervisti mal-partijiet ikkonċernati fil-kuntest tal-valutazzjoni tal-impatt;</w:t>
      </w:r>
    </w:p>
    <w:p>
      <w:pPr>
        <w:pStyle w:val="Point1number"/>
        <w:rPr>
          <w:noProof/>
        </w:rPr>
      </w:pPr>
      <w:r>
        <w:rPr>
          <w:noProof/>
        </w:rPr>
        <w:t>l-attivitajiet tal-konsultazzjoni saru bħala parti mill-istudju esploratorju preċedenti flimkien ma’ konsultazzjoni pubblika miftuħa li damet għaddejja 12-il ġimgħa kif ukoll sessjonijiet ta’ ħidma apposta;</w:t>
      </w:r>
    </w:p>
    <w:p>
      <w:pPr>
        <w:pStyle w:val="Point1number"/>
        <w:rPr>
          <w:noProof/>
        </w:rPr>
      </w:pPr>
      <w:r>
        <w:rPr>
          <w:noProof/>
        </w:rPr>
        <w:t>mekkaniżmu ta’ rispons ġie inkluż fil-valutazzjoni tal-impatt tal-bidu ppubblikata fuq is-sit web tal-Kummissjoni f’Ġunju 2017.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ġiet diskussa wkoll fil-livell ministerjali f’żewġ okkażjonijiet, flimkien ma’ kwistjonijiet oħra relatati mal-iżvilupp u l-finanzjament tat-TEN-T: waqt il-Konferenza dwar l-Investiment tat-Trasport Reġjonali fit-23 ta’ Marzu 2017 f’Sofija u waqt il-Kunsill Informali tal-Ministri tat-Trasport fil-21 ta’ Settembru 2017 f’Tallinn.</w:t>
      </w:r>
    </w:p>
    <w:p>
      <w:pPr>
        <w:pStyle w:val="ManualHeading2"/>
        <w:rPr>
          <w:noProof/>
        </w:rPr>
      </w:pPr>
      <w:r>
        <w:rPr>
          <w:noProof/>
        </w:rPr>
        <w:t>Sinteżi tal-kontributi li waslu u użu tar-riżultati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Ġew ikkonsultati l-gruppi tal-partijiet ikkonċernati rilevanti kollha li jirrappreżentaw lill-Istati Membri kollha u taw il-fehmiet tagħhom, flimkien ma’ xi informazzjoni kwantitattiva, meta disponibbli, dwar kwistjonijiet eżistenti u l-miżuri ta’ politika li qed jiġu kkunsidrati. Mill-konsultazzjoni ħareġ li l-kwistjonijiet ewlenin identifikati dwar il-proċeduri tal-għoti tal-permessi għall-proġetti tat-TEN-T għandhom x’jaqsmu mal-passi fil-livell strateġiku tat-tħejjija ta’ proġett, fosthom il-kisba tal-permessi tal-ippjanar spazjali, il-permessi tal-ippjanar u l-valutazzjonijiet ambjentali.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L-appoġġ għall-integrazzjoni ta’ proċeduri f’entità nazzjonali waħda, punt uniku ta’ servizz ġie espress b’mod partikolari, minn promoturi tal-proġetti, individwi u gruppi ta’ interess industrijali. Il-gvernijiet nazzjonali u reġjonali esprimew opinjonijiet aktar riżervati, li ġew ikkonfermati wkoll fl-intervisti bilaterali.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Għadd sinifikanti ta’ gvernijiet nazzjonali u reġjonali esprimew xi tħassib dwar il-punt uniku ta’ servizz. Madankollu, l-analiżi kwalitattiva individwali tal-kummenti tagħhom turi li dan in-nuqqas ta’ qbil apparenti joħroġ, xi drabi, mill-fatt li xi pajjiżi diġà għandhom proċeduri integrati f’entità waħda (inkluż proċeduri mgħaġġla). Dawn l-entitajiet nazzjonali uniċi li diġà jeżistu jistgħu jitqiesu bħala eżempju tal-aqwa prattika fejn tidħol l-implimentazzjoni ta’ punt uniku ta’ servizz.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il-promoturi tal-proġetti u l-individwi, kull punt uniku ta’ servizz jenħtieġ ikollu kapaċità estiża tat-teħid tad-deċiżjonijiet li tkun tmexxi l-valutazzjonijiet ambjentali kollha fil-livell tal-proġetti, il-permessi tal-ippjanar spazjali u l-permessi tal-kostruzzjoni. Min-naħa l-oħra, l-opinjonijiet tal-gvernijiet nazzjonali u reġjonali kienu varji fejn tidħol il-firxa tal-integrazzjoni tal-proċeduri u l-livell ta’ awtorità. Għadd sinifikanti ta’ rappreżentanti nazzjonali ddikjaraw li l-punti uniċi ta’ servizz jenħtieġ ikollhom biss setgħat ta’ koordinazzjoni.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Dawk li wieġbu, l-aktar promoturi tal-proġetti, individwi u gruppi ta’ interess industrijali, qablu li jenħtieġ li l-proċess tal-għoti tal-permessi ma jdumux aktar minn sentejn, u li l-istabbiliment ta’ dan il-limitu taż-żmien jista’ jgħin biex jonqos id-dewmien eċċessiv. L-awtoritajiet lokali u reġjonali kif ukoll xi gvernijiet nazzjonali kellhom aktar riżervi dwar din il-kwistjoni.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Sett komuni ta’ regoli fil-livell tal-Unjoni li japplikaw għall-proġetti transfruntieri ġie identifikat bħala l-aktar soluzzjoni effettiva biex jitjiebu l-kwistjonijiet tal-akkwist pubbliku, l-aktar mill-promoturi tal-proġetti u l-gruppi industrijali; l-awtoritajiet nazzjonali ddikjaraw li sett ta’ regoli bħal dan ikun aktar effettiv meta applikat għall-proġetti transfruntieri li jibbenefikaw mill-finanzjament tal-Unjoni.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Minn fost l-istrumenti disponibbli għall-adozzjoni ta’ miżuri li jiffaċilitaw it-tħejjija ta’ proġetti tat-TEN-T u l-għoti tal-permessi, il-konsultazzjoni wriet li dawk li wieġbu kellhom preferenza ġenerali għal Regolament dwar il-proċeduri tal-għoti tal-permessi u elementi oħra tat-tħejjija ta’ proġetti tat-TEN-T, li jkun applikabbli direttament fl-Istati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tad-dejta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ssegwi proċess ta’ riflessjoni fit-tul u twieġeb is-sejħa għal azzjoni politika. Id-definizzjoni tal-problema kienet ibbażata l-aktar fuq l-esperjenza tal-Kummissjoni fil-ġestjoni għat-tlestija tat-TEN-T</w:t>
      </w:r>
      <w:r>
        <w:rPr>
          <w:rStyle w:val="FootnoteReference"/>
          <w:noProof/>
        </w:rPr>
        <w:footnoteReference w:id="15"/>
      </w:r>
      <w:r>
        <w:rPr>
          <w:noProof/>
        </w:rPr>
        <w:t>, l-attivitajiet tal-konsultazzjoni u l-istudji esterni:</w:t>
      </w:r>
    </w:p>
    <w:p>
      <w:pPr>
        <w:pStyle w:val="Tiret1"/>
        <w:numPr>
          <w:ilvl w:val="0"/>
          <w:numId w:val="1"/>
        </w:numPr>
        <w:rPr>
          <w:noProof/>
        </w:rPr>
      </w:pPr>
      <w:r>
        <w:rPr>
          <w:noProof/>
        </w:rPr>
        <w:t>Studju dwar l-għoti tal-permessi u l-iffaċilitar tat-tħejjija ta’ proġetti tan-netwerk ewlieni tat-TEN-T, Milieu et al., Diċembru 2016</w:t>
      </w:r>
      <w:r>
        <w:rPr>
          <w:rStyle w:val="FootnoteReference"/>
          <w:noProof/>
        </w:rPr>
        <w:footnoteReference w:id="16"/>
      </w:r>
      <w:r>
        <w:rPr>
          <w:noProof/>
        </w:rPr>
        <w:t>;</w:t>
      </w:r>
    </w:p>
    <w:p>
      <w:pPr>
        <w:pStyle w:val="Tiret1"/>
        <w:rPr>
          <w:noProof/>
        </w:rPr>
      </w:pPr>
      <w:r>
        <w:rPr>
          <w:noProof/>
        </w:rPr>
        <w:t>Studju ta’ appoġġ għal Valutazzjoni tal-Impatt dwar miżuri li jissimplikaw it-TEN-T, Panteia, PwC, M-FIVE, Frar 2018</w:t>
      </w:r>
      <w:r>
        <w:rPr>
          <w:rStyle w:val="FootnoteReference"/>
          <w:noProof/>
        </w:rPr>
        <w:footnoteReference w:id="17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 appoġġata b’valutazzjoni tal-impatt. Din kisbet opinjoni pożittiva b’xi riżervi mingħand il-Bord tal-Iskrutinju Regolatorju. Il-Bord jirrakkomanda li hemm bżonn isiru xi aġġustamenti u kjarifiki dwar dan li ġej:</w:t>
      </w:r>
    </w:p>
    <w:p>
      <w:pPr>
        <w:pStyle w:val="Tiret1"/>
        <w:rPr>
          <w:noProof/>
        </w:rPr>
      </w:pPr>
      <w:r>
        <w:rPr>
          <w:noProof/>
        </w:rPr>
        <w:t>Tingħata aktar evidenza dwar kif il-proċeduri tal-akkwist pubbliku u tal-għoti tal-permessi jaffettwaw id-dewmien fil-kostruzzjoni. Tingħata aktar informazzjoni dwar is-sitwazzjoni li tvarja bejn is-setturi u l-Istati Membri kif ukoll deskrizzjoni tal-lezzjonijiet meħuda mit-TEN-E, il-Fond Ewropew għall-Investimenti Strateġiċi, u l-azzjoni meħuda fl-Istati Membri biex jirrazzjonalizzaw il-proċessi.</w:t>
      </w:r>
    </w:p>
    <w:p>
      <w:pPr>
        <w:pStyle w:val="Tiret1"/>
        <w:rPr>
          <w:noProof/>
        </w:rPr>
      </w:pPr>
      <w:r>
        <w:rPr>
          <w:noProof/>
        </w:rPr>
        <w:t>Tingħata aktar informazzjoni fuq l-opinjonijiet tal-partijiet ikkonċernati dwar l-alternattivi, speċjalment dawk tal-Istati Membri u taċ-ċittadini.</w:t>
      </w:r>
    </w:p>
    <w:p>
      <w:pPr>
        <w:pStyle w:val="Tiret1"/>
        <w:rPr>
          <w:noProof/>
        </w:rPr>
      </w:pPr>
      <w:r>
        <w:rPr>
          <w:noProof/>
        </w:rPr>
        <w:t>Issir analiżi tas-sensittività flimkien ma’ spjegazzjoni tas-suppożizzjonijiet li saru b’rabta mal-kalkolu tar-riżultati, l-aktar dwar sa liema punt il-miżuri jistgħu jgħinu realistikament biex ikun evitat id-dewmien.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Dawn il-kummenti tqiesu fil-valutazzjoni tal-impatt riveduta, kif indikat fl-Anness I tar-Rapport tal-Valutazzjoni tal-Impatt. Biex jiġu indirizzati l-kwistjonijiet imsemmija hawn fuq, saru dawn l-emendi li ġejjin:</w:t>
      </w:r>
    </w:p>
    <w:p>
      <w:pPr>
        <w:pStyle w:val="Tiret1"/>
        <w:rPr>
          <w:noProof/>
        </w:rPr>
      </w:pPr>
      <w:r>
        <w:rPr>
          <w:noProof/>
        </w:rPr>
        <w:t>Ġew ippreżentati b’mod aktar prominenti xi eżempji li juru l-impatti li d-dewmien fil-proċessi tal-għoti tal-permessi u tal-akkwist iħalli fuq proġetti individwali u kif dan jaffettwa t-tlestija tat-TEN-T, kif ukoll effetti oħra tan-netwerk. Saru aktar referenzi għar-riżultati tat-tlestija tat-TEN-E u t-trattament ta’ prijorità għall-kontroll tal-għajnuna mill-Istat</w:t>
      </w:r>
      <w:r>
        <w:rPr>
          <w:rStyle w:val="FootnoteReference"/>
          <w:noProof/>
        </w:rPr>
        <w:footnoteReference w:id="18"/>
      </w:r>
      <w:r>
        <w:rPr>
          <w:noProof/>
        </w:rPr>
        <w:t>. Żdiedu xi paragrafi speċifiċi li jiddeskrivu l-esperjenza tal-Istati Membri, inkluż azzjonijiet li ħadu biex jirrazzjonalizzaw il-proċessi tagħhom. Dawn l-elementi kollha jsaħħu l-metikolożità tal-analiżi.</w:t>
      </w:r>
    </w:p>
    <w:p>
      <w:pPr>
        <w:pStyle w:val="Tiret1"/>
        <w:rPr>
          <w:noProof/>
        </w:rPr>
      </w:pPr>
      <w:r>
        <w:rPr>
          <w:noProof/>
        </w:rPr>
        <w:t>Ir-riżultati tal-konsultazzjonijiet pubbliċi miftuħa u ma’ partijiet ikkonċernati oħra ġew ippreżentati f’aktar dettall. Fil-Kapitolu 7 żdiedet sezzjoni speċifika dwar it-tqabbil tal-alternattivi ta’ politika.</w:t>
      </w:r>
    </w:p>
    <w:p>
      <w:pPr>
        <w:pStyle w:val="Tiret1"/>
        <w:rPr>
          <w:noProof/>
        </w:rPr>
      </w:pPr>
      <w:r>
        <w:rPr>
          <w:noProof/>
        </w:rPr>
        <w:t>Saret analiżi tas-sensittività u ġiet ippreżentata fit-taqsimiet rilevanti tal-valutazzjoni tal-impatt.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L-alternattivi ta’ politika vvalutati jikkonsistu f’pakketti ta’ miżuri ta’ politika li jindirizzaw l-għanijiet speċifiċi u, b’mod partikolari, il-fatturi ewlenin tal-problema identifikata:</w:t>
      </w:r>
    </w:p>
    <w:p>
      <w:pPr>
        <w:pStyle w:val="Tiret1"/>
        <w:rPr>
          <w:noProof/>
        </w:rPr>
      </w:pPr>
      <w:r>
        <w:rPr>
          <w:noProof/>
        </w:rPr>
        <w:t>stadji differenti u l-awtoritajiet involuti fil-proċeduri tal-għoti tal-permessi;</w:t>
      </w:r>
    </w:p>
    <w:p>
      <w:pPr>
        <w:pStyle w:val="Tiret1"/>
        <w:rPr>
          <w:noProof/>
        </w:rPr>
      </w:pPr>
      <w:r>
        <w:rPr>
          <w:noProof/>
        </w:rPr>
        <w:t>in-nuqqas ta’ limiti taż-żmien jew il-limiti taż-żmien mhux infurzati;</w:t>
      </w:r>
    </w:p>
    <w:p>
      <w:pPr>
        <w:pStyle w:val="Tiret1"/>
        <w:rPr>
          <w:noProof/>
        </w:rPr>
      </w:pPr>
      <w:r>
        <w:rPr>
          <w:noProof/>
        </w:rPr>
        <w:t>il-proċeduri varji tal-akkwist pubbliku għall-proġetti transfruntieri tat-TEN-T;</w:t>
      </w:r>
    </w:p>
    <w:p>
      <w:pPr>
        <w:pStyle w:val="Tiret1"/>
        <w:rPr>
          <w:noProof/>
        </w:rPr>
      </w:pPr>
      <w:r>
        <w:rPr>
          <w:noProof/>
        </w:rPr>
        <w:t>l-isfidi tal-koordinazzjoni għat-twettiq tal-proġetti transfruntieri; kif ukoll</w:t>
      </w:r>
    </w:p>
    <w:p>
      <w:pPr>
        <w:pStyle w:val="Tiret1"/>
        <w:rPr>
          <w:noProof/>
        </w:rPr>
      </w:pPr>
      <w:r>
        <w:rPr>
          <w:noProof/>
        </w:rPr>
        <w:t>inċertezzi perċepiti relatati mal-proċeduri għall-kontroll tal-għajnuna mill-Istat.</w:t>
      </w:r>
    </w:p>
    <w:p>
      <w:pPr>
        <w:rPr>
          <w:noProof/>
        </w:rPr>
      </w:pPr>
      <w:r>
        <w:rPr>
          <w:noProof/>
        </w:rPr>
        <w:t>L-analiżi wasslet għal konklużjoni ċara li m’hemmx bżonn ikun hemm l-istess livell ta’ ambizzjoni f’kull qasam, u li jixraq jitħaddem approċċ gradwali.</w:t>
      </w:r>
    </w:p>
    <w:p>
      <w:pPr>
        <w:rPr>
          <w:noProof/>
        </w:rPr>
      </w:pPr>
      <w:r>
        <w:rPr>
          <w:noProof/>
        </w:rPr>
        <w:t>Għall-proċeduri tal-għoti tal-permessi, is-sitwazzjoni tvarja fost l-Istati Membri, u fil-livell tal-Unjoni ma jitħaddem l-ebda approċċ armonizzat. Hemm bżonn livell ogħla ta’ intervent biex jissinkronizza l-proċeduri bejn il-fruntieri u tkun tista’ ssir implimentazzjoni aktar ikkoordinata, effettiva u effiċjenti tal-proġetti.</w:t>
      </w:r>
    </w:p>
    <w:p>
      <w:pPr>
        <w:rPr>
          <w:noProof/>
        </w:rPr>
      </w:pPr>
      <w:r>
        <w:rPr>
          <w:noProof/>
        </w:rPr>
        <w:t>Għall-akkwist pubbliku, tul l-aħħar ftit snin beda japplika qafas modernizzat</w:t>
      </w:r>
      <w:r>
        <w:rPr>
          <w:rStyle w:val="FootnoteReference"/>
          <w:noProof/>
        </w:rPr>
        <w:footnoteReference w:id="19"/>
      </w:r>
      <w:r>
        <w:rPr>
          <w:noProof/>
        </w:rPr>
        <w:t>. Iżda għadu jeżisti distakk fil-qasam tal-akkwist transfruntier u l-proġetti żviluppati b’mod konġunt minn żewġ Stati Membri jew aktar. F’dan il-qasam, l-intervent jimmira biss dan id-distakk speċifiku.</w:t>
      </w:r>
    </w:p>
    <w:p>
      <w:pPr>
        <w:rPr>
          <w:noProof/>
        </w:rPr>
      </w:pPr>
      <w:r>
        <w:rPr>
          <w:noProof/>
        </w:rPr>
        <w:t>Għall-kontroll tal-għajnuna mill-Istat, il-kjarifiki li għadhom kif ġew adottati, fi kwalunkwe każ diġà neħħew il-biċċa l-kbira tal-inċertezza li allegatament setgħet fixklet l-iżvilupp ta’ proġetti fil-passat. Madankollu jidher li, fil-każ ta’ proġett kumpless bi strutturi finanzjarji sofistikati, hemm bżonn tiżdied il-kwalità tan-notifiki anki permezz ta’ koperazzjoni aħjar bejn is-servizzi tal-Kummissjoni, l-awtoritajiet tal-Istat Membru u l-komunità legali u kummerċjali. B’mod allinjat mal-Kodiċi tal-Aqwa Prattika għat-tmexxija tal-proċeduri għall-kontroll tal-għajnuna mill-Istat, jista’ jingħata trattament ta’ prijorità lil proġetti ta’ interess komuni fin-netwerk ewlieni tat-TEN-T skont skeda maqbula b’mod konġunt bejn l-Istati Membri u l-Kummissjoni, li tistabbilixxi b’mod ċar it-tappi u l-informazzjoni li jridu jwettqu l-Istati Membri. B’hekk, il-proċeduri tal-Kummissjoni se jkunu jistgħu jimxu ħarir ħalli d-deċiżjoni tkun tista’ tiġi adottata malajr.</w:t>
      </w:r>
    </w:p>
    <w:p>
      <w:pPr>
        <w:rPr>
          <w:noProof/>
        </w:rPr>
      </w:pPr>
      <w:r>
        <w:rPr>
          <w:noProof/>
        </w:rPr>
        <w:t xml:space="preserve">L-alternattivi ta’ politika kienu bbażati fuq livelli dejjem akbar ta’ intervent, ambizzjoni u impatt mistenni “kumulattiv”: </w:t>
      </w:r>
    </w:p>
    <w:p>
      <w:pPr>
        <w:pStyle w:val="Tiret1"/>
        <w:rPr>
          <w:noProof/>
        </w:rPr>
      </w:pPr>
      <w:r>
        <w:rPr>
          <w:noProof/>
        </w:rPr>
        <w:t xml:space="preserve">L-alternattiva ta’politika 1 (PO1) tipprevedi bidla minima fl-istrumenti eżistenti u l-iżvilupp ta’ liġi mhux vinkolanti u miżuri ta’ akkumpanjament. </w:t>
      </w:r>
    </w:p>
    <w:p>
      <w:pPr>
        <w:pStyle w:val="Tiret1"/>
        <w:rPr>
          <w:noProof/>
        </w:rPr>
      </w:pPr>
      <w:r>
        <w:rPr>
          <w:noProof/>
        </w:rPr>
        <w:t xml:space="preserve">L-alternattiva ta’politika 2 (PO2) tipprevedi azzjoni vinkolanti limitata li trid tiġi deċentralizzata u implimentata fil-livell nazzjonali. </w:t>
      </w:r>
    </w:p>
    <w:p>
      <w:pPr>
        <w:pStyle w:val="Tiret1"/>
        <w:rPr>
          <w:noProof/>
        </w:rPr>
      </w:pPr>
      <w:r>
        <w:rPr>
          <w:noProof/>
        </w:rPr>
        <w:t xml:space="preserve">L-alternattiva ta’politika 3 (PO3) tipprevedi qafas tal-UE għall-awtorizzazzjoni ta’ proġetti tan-netwerk ewlieni tat-TEN-T li jrid jiġi applikat fil-livell nazzjonali (PO3a) jew fil-livell tal-UE (PO3b). </w:t>
      </w:r>
    </w:p>
    <w:p>
      <w:pPr>
        <w:rPr>
          <w:b/>
          <w:smallCaps/>
          <w:noProof/>
        </w:rPr>
      </w:pPr>
      <w:r>
        <w:rPr>
          <w:noProof/>
        </w:rPr>
        <w:t xml:space="preserve">Il-valutazzjoni tal-impatt tirrakkomanda l-alternattiva ta’ politika 2, u l-inizjattiva ssegwi din ir-rakkomandazzjoni.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 xml:space="preserve">Il-proposta mhu se tinvolvi l-ebda spiża addizzjonali għall-baġit tal-UE.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rPr>
          <w:noProof/>
        </w:rPr>
      </w:pPr>
      <w:r>
        <w:rPr>
          <w:noProof/>
        </w:rPr>
        <w:t>Ir-Rapport tal-Valutazzjoni tal-Impatt jagħti sett ta’ indikaturi li jenħtieġ jintużaw biex jimmonitorjaw l-effikaċja u l-effiċjenza tal-miżuri meħuda biex jintlaħqu l-għanijiet ta’ politika ewlenin:</w:t>
      </w:r>
    </w:p>
    <w:p>
      <w:pPr>
        <w:pStyle w:val="Tiret1"/>
        <w:rPr>
          <w:noProof/>
        </w:rPr>
      </w:pPr>
      <w:r>
        <w:rPr>
          <w:noProof/>
        </w:rPr>
        <w:t>It-tnaqqis kemm jista’ jkun tar-riskju ta’ dewmien li jġarrbu ċerti proġetti individwali tat-TEN-T:</w:t>
      </w:r>
    </w:p>
    <w:p>
      <w:pPr>
        <w:pStyle w:val="Tiret2"/>
        <w:numPr>
          <w:ilvl w:val="0"/>
          <w:numId w:val="13"/>
        </w:numPr>
        <w:rPr>
          <w:noProof/>
        </w:rPr>
      </w:pPr>
      <w:r>
        <w:rPr>
          <w:noProof/>
        </w:rPr>
        <w:t>L-avvanz tal-implimentazzjoni tat-TEN-T mil-lat ta’ konformità mal-istandards u mar-rekwiżiti.</w:t>
      </w:r>
    </w:p>
    <w:p>
      <w:pPr>
        <w:pStyle w:val="Tiret2"/>
        <w:rPr>
          <w:noProof/>
        </w:rPr>
      </w:pPr>
      <w:r>
        <w:rPr>
          <w:noProof/>
        </w:rPr>
        <w:t>Il-progress fl-investimenti appoġġati mill-UE fl-infrastruttura tat-trasport tat-TEN-T imkejjel skont in-numru ta’ proġetti tas-CEF (jew ta’ proġetti appoġġati mis-suċċessur tagħha) li ġew implimentati fil-ħin u/jew li ma ddewmux minħabba kwistjonijiet ta’ għoti tal-permessi jew tal-akkwist.</w:t>
      </w:r>
    </w:p>
    <w:p>
      <w:pPr>
        <w:pStyle w:val="Tiret1"/>
        <w:rPr>
          <w:noProof/>
        </w:rPr>
      </w:pPr>
      <w:r>
        <w:rPr>
          <w:noProof/>
        </w:rPr>
        <w:t>Aktar ċertezza legali lill-promoturi tal-proġetti u b’hekk jiġu attirati aktar investituri privati lejn l-infrastruttura tat-trasport.</w:t>
      </w:r>
    </w:p>
    <w:p>
      <w:pPr>
        <w:pStyle w:val="Tiret2"/>
        <w:rPr>
          <w:noProof/>
        </w:rPr>
      </w:pPr>
      <w:r>
        <w:rPr>
          <w:noProof/>
        </w:rPr>
        <w:t>Aktar proġetti infrastrutturali tat-TEN-T iffinanzjati permezz ta’ strumenti ta’ finanzjament appoġġati mill-UE (eż. l-EFSI u s-suċċessuri tiegħu).</w:t>
      </w:r>
    </w:p>
    <w:p>
      <w:pPr>
        <w:rPr>
          <w:noProof/>
        </w:rPr>
      </w:pPr>
      <w:r>
        <w:rPr>
          <w:noProof/>
        </w:rPr>
        <w:t>Il-monitoraġġ se jibni fuq miżuri eżistenti li jimmonitorjaw l-implimentazzjoni tat-TEN-T innifsu. Għalhekk se juża kemm jista’ jkun il-qafas eżistenti u b’mod sempliċi u trasparenti biex jagħmlu aċċessibbli faċilment għall-partijiet ikkonċernati interessati. Mhemmx il-ħsieb li tinħoloq sistema kumplessa ta’ indikaturi tal-prestazzjoni ġodda.</w:t>
      </w:r>
    </w:p>
    <w:p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It-titolu tar-Regolament jittratta l-kamp ta’ applikazzjoni u l-għanijiet tal-att, li għandu l-għan li jiffaċilita t-tlestija tan-netwerk trans-Ewropew tat-trasport. </w:t>
      </w:r>
    </w:p>
    <w:p>
      <w:pPr>
        <w:rPr>
          <w:noProof/>
        </w:rPr>
      </w:pPr>
      <w:r>
        <w:rPr>
          <w:noProof/>
        </w:rPr>
        <w:t>Artikolu 1 – Suġġett u kamp ta’ applikazzjoni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Dan l-Artikolu jintroduċi s-suġġett u l-għanijiet tar-Regolament, jiġifieri t-tlestija effettiva u fil-ħin tat-TEN-T madwar l-Unjoni billi jitnaqqas ir-riskju ta’ dewmien u jiżdied il-livell ta’ ċertezza għall-investituri u għall-promoturi tal-proġetti fir-rigward tat-tul tal-proċeduri applikabbli. Għan ieħor hu li jiġi ffaċilitat l-involviment tal-investituri privati u tinkiseb aktar ċarezza dwar il-konsultazzjonijiet pubbliċi.</w:t>
      </w:r>
    </w:p>
    <w:p>
      <w:pPr>
        <w:rPr>
          <w:noProof/>
        </w:rPr>
      </w:pPr>
      <w:r>
        <w:rPr>
          <w:noProof/>
        </w:rPr>
        <w:t>Artikolu 3 – “Status prijoritarju” tal-proġetti ta’ interess komuni</w:t>
      </w:r>
    </w:p>
    <w:p>
      <w:pPr>
        <w:rPr>
          <w:noProof/>
          <w:color w:val="000000"/>
        </w:rPr>
      </w:pPr>
      <w:r>
        <w:rPr>
          <w:noProof/>
          <w:color w:val="000000"/>
        </w:rPr>
        <w:t>Ċerti Stati Membri fl-oqfsa legali nazzjonali rispettivi tagħhom jagħtu trattament speċjali ta’ proċeduri mħaffin u ssimplifikati għall-kategoriji ta’ proġetti bbażati fuq l-importanza tagħhom għall-iżvilupp tal-pajjiż jew għal raġunijiet oħra. Biex jintlaħqu l-għanijiet ta’ tlestija tat-TEN-T, li l-Istati Membri impenjaw ruħhom għalihom billi adottaw Regolament fil-Kunsill li jiddefinixxi dan in-netwerk u skadenzi vinkolanti għat-tlestija tiegħu, jenħtieġ li għall-proġetti tal-Unjoni ta’ interess komuni jkun japplika trattament preferenzjali simili.</w:t>
      </w:r>
    </w:p>
    <w:p>
      <w:pPr>
        <w:rPr>
          <w:noProof/>
        </w:rPr>
      </w:pPr>
      <w:r>
        <w:rPr>
          <w:noProof/>
        </w:rPr>
        <w:t>Artikoli 4-6 – Integrazzjoni tal-proċeduri tal-għoti tal-permessi</w:t>
      </w:r>
    </w:p>
    <w:p>
      <w:pPr>
        <w:rPr>
          <w:noProof/>
          <w:color w:val="000000"/>
        </w:rPr>
      </w:pPr>
      <w:r>
        <w:rPr>
          <w:noProof/>
          <w:color w:val="000000"/>
        </w:rPr>
        <w:t xml:space="preserve">Dan l-Artikolu għandu l-għan li jintegra diversi proċessi tal-għoti tal-permessi għall-proġetti tat-TEN-T ta’ interess komuni. L-Artikolu 4 jeżiġi li l-awtorizzazzjoni tal-proġetti tat-TEN-T tieħu ħsiebha awtorità waħda li tmexxi u tieħu s-sjieda tal-proċess ġenerali u taġixxi bħala punt uniku ta’ servizz għall-promoturi u għal investituri oħra. L-Artikolu 5 jistabbilixxi l-ħatra u r-rwol ta’ awtorità bħal din. L-Artikolu 6 jiddefinixxi l-passi proċedurali li jwasslu għal deċiżjoni komprensiva li tawtorizza lill-investitur biex iwettaq il-proġett. </w:t>
      </w:r>
    </w:p>
    <w:p>
      <w:pPr>
        <w:rPr>
          <w:noProof/>
        </w:rPr>
      </w:pPr>
      <w:r>
        <w:rPr>
          <w:noProof/>
        </w:rPr>
        <w:t>Artikolu 7 – Koordinazzjoni tal-proċeduri transfruntieri tal-għoti tal-permessi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Dan l-Artikolu jiddikjara l-importanza li ssir koordinazzjoni tal-proċeduri transfruntieri tal-għoti tal-permessi u jsaħħaħ ir-rwol tal-Koordinaturi Ewropej fil-monitoraġġ tal-proċedura tal-għoti tal-permessi.</w:t>
      </w:r>
    </w:p>
    <w:p>
      <w:pPr>
        <w:rPr>
          <w:noProof/>
        </w:rPr>
      </w:pPr>
      <w:r>
        <w:rPr>
          <w:noProof/>
        </w:rPr>
        <w:t>Artikolu 8 – L-akkwist pubbliku fil-proġetti transfruntieri ta’ interess komuni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Dan l-Artikolu jipprevedi l-applikazzjoni ta’ qafas legali wieħed biss dwar l-akkwist pubbliku għall-proġetti transfruntieri. Sakemm ma jkunx speċifikat mod ieħor fi ftehim intergovernattiv, l-entitajiet konġunti li jiżviluppaw dawn il-proġetti se japplikaw sistema waħda ta’ leġiżlazzjoni nazzjonali biex jakkwistaw ix-xogħlijiet u s-servizzi meta jkunu qed jimplimentaw il-proġett.</w:t>
      </w:r>
    </w:p>
    <w:p>
      <w:pPr>
        <w:rPr>
          <w:noProof/>
        </w:rPr>
      </w:pPr>
      <w:r>
        <w:rPr>
          <w:noProof/>
        </w:rPr>
        <w:t>Artikolu 9 – Assistenza teknika</w:t>
      </w:r>
    </w:p>
    <w:p>
      <w:pPr>
        <w:rPr>
          <w:rFonts w:eastAsia="Arial Unicode MS"/>
          <w:noProof/>
        </w:rPr>
      </w:pPr>
      <w:r>
        <w:rPr>
          <w:noProof/>
          <w:color w:val="000000"/>
        </w:rPr>
        <w:t>L-iskemi eżistenti ta’ assistenza teknika bbażati fuq il-leġiżlazzjoni tal-Unjoni se jkunu miftuħa għall-proġetti ta’ interess komuni kkonċernati minn din l-inizjattiva, soġġetti għad-disponibbiltà ta’ riżorsi mmexxija mis-servizzi rispettivi.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2018/0138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ir-razzjonalizzazzjoni ta’ miżuri li jmexxu ’l quddiem it-twettiq tan-netwerk trans-Ewropew tat-trasport 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172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(UE) Nru 1315/2013 tal-Parlament Ewropew u tal-Kunsill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 jistabbilixxi qafas komuni għall-ħolqien ta’ netwerks interoperabbli mill-aktar avvanzati għall-iżvilupp tas-suq intern. In-netwerks trans-Ewropej tat-trasport (TEN-T) għandhom struttura ta’ żewġ saffi: in-netwerk komprensiv jiżgura l-konnettività tar-reġjuni kollha tal-Unjoni, filwaqt li n-netwerk ewlieni jikkonsisti mill-elementi tan-netwerk li għandhom l-aktar importanza strateġika. Ir-Regolament (UE) Nru 1315/2013 jiddefinixxi miri tat-tlestija vinkolanti għall-implimentazzjoni biex in-netwerk ewlieni jitlesta sal-2030 u n-netwerk komprensiv sal-2050.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Minkejja l-ħtieġa u l-iskadenzi vinkolanti, mill-esperjenza jidher li ħafna investimenti bil-għan li jitlesta t-TEN-T iħabbtu wiċċhom ma’ proċeduri tal-għoti tal-permessi, proċeduri transfruntieri tal-akkwist u proċeduri oħrajn li huma kumplessi. Din is-sitwazzjoni xxekkel l-implimentazzjoni fil-ħin tal-proġetti, u ħafna drabi twassal għal dewmien sinifikanti u aktar spejjeż. Biex jiġu indirizzati dawn il-kwistjonijiet u ssir tlestija sinkronizzata tat-TEN-T, hemm bżonn azzjoni armonizzata fil-livell tal-Unjoni.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Fl-oqfsa legali ta’ ħafna Stati Membri jingħata trattament ta’ prijorità lil ċerti kategoriji ta’ proġetti abbażi tal-importanza strateġika tagħhom għall-ekonomija. It-trattament prijoritarju hu kkaratterizzat minn skadenzi iqsar, proċeduri simultanji jew perjodi taż-żmien limitati għall-appelli filwaqt li jiżgura li jintlaħqu wkoll l-għanijiet ta’ politiki orizzontali oħra. Meta jkun jeżisti qafas bħal dan fi ħdan qafas legali nazzjonali, jenħtieġ li dan ikun japplika awtomatikament għall-proġetti tal-Unjoni rikonoxxuti bħala proġetti ta’ interess komuni skont ir-Regolament (UE) Nru 1315/2013.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Biex titjieb l-effikaċja tal-valutazzjonijiet ambjentali u jiġi razzjonalizzat il-proċess tat-teħid tad-deċiżjonijiet, meta l-obbligu li jitwettqu valutazzjonijiet relatati ma’ kwistjonijiet ambjentali ta’ proġetti tan-netwerk ewlieni jkun joriġina simultanjament mid-Direttiva 2011/92/UE, kif emendata bid-Direttiva 2014/52/UE, u minn leġiżlazzjoni oħra tal-Unjoni, bħalma huma d-Direttiva 92/43/KEE, id-Direttiva 2009/147/KE, id-Direttiva 2000/60/KE, id-Direttiva 2008/98/KE, id-Direttiva 2010/75/UE, id-Direttiva 2012/18/UE u d-Direttiva 2011/42/KE, l-Istati Membri jenħtieġ jiżguraw li tkun prevista proċedura konġunta li tissodisfa r-rekwiżiti ta’ dawn id-Direttivi.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Il-proġetti tan-netwerk ewlieni jenħtieġ ikunu appoġġati minn proċeduri integrati tal-għoti tal-permessi biex issir ġestjoni ċara tal-proċedura ġenerali possibbli u biex jingħata punt uniku ta’ servizz għall-investituri. L-Istati Membri jenħtieġ jaħtru awtorità kompetenti b’konformità mal-oqfsa legali nazzjonali u strutturi amministrattivi tagħhom.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Jenħtieġ li bl-istabbiliment ta’ awtorità kompetenti unika fil-livell nazzjonali li tintegra l-proċeduri kollha tal-għoti tal-permessi (punt uniku ta’ servizz) tonqos il-kumplessità, titjieb l-effiċjenza u tiżdied it-trasparenza tal-proċeduri. Jenħtieġ ukoll li titjieb il-koperazzjoni bejn l-Istati Membri meta xieraq. Il-proċeduri jenħtieġ jippromwovu koperazzjoni reali bejn l-investituri u l-awtorità kompetenti unika, u għalhekk jenħtieġ jippermettu l-ambitu tal-proċedura tal-għoti tal-permessi waqt il-fażi ta’ qabel l-applikazzjoni. Dan l-ambitu jenħtieġ ikun integrat fid-deskrizzjoni dettaljata tal-applikazzjoni u jsegwi l-proċedura stabbilita fl-Artikolu 5(2) tad-Direttiva 2011/92/UE, kif emendata bid-Direttiva 2014/52/UE.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Il-proċedura stabbilita b’dan ir-Regolament jenħtieġ tkun mingħajr preġudizzju għat-twettiq tar-rekwiżiti ddefiniti mil-liġi internazzjonali u tal-Unjoni, inkluż id-dispożizzjonijiet dwar il-protezzjoni tal-ambjent u s-saħħa tal-bniedem.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Minħabba l-urġenza biex jitlesta n-netwerk ewlieni tat-TEN-T, is-simplifikazzjoni tal-proċeduri tal-għoti tal-permessi jenħtieġ tkun akkumpanjata b’limitu taż-żmien li matulu l-awtoritajiet kompetenti responsabbli jenħtieġ jieħdu deċiżjoni komprensiva fir-rigward tal-kostruzzjoni tal-proġett. Dan il-limitu taż-żmien jenħtieġ jistimola trattament aktar effiċjenti tal-proċeduri, u jenħtieġ li fl-ebda ċirkostanza ma jikkomprometti l-istandards għoljin tal-Unjoni għall-protezzjoni tal-ambjent u l-parteċipazzjoni pubblika.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Jenħtieġ li l-Istati Membri jagħmlu ħilithom biex jiżguraw li l-appelli li jikkontestaw il-legalità sostantiva jew proċedurali ta’ deċiżjoni komprensiva jiġu ttrattati bl-iżjed mod effiċjenti possibbli.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Il-proġetti infrastrutturali transfruntieri tat-TEN-T iħabbtu wiċċhom ma’ sfidi partikolari fejn tidħol il-koordinazzjoni tal-proċeduri tal-għoti tal-permessi. Jenħtieġ li l-Koordinaturi Ewropej ikollhom is-setgħa li jimmonitorjaw dawn il-proċeduri u jiffaċilitaw is-sinkronizzazzjoni u t-tlestija tagħhom.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L-akkwist pubbliku fi proġetti transfruntieri ta’ interess komuni jenħtieġ jitmexxa skont it-Trattat u d-Direttivi 2014/25/UE u/jew 2014/24/UE. Biex tkun żgurata t-tlestija tal-proġetti transfruntieri ta’ interess komuni tan-netwerk ewlieni, jenħtieġ li l-akkwist pubbliku mwettaq minn entità konġunta jkun soġġett għal leġiżlazzjoni nazzjonali unika. B’deroga mil-leġiżlazzjoni tal-Unjoni dwar l-akkwist pubbliku, ir-regoli nazzjonali applikabbli jenħtieġ, fil-prinċipju, ikunu dawk tal-Istat Membru fejn l-entità konġunta għandha l-uffiċċju reġistrat tagħha. Jenħtieġ jibqa’ possibbli li l-leġiżlazzjoni applikabbli tiġi ddefinita fi ftehim intergovernattiv.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Il-Kummissjoni mhix involuta sistematikament fl-awtorizzazzjoni ta’ proġetti individwali. Iżda xi drabi, ċerti aspetti tat-tħejjija tal-proġetti jkunu suġġetti għal approvazzjoni fil-livell tal-Unjoni. Meta l-Kummissjoni tkun involuta fil-proċeduri, din se tagħti trattament ta’ prijorità lill-proġetti ta’ interess komuni tal-Unjoni u tiżgura ċertezza lill-promoturi tal-proġetti. F’xi każijiet, jaf ikun hemm bżonn approvazzjoni ta’ għajnuna mill-Istat. Skont il-Kodiċi tal-Aqwa Prattika għat-tmexxija tal-proċeduri għall-kontroll tal-għajnuna mill-Istat, l-Istati Membri jistgħu jitolbu lill-Kummissjoni biex il-proġetti ta’ interess komuni tan-netwerk ewlieni tat-TEN-T li jikkunsidraw bħala prijorità, jittrattawhom bi skedi taż-żmien aktar prevedibbli skont l-approċċ tal-portafoll tal-każ jew l-ippjanar miftiehem b’mod reċiproku.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L-implimentazzjoni ta’ proġetti infrastrutturali tan-netwerk ewlieni tat-TEN-T jenħtieġ jiġu appoġġati wkoll mil-linji gwida tal-Kummissjoni li jġibu aktar ċarezza b’rabta mal-implimentazzjoni ta’ ċerti tipi ta’ proġetti filwaqt li jirrispettaw l-acquis tal-Unjoni. Pereżempju l-Pjan ta’ Azzjoni għan-natura, għaċ-ċittadini u għall-ekonomija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jipprevedi din il-gwida biex jagħti aktar ċarezza ħalli jiġu rispettati d-Direttivi dwar l-Għasafar u dwar il-Ħabitats. Jenħtieġ li l-appoġġ dirett relatat mal-akkwist pubbliku jkun disponibbli għall-proġetti ta’ interess komuni biex ikun żgurat l-aqwa valur għall-flus pubbliċi</w:t>
      </w:r>
      <w:r>
        <w:rPr>
          <w:rStyle w:val="FootnoteReference"/>
          <w:noProof/>
        </w:rPr>
        <w:footnoteReference w:id="24"/>
      </w:r>
      <w:r>
        <w:rPr>
          <w:noProof/>
        </w:rPr>
        <w:t>. Barra minn hekk, jenħtieġ li tkun disponibbli ċerta assistenza teknika xierqa permezz tal-mekkaniżmi żviluppati għall-Qafas Finanzjarju Pluriennali 2021-2027, bil-għan li tingħata għajnuna finanzjarja għall-proġetti ta’ interess komuni tat-TEN-T.</w:t>
      </w:r>
    </w:p>
    <w:p>
      <w:pPr>
        <w:pStyle w:val="ManualConsidrant"/>
        <w:rPr>
          <w:noProof/>
          <w:szCs w:val="24"/>
        </w:rPr>
      </w:pPr>
      <w:r>
        <w:t>(14)</w:t>
      </w:r>
      <w:r>
        <w:tab/>
      </w:r>
      <w:r>
        <w:rPr>
          <w:noProof/>
        </w:rPr>
        <w:t>Peress li l-għanijiet ta’ dan ir-Regolament ma jistgħux jintlaħqu biżżejjed mill-Istati Membri u, minħabba l-ħtieġa ta’ koordinazzjoni ta’ dawk l-għanijiet, jistgħu jintlaħqu aħjar fil-livell tal-Unjoni, l-Unjoni tista’ tadotta miżuri skont il-prinċipju tas-sussidjarjetà kif stabbilit fl-Artikolu 5 tat-Trattat tal-Unjoni Ewropea. B’konformità mal-prinċipju tal-proporzjonalità, kif stabbilit f’dak l-Artikolu, dan ir-Regolament ma jmurx lil hinn minn dak meħtieġ biex jintlaħqu dawk l-għanijiet.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Għal raġunijiet ta’ ċertezza legali, jenħtieġ li l-proċeduri amministrattivi li nbdew qabel id-dħul fis-seħħ ta’ dan ir-Regolament ma jkunux soġġetti għad-dispożizzjonijiet ta’ dan ir-Regolament,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noProof/>
          <w:sz w:val="24"/>
          <w:szCs w:val="24"/>
        </w:rPr>
      </w:pPr>
      <w:r>
        <w:rPr>
          <w:noProof/>
          <w:sz w:val="24"/>
        </w:rPr>
        <w:t>KAPITOLU I – DISPOŻIZZJONIJIET ĠENERALI</w:t>
      </w:r>
    </w:p>
    <w:p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r>
        <w:rPr>
          <w:b/>
          <w:noProof/>
        </w:rPr>
        <w:t>Suġġett u kamp ta’ applikazzjoni</w:t>
      </w:r>
    </w:p>
    <w:p>
      <w:pPr>
        <w:rPr>
          <w:noProof/>
        </w:rPr>
      </w:pPr>
      <w:r>
        <w:rPr>
          <w:noProof/>
        </w:rPr>
        <w:t>Dan ir-Regolament jistabbilixxi r-rekwiżiti applikabbli għall-proċeduri amministrattivi segwiti mill-awtoritajiet kompetenti tal-Istati Membri b’rabta mal-awtorizzazzjoni u l-implimentazzjoni tal-proġetti kollha ta’ interess komuni tan-netwerk ewlieni tan-netwerk trans-Ewropew tat-trasport.</w:t>
      </w:r>
    </w:p>
    <w:p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r>
        <w:rPr>
          <w:b/>
          <w:noProof/>
        </w:rPr>
        <w:t>Definizzjonijiet</w:t>
      </w:r>
    </w:p>
    <w:p>
      <w:pPr>
        <w:rPr>
          <w:noProof/>
        </w:rPr>
      </w:pPr>
      <w:r>
        <w:rPr>
          <w:noProof/>
        </w:rPr>
        <w:t>Għall-finijiet ta’ dan ir-Regolament, għandhom japplikaw id-definizzjonijiet stabbiliti fir-Regolament (UE) Nru 1315/2013. Id-definizzjoni li ġejjin għandhom japplikaw ukoll:</w:t>
      </w:r>
    </w:p>
    <w:p>
      <w:pPr>
        <w:pStyle w:val="Point1letter"/>
        <w:rPr>
          <w:noProof/>
        </w:rPr>
      </w:pPr>
      <w:r>
        <w:rPr>
          <w:noProof/>
        </w:rPr>
        <w:t xml:space="preserve">“deċiżjoni komprensiva” tfisser id-deċiżjoni jew is-sett ta’ deċiżjonijiet meħuda minn awtorità jew awtoritajiet ta’ Stat Membru li ma jinkludux il-qrati jew it-tribunali, li jiddeterminaw jekk promotur ta’ proġett għandux jingħata awtorizzazzjoni għall-kostruzzjoni tal-infrastruttura tat-trasport biex jitlesta proġett mingħajr preġudizzju għal xi deċiżjoni meħuda fil-kuntest ta’ proċedura ta’ appell amministrattiv; </w:t>
      </w:r>
    </w:p>
    <w:p>
      <w:pPr>
        <w:pStyle w:val="Point1letter"/>
        <w:rPr>
          <w:noProof/>
        </w:rPr>
      </w:pPr>
      <w:r>
        <w:rPr>
          <w:noProof/>
        </w:rPr>
        <w:t>“proċeduri tal-għoti tal-permessi” tfisser kull proċedura li għandha tiġi segwita jew kull pass li għandu jittieħed quddiem l-awtoritajiet ta’ Stat Membru, skont il-liġi nazzjonali jew tal-Unjoni, qabel ma l-promotur ta’ proġett ikun jista’ jimplimenta l-proġett;</w:t>
      </w:r>
    </w:p>
    <w:p>
      <w:pPr>
        <w:pStyle w:val="Point1letter"/>
        <w:rPr>
          <w:noProof/>
        </w:rPr>
      </w:pPr>
      <w:r>
        <w:rPr>
          <w:noProof/>
        </w:rPr>
        <w:t>“promotur ta’ proġett” tfisser l-applikant għal awtorizzazzjoni għal proġett privat jew l-awtorità pubblika li tibda proġett;</w:t>
      </w:r>
    </w:p>
    <w:p>
      <w:pPr>
        <w:pStyle w:val="Point1letter"/>
        <w:rPr>
          <w:noProof/>
        </w:rPr>
      </w:pPr>
      <w:r>
        <w:rPr>
          <w:noProof/>
        </w:rPr>
        <w:t>“awtorità kompetenti unika” tfisser l-awtorità li l-Istati Membri jaħtru bħala dik responsabbli biex twettaq id-dmirijiet li joħorġu minn din id-Direttiva;</w:t>
      </w:r>
    </w:p>
    <w:p>
      <w:pPr>
        <w:pStyle w:val="Point1letter"/>
        <w:rPr>
          <w:noProof/>
        </w:rPr>
      </w:pPr>
      <w:r>
        <w:rPr>
          <w:noProof/>
        </w:rPr>
        <w:t>“proġett transfruntier ta’ interess komuni” tfisser proġett ta’ interess komuni skont l-Artikolu 7 tar-Regolament (UE) Nru 1315/2013 li jkopri sezzjoni transfruntiera kif definit fil-punt (m) tal-Artikolu 3 ta’ dak ir-Regolament, li jkun implimentat minn entità konġunta.</w:t>
      </w:r>
    </w:p>
    <w:p>
      <w:pPr>
        <w:pStyle w:val="ChapterTitle"/>
        <w:spacing w:before="720"/>
        <w:rPr>
          <w:noProof/>
          <w:sz w:val="24"/>
        </w:rPr>
      </w:pPr>
      <w:bookmarkStart w:id="1" w:name="_Toc303796391"/>
      <w:r>
        <w:rPr>
          <w:noProof/>
          <w:sz w:val="24"/>
        </w:rPr>
        <w:t xml:space="preserve">KAPITOLU II – </w:t>
      </w:r>
      <w:bookmarkEnd w:id="1"/>
      <w:r>
        <w:rPr>
          <w:noProof/>
          <w:sz w:val="24"/>
        </w:rPr>
        <w:t>L-GĦOTI TAL-PERMESSI</w:t>
      </w:r>
    </w:p>
    <w:p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bookmarkStart w:id="2" w:name="_Toc303796393"/>
      <w:r>
        <w:rPr>
          <w:b/>
          <w:noProof/>
        </w:rPr>
        <w:t>“Status prijoritarju” tal-proġetti ta’ interess komuni</w:t>
      </w:r>
      <w:bookmarkEnd w:id="2"/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Kull proġett ta’ interess komuni tan-netwerk ewlieni tat-TEN-T għandu jkun soġġett għal proċedura integrata tal-għoti tal-permessi mmexxija minn awtorità kompetenti unika maħtura minn kull Stat Membru b’konformità mal-Artikoli 5 u 6.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fil-liġi nazzjonali jkun jeżisti status prijoritarju, il-proġetti ta’ interess komuni għandhom jingħataw l-istatus tal-ogħla sinifikat nazzjonali possibbli u jiġu ttrattati bħala tali fil-proċeduri tal-għoti tal-permessi, meta u bil-mod li dan it-trattament ikun previst fil-leġiżlazzjoni nazzjonali applikabbli għat-tipi korrispondenti ta’ infrastruttura tat-trasport.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Biex ikunu żgurati proċeduri amministrattivi effiċjenti marbuta ma’ proġetti ta’ interess komuni, il-promoturi tal-proġetti u l-awtoritajiet ikkonċernati kollha għandhom jiżguraw li dawn il-proġetti jingħataw l-aktar trattament rapidu li hu legalment possibbli, inkluż fejn jidħlu r-riżorsi allokati.</w:t>
      </w:r>
    </w:p>
    <w:p>
      <w:pPr>
        <w:pStyle w:val="Titrearticle"/>
        <w:rPr>
          <w:noProof/>
        </w:rPr>
      </w:pPr>
      <w:bookmarkStart w:id="3" w:name="_Ref305600691"/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r>
        <w:rPr>
          <w:b/>
          <w:noProof/>
        </w:rPr>
        <w:t>L-integrazzjoni tal-proċeduri tal-għoti tal-permessi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Biex jiġu ssodisfati l-limiti taż-żmien stabbiliti fl-Artikolu 6 u jonqos il-piż amministrattiv relatat mat-tlestija tal-proġetti ta’ interess komuni, il-proċeduri amministrattivi kollha li jirriżultaw mil-liġi applikabbli, kemm nazzjonali kif ukoll tal-Unjoni, għandhom jiġu integrati u jwasslu għal deċiżjoni komprensiva waħda biss.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Fil-każ ta’ proġetti ta’ interess komuni li għalihom l-obbligu li jsiru valutazzjonijiet tal-effetti fuq l-ambjent jirriżulta simultanjament mid-Direttiva 2011/92/UE tal-Parlament Ewropew u tal-Kunsill</w:t>
      </w:r>
      <w:r>
        <w:rPr>
          <w:rStyle w:val="FootnoteReference"/>
          <w:noProof/>
        </w:rPr>
        <w:t xml:space="preserve"> </w:t>
      </w:r>
      <w:r>
        <w:rPr>
          <w:noProof/>
        </w:rPr>
        <w:t xml:space="preserve"> u liġijiet oħra tal-Unjoni, l-Istati Membri għandhom jiżguraw li jkunu previsti proċeduri konġunti skont it-tifsira tal-Artikolu 2(3) tad-Direttiva 2011/92/UE. </w:t>
      </w:r>
    </w:p>
    <w:bookmarkEnd w:id="3"/>
    <w:p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r>
        <w:rPr>
          <w:b/>
          <w:noProof/>
        </w:rPr>
        <w:t>Awtorità kompetenti unika għall-għoti tal-permessi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Sa mhux aktar tard minn [</w:t>
      </w:r>
      <w:r>
        <w:rPr>
          <w:i/>
          <w:noProof/>
        </w:rPr>
        <w:t>OP please insert the date one year of the entry into force of this Regulation</w:t>
      </w:r>
      <w:r>
        <w:rPr>
          <w:noProof/>
        </w:rPr>
        <w:t>], kull Stat Membru għandu jaħtar awtorità kompetenti unika waħda li tkun responsabbli biex tiffaċilita l-proċess tal-għoti tal-permessi</w:t>
      </w:r>
      <w:r>
        <w:rPr>
          <w:i/>
          <w:noProof/>
        </w:rPr>
        <w:t xml:space="preserve"> </w:t>
      </w:r>
      <w:r>
        <w:rPr>
          <w:noProof/>
        </w:rPr>
        <w:t xml:space="preserve">inkluż għat-teħid </w:t>
      </w:r>
      <w:r>
        <w:rPr>
          <w:noProof/>
          <w:color w:val="000000"/>
        </w:rPr>
        <w:t>tad-deċiżjoni komprensiva</w:t>
      </w:r>
      <w:r>
        <w:rPr>
          <w:noProof/>
        </w:rPr>
        <w:t xml:space="preserve">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Ir-responsabbiltà tal-awtorità kompetenti unika msemmija fil-paragrafu 1 u/jew il-kompiti relatati magħha jistgħu jiġu delegati lil awtorità oħra fil-livell amministrattiv xieraq, jew jitwettqu minnha, għal kull proġett ta’ interess komuni jew għal kull kategorija ta’ proġetti ta’ interess komuni, skont dawn il-kundizzjonijiet li ġejjin: </w:t>
      </w:r>
    </w:p>
    <w:p>
      <w:pPr>
        <w:pStyle w:val="ManualNumPar1"/>
        <w:rPr>
          <w:noProof/>
        </w:rPr>
      </w:pPr>
      <w:r>
        <w:rPr>
          <w:noProof/>
        </w:rPr>
        <w:t xml:space="preserve">(a) awtorità waħda biss tkun responsabbli għal kull proġett ta’ interess komuni; </w:t>
      </w:r>
    </w:p>
    <w:p>
      <w:pPr>
        <w:pStyle w:val="ManualNumPar1"/>
        <w:rPr>
          <w:noProof/>
        </w:rPr>
      </w:pPr>
      <w:r>
        <w:rPr>
          <w:noProof/>
        </w:rPr>
        <w:t xml:space="preserve">(b) l-awtorità tkun l-uniku punt ta’ kuntatt għall-promotur tal-proġett fil-proċedura li twassal għad-deċiżjoni komprensiva għal proġett speċifiku ta’ interess komuni, u </w:t>
      </w:r>
    </w:p>
    <w:p>
      <w:pPr>
        <w:pStyle w:val="ManualNumPar1"/>
        <w:rPr>
          <w:noProof/>
        </w:rPr>
      </w:pPr>
      <w:r>
        <w:rPr>
          <w:noProof/>
        </w:rPr>
        <w:t>(c) l-awtorità tikkoordina t-tressiq tad-dokumenti u l-informazzjoni rilevanti kollha.</w:t>
      </w:r>
    </w:p>
    <w:p>
      <w:pPr>
        <w:pStyle w:val="Text1"/>
        <w:rPr>
          <w:noProof/>
        </w:rPr>
      </w:pPr>
      <w:r>
        <w:rPr>
          <w:noProof/>
        </w:rPr>
        <w:t>L-awtorità kompetenti unika tista’ tibqa’ responsabbli biex tistabbilixxi limiti taż-żmien, mingħajr preġudizzju għal-limiti taż-żmien stabbiliti skont l-Artikolu 6.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L-awtorità kompetenti unika għandha tieħu deċiżjoni komprensiva fil-limiti taż-żmien speċifikati fl-Artikolu 6. Din għandha tagħmel dan wara proċeduri konġunti. </w:t>
      </w:r>
    </w:p>
    <w:p>
      <w:pPr>
        <w:pStyle w:val="ManualNumPar1"/>
        <w:rPr>
          <w:noProof/>
        </w:rPr>
      </w:pPr>
      <w:r>
        <w:rPr>
          <w:noProof/>
        </w:rPr>
        <w:t xml:space="preserve">Id-deċiżjoni komprensiva maħruġa mill-awtorità kompetenti unika għandha tkun l-unika deċiżjoni legalment vinkolanti li tirriżulta mill-proċedura statutorja tal-għoti tal-permessi. Meta jkun hemm awtoritajiet oħrajn ikkonċernati mill-proġett, dawn jistgħu jagħtu l-opinjoni tagħhom bħala kontribut għall-proċedura, skont il-leġiżlazzjoni nazzjonali. Din l-opinjoni għandha titqies mill-awtorità kompetenti unika.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Meta tieħu d-deċiżjoni komprensiva, l-awtorità kompetenti unika għandha tiżgura li jiġu rrispettati r-rekwiżiti rilevanti skont il-liġi internazzjonali u tal-Unjoni u għandha tiġġustifika d-deċiżjoni tagħha kif xieraq.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Jekk proġett ta’ interess komuni jkun jeħtieġ li jittieħdu deċiżjonijiet f’żewġ Stati Membri jew aktar, l-awtoritajiet kompetenti rispettivi għandhom jieħdu kull pass meħtieġ għal koperazzjoni u koordinazzjoni effiċjenti u effettivi bejniethom. Mingħajr preġudizzju għall-obbligi li jirriżultaw mil-liġijiet tal-Unjoni u internazzjonali applikabbli, l-Istati Membri għandhom jagħmlu ħilithom biex jipprovdu proċeduri konġunti, b’mod partikolari fir-rigward tal-valutazzjoni tal-impatti ambjentali.</w:t>
      </w:r>
      <w:r>
        <w:rPr>
          <w:noProof/>
        </w:rPr>
        <w:tab/>
      </w:r>
    </w:p>
    <w:p>
      <w:pPr>
        <w:pStyle w:val="Titrearticle"/>
        <w:rPr>
          <w:noProof/>
        </w:rPr>
      </w:pPr>
      <w:bookmarkStart w:id="4" w:name="_Ref305600308"/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bookmarkEnd w:id="4"/>
    <w:p>
      <w:pPr>
        <w:pStyle w:val="Titrearticle"/>
        <w:rPr>
          <w:b/>
          <w:noProof/>
        </w:rPr>
      </w:pPr>
      <w:r>
        <w:rPr>
          <w:b/>
          <w:noProof/>
        </w:rPr>
        <w:t>It-tul taż-żmien u l-implimentazzjoni tal-proċedura tal-għoti tal-permessi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Il-proċedura tal-għoti tal-permessi għandha tkun tikkonsisti fil-fażi ta’ qabel l-applikazzjoni u fil-fażi tal-valutazzjoni tal-applikazzjoni u t-teħid tad-deċiżjoni mill-awtorità kompetenti unika.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Il-fażi ta’ qabel l-applikazzjoni, li tkopri l-perjodu mill-bidu tal-proċedura tal-għoti tal-permessi sat-tressiq tal-fajl sħiħ tal-applikazzjoni lill-awtorità kompetenti unika, fil-prinċipju ma għandhiex taqbeż is-sentejn.</w:t>
      </w:r>
    </w:p>
    <w:p>
      <w:pPr>
        <w:pStyle w:val="Text2"/>
        <w:rPr>
          <w:noProof/>
        </w:rPr>
      </w:pPr>
      <w:r>
        <w:rPr>
          <w:noProof/>
        </w:rPr>
        <w:t>3.</w:t>
      </w:r>
      <w:r>
        <w:rPr>
          <w:noProof/>
        </w:rPr>
        <w:tab/>
        <w:t>Biex titnieda proċedura tal-għoti tal-permessi, il-promotur ta’ proġett għandu jinnotifika bil-miktub lill-awtorità kompetenti unika tal-Istati Membri kkonċernati dwar il-proġett u għandu jinkludi deskrizzjoni dettaljata tal-proġett. Sa mhux aktar tard minn xahrejn wara li tirċievi n-notifika msemmija hawn fuq, l-awtorità kompetenti unika għandha tikkonferma dan, jew jekk tqis li l-proġett mhuwiex matur biżżejjed biex jidħol fil-proċedura tal-għoti tal-permessi, din għandha tirrifjuta n-notifika bil-miktub. Jekk l-awtorità kompetenti unika tiddeċiedi li tirrifjuta n-notifika, għandha tiġġustifika d-deċiżjoni tagħha. Id-data tal-firma tar-rikonoxximent tan-notifika mill-awtorità kompetenti għandha sservi bħala l-bidu tal-proċedura tal-għoti tal-permessi. Meta jkun hemm żewġ Stati Membri jew aktar ikkonċernati, id-data tal-aċċettazzjoni tal-aħħar notifika mill-awtorità kompetenti kkonċernata għandha sservi bħala d-data tal-bidu tal-proċedura tal-għoti tal-permessi.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Fi żmien tliet xhur mill-bidu tal-proċedura tal-għoti tal-permessi, l-awtorità kompetenti unika, b’koperazzjoni mill-qrib mal-promotur tal-proġett u mal-awtoritajiet l-oħra kkonċernati, u filwaqt li tqis l-informazzjoni mressqa mill-promotur tal-proġett abbażi tan-notifika msemmija fil-paragrafu 3, għandha tistabbilixxi u tikkomunika deskrizzjoni dettaljata tal-applikazzjoni lill-promotur tal-proġett, li tkun tinkludi:</w:t>
      </w:r>
    </w:p>
    <w:p>
      <w:pPr>
        <w:pStyle w:val="Point0letter"/>
        <w:numPr>
          <w:ilvl w:val="1"/>
          <w:numId w:val="14"/>
        </w:numPr>
        <w:rPr>
          <w:noProof/>
        </w:rPr>
      </w:pPr>
      <w:r>
        <w:rPr>
          <w:noProof/>
        </w:rPr>
        <w:t xml:space="preserve">l-ambitu materjali u l-livell ta’ dettall tal-informazzjoni li jrid iressaq il-promotur tal-proġett, bħala parti mill-fajl tal-applikazzjoni għad-deċiżjoni komprensiva; </w:t>
      </w:r>
    </w:p>
    <w:p>
      <w:pPr>
        <w:pStyle w:val="Point0letter"/>
        <w:rPr>
          <w:noProof/>
        </w:rPr>
      </w:pPr>
      <w:r>
        <w:rPr>
          <w:noProof/>
        </w:rPr>
        <w:t>skeda tal-proċess tal-għoti tal-permessi li mill-inqas tkun tidentifika dan li ġej: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id-deċiżjonijiet u l-opinjonijiet li jridu jinkisbu;</w:t>
      </w:r>
    </w:p>
    <w:p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l-awtoritajiet, il-partijiet ikkonċernati u l-pubbliku li aktarx ikunu kkonċernati;</w:t>
      </w:r>
    </w:p>
    <w:p>
      <w:pPr>
        <w:pStyle w:val="Point2"/>
        <w:rPr>
          <w:noProof/>
        </w:rPr>
      </w:pPr>
      <w:r>
        <w:rPr>
          <w:noProof/>
        </w:rPr>
        <w:t>(iii)</w:t>
      </w:r>
      <w:r>
        <w:rPr>
          <w:noProof/>
        </w:rPr>
        <w:tab/>
        <w:t>l-istadji individwali tal-proċedura u t-tul tagħhom;</w:t>
      </w:r>
    </w:p>
    <w:p>
      <w:pPr>
        <w:pStyle w:val="Point2"/>
        <w:rPr>
          <w:noProof/>
        </w:rPr>
      </w:pPr>
      <w:r>
        <w:rPr>
          <w:noProof/>
        </w:rPr>
        <w:t>(iv)</w:t>
      </w:r>
      <w:r>
        <w:rPr>
          <w:noProof/>
        </w:rPr>
        <w:tab/>
        <w:t>it-tappi ewlenin li jridu jintlaħqu u l-iskadenzi tagħhom fid-dawl tad-deċiżjoni komprensiva li trid tittieħed;</w:t>
      </w:r>
    </w:p>
    <w:p>
      <w:pPr>
        <w:pStyle w:val="Point2"/>
        <w:rPr>
          <w:noProof/>
        </w:rPr>
      </w:pPr>
      <w:r>
        <w:rPr>
          <w:noProof/>
        </w:rPr>
        <w:t>(v)</w:t>
      </w:r>
      <w:r>
        <w:rPr>
          <w:noProof/>
        </w:rPr>
        <w:tab/>
        <w:t>ir-riżorsi ppjanati mill-awtoritajiet u l-ħtiġijiet possibbli ta’ riżorsi addizzjonali.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Biex tiżgura li l-fajl tal-applikazzjoni jkun sħiħ u jkollu kwalità xierqa, il-promotur tal-proġett għandu jitlob l-opinjoni tal-awtorità kompetenti unika fuq l-applikazzjoni tiegħu mill-aktar fis possibbli tul il-proċedura ta’ qabel l-applikazzjoni. Il-promotur tal-proġett għandu jikkopera għalkollox mal-awtorità kompetenti unika biex jiġu rispettati l-iskadenzi u d-deskrizzjoni dettaljata tal-applikazzjoni kif definit fil-paragrafu 4.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Il-promotur tal-proġett għandu jressaq fajl tal-applikazzjoni abbażi tad-deskrizzjoni dettaljata tal-applikazzjoni fi żmien 21 xahar minn meta tasal id-deskrizzjoni dettaljata tal-applikazzjoni. Wara l-iskadenza ta’ dak il-perjodu, id-deskrizzjoni dettaljata tal-applikazzjoni ma għadhiex meqjusa applikabbli, sakemm l-awtorità kompetenti unika ma tiddeċidix li dak il-perjodu jiġi estiż, skont talba ġustifikata mill-promotur tal-proġett.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Sa mhux aktar tard xahrejn mid-data tas-sottomissjoni tal-fajl sħiħ tal-applikazzjoni, l-awtorità kompetenti għandha tgħarraf bil-miktub dwar il-kompletezza tal-fajl tal-applikazzjoni u tikkomunikaha lill-promotur tal-proġett. Il-fajl tal-applikazzjoni mressaq mill-promotur tal-proġett għandu jitqies sħiħ, sakemm, fi żmien xahrejn mid-data tas-sottomissjoni, l-awtorità kompetenti ma tagħmilx talba dwar l-informazzjoni nieqsa li jrid iressaq il-promotur tal-proġett. Fejn jidħol l-ambitu materjali u l-livell ta’ dettall, dik it-talba għandha tkun limitata għall-elementi identifikati fid-deskrizzjoni dettaljata tal-applikazzjoni. Kull talba addizzjonali għall-informazzjoni għandha toħroġ biss minn ċirkostanzi ġodda eċċezzjonali u mhux previsti u għandha tiġi ġustifikata kif xieraq mill-awtorità kompetenti unika.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L-awtorità kompetenti unika għandha tivvaluta l-applikazzjoni u tadotta deċiżjoni komprensiva fi żmien sena mid-data tas-sottomissjoni tal-fajl sħiħ tal-applikazzjoni skont il-paragrafu 7. L-Istati Membri jistgħu jistabbilixxu skadenza aktar bikrija, meta xieraq.</w:t>
      </w:r>
    </w:p>
    <w:p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Il-limiti taż-żmien fid-dispożizzjonijiet ta’ hawn fuq għandhom ikunu mingħajr preġudizzju għall-obbligi li joħorġu mill-atti legali internazzjonali u tal-Unjoni, kif ukoll għall-proċeduri amministrattivi ta’ appell u rimedji ġudizzjarji quddiem qorti jew tribunal. </w:t>
      </w:r>
    </w:p>
    <w:p>
      <w:pPr>
        <w:pStyle w:val="Titrearticle"/>
        <w:rPr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itrearticle"/>
        <w:rPr>
          <w:b/>
          <w:noProof/>
        </w:rPr>
      </w:pPr>
      <w:r>
        <w:rPr>
          <w:b/>
          <w:noProof/>
        </w:rPr>
        <w:t>Koordinazzjoni tal-proċeduri transfruntieri tal-għoti tal-permessi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Għall-proġetti li jinvolvu żewġ Stati Membri jew aktar, l-awtoritajiet kompetenti tal-Istati Membri kkonċernati għandhom jallinjaw l-iskedi tagħhom u jaqblu fuq skeda konġunta.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Il-Koordinatur Ewropew imsemmi fl-Artikolu 45 tar-Regolament (UE)² Nru 1315/2013 għandu jingħata s-setgħa li jsegwi mill-qrib il-proċedura tal-għoti tal-permessi għall-proġetti transfruntieri ta’ interess komuni, kif ukoll li jiffaċilita l-kuntatti bejn l-awtoritajiet kompetenti involuti. 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Mingħajr preġudizzju għall-obbligu li jiġu rrispettati l-limiti taż-żmien skont dan ir-Regolament, jekk il-limitu taż-żmien għad-deċiżjoni komprensiva ma jiġix osservat, l-awtorità kompetenti għandha tinforma minnufih lill-Koordinatur Ewropew ikkonċernat dwar il-miżuri meħuda jew li jridu jittieħdu biex tiġi konkluża l-proċedura tal-għoti tal-permessi bl-inqas dewmien possibbli. Il-Koordinatur Ewropew jista’ jitlob lill-awtorità kompetenti biex tirrapporta regolarment dwar il-progress miksub.</w:t>
      </w:r>
    </w:p>
    <w:p>
      <w:pPr>
        <w:pStyle w:val="ChapterTitle"/>
        <w:spacing w:before="720"/>
        <w:rPr>
          <w:noProof/>
          <w:sz w:val="24"/>
        </w:rPr>
      </w:pPr>
      <w:r>
        <w:rPr>
          <w:noProof/>
          <w:sz w:val="24"/>
        </w:rPr>
        <w:t>KAPITOLU III – L-AKKWIST PUBBLIKU</w:t>
      </w:r>
    </w:p>
    <w:p>
      <w:pPr>
        <w:pStyle w:val="Titrearticle"/>
        <w:rPr>
          <w:b/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rPr>
          <w:noProof/>
        </w:rPr>
        <w:br/>
      </w:r>
      <w:r>
        <w:rPr>
          <w:b/>
          <w:noProof/>
        </w:rPr>
        <w:t>L-akkwist pubbliku fil-proġetti transfruntieri ta’ interess komuni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L-akkwist pubbliku fi proġetti transfruntieri ta’ interess komuni għandu jitmexxa skont it-Trattat u d-Direttivi 2014/25/UE u/jew 2014/24/UE.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Jekk il-proċeduri tal-akkwist jitwettqu minn entità konġunta mwaqqfa mill-Istati Membri parteċipanti, dik l-entità għandha tapplika d-dispożizzjonijiet nazzjonali ta’ wieħed minn dawk l-Istati Membri u, b’deroga minn dawn id-Direttivi, dawk id-dispożizzjonijiet għandhom ikunu d-dispożizzjonijiet stabbiliti skont il-punt (a) tal-Artikolu 57(5) tad-Direttiva 2014/25/UE tal-Parlament Ewropew u tal-Kunsill jew il-punt (a) tal-Artikolu 39(5) tad-Direttiva 2014/24/UE tal-Parlament Ewropew u tal-Kunsill, kif applikabbli, sakemm ma jkunx hemm ftehim bejn l-Istati Membri parteċipanti li jipprovdi mod ieħor. F’kull każ, dan il-ftehim għandu jipprevedi l-applikazzjoni ta’ leġiżlazzjoni nazzjonali unika fil-każ tal-proċeduri tal-akkwist imwettqa minn entità konġunta.</w:t>
      </w:r>
    </w:p>
    <w:p>
      <w:pPr>
        <w:pStyle w:val="ChapterTitle"/>
        <w:spacing w:before="720"/>
        <w:rPr>
          <w:noProof/>
          <w:sz w:val="24"/>
        </w:rPr>
      </w:pPr>
      <w:r>
        <w:rPr>
          <w:noProof/>
          <w:sz w:val="24"/>
        </w:rPr>
        <w:t>KAPITOLU IV – L-ASSISTENZA TEKNIKA</w:t>
      </w:r>
    </w:p>
    <w:p>
      <w:pPr>
        <w:pStyle w:val="Titrearticle"/>
        <w:rPr>
          <w:b/>
          <w:noProof/>
        </w:rPr>
      </w:pPr>
      <w:r>
        <w:rPr>
          <w:noProof/>
        </w:rPr>
        <w:t xml:space="preserve">Artikolu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rPr>
          <w:noProof/>
        </w:rPr>
        <w:br/>
      </w:r>
      <w:r>
        <w:rPr>
          <w:b/>
          <w:noProof/>
        </w:rPr>
        <w:t>Assistenza teknika</w:t>
      </w:r>
    </w:p>
    <w:p>
      <w:pPr>
        <w:pStyle w:val="ManualNumPar1"/>
        <w:rPr>
          <w:noProof/>
        </w:rPr>
      </w:pPr>
      <w:r>
        <w:rPr>
          <w:noProof/>
        </w:rPr>
        <w:t>B’talba mill-promotur tal-proġett jew minn Stat Membru, skont il-programmi rilevanti ta’ finanzjament tal-Unjoni u mingħajr preġudizzju għall-Qafas Finanzjarju Pluriennali, l-Unjoni għandha tagħmel disponibbli assistenza teknika biex jiġi implimentat dan ir-Regolament u tiġi ffaċilitata l-implimentazzjoni tal-proġetti ta’ interess komuni.</w:t>
      </w:r>
    </w:p>
    <w:p>
      <w:pPr>
        <w:pStyle w:val="ChapterTitle"/>
        <w:rPr>
          <w:noProof/>
          <w:szCs w:val="24"/>
        </w:rPr>
      </w:pPr>
      <w:r>
        <w:rPr>
          <w:noProof/>
          <w:sz w:val="24"/>
        </w:rPr>
        <w:t>KAPITOLU V – DISPOŻIZZJONIJIET FINALI</w:t>
      </w:r>
    </w:p>
    <w:p>
      <w:pPr>
        <w:pStyle w:val="Titrearticle"/>
        <w:rPr>
          <w:rFonts w:eastAsia="Times New Roman"/>
          <w:b/>
          <w:noProof/>
          <w:szCs w:val="24"/>
        </w:rPr>
      </w:pPr>
      <w:r>
        <w:rPr>
          <w:noProof/>
        </w:rPr>
        <w:t xml:space="preserve">Artikolu </w:t>
      </w:r>
      <w:r>
        <w:rPr>
          <w:rFonts w:eastAsia="Times New Roman"/>
          <w:noProof/>
          <w:szCs w:val="24"/>
        </w:rPr>
        <w:fldChar w:fldCharType="begin"/>
      </w:r>
      <w:r>
        <w:rPr>
          <w:rFonts w:eastAsia="Times New Roman"/>
          <w:noProof/>
          <w:szCs w:val="24"/>
        </w:rPr>
        <w:instrText xml:space="preserve"> SEQ Figure \* ARABIC </w:instrText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t>10</w:t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br/>
      </w:r>
      <w:r>
        <w:rPr>
          <w:b/>
          <w:noProof/>
        </w:rPr>
        <w:t>Dispożizzjonijiet transizzjonali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Dan ir-Regolament ma għandux japplika għall-proċeduri amministrattivi li nbdew qabel id-data tad-dħul fis-seħħ tiegħu.</w:t>
      </w:r>
    </w:p>
    <w:p>
      <w:pPr>
        <w:keepNext/>
        <w:spacing w:before="360"/>
        <w:jc w:val="center"/>
        <w:rPr>
          <w:rFonts w:eastAsia="Times New Roman"/>
          <w:b/>
          <w:i/>
          <w:noProof/>
          <w:szCs w:val="24"/>
        </w:rPr>
      </w:pPr>
      <w:r>
        <w:rPr>
          <w:i/>
          <w:noProof/>
        </w:rPr>
        <w:t xml:space="preserve">Artikolu </w:t>
      </w:r>
      <w:r>
        <w:rPr>
          <w:rFonts w:eastAsia="Times New Roman"/>
          <w:i/>
          <w:noProof/>
          <w:szCs w:val="24"/>
        </w:rPr>
        <w:fldChar w:fldCharType="begin"/>
      </w:r>
      <w:r>
        <w:rPr>
          <w:rFonts w:eastAsia="Times New Roman"/>
          <w:i/>
          <w:noProof/>
          <w:szCs w:val="24"/>
        </w:rPr>
        <w:instrText xml:space="preserve"> SEQ Figure \* ARABIC </w:instrText>
      </w:r>
      <w:r>
        <w:rPr>
          <w:rFonts w:eastAsia="Times New Roman"/>
          <w:i/>
          <w:noProof/>
          <w:szCs w:val="24"/>
        </w:rPr>
        <w:fldChar w:fldCharType="separate"/>
      </w:r>
      <w:r>
        <w:rPr>
          <w:rFonts w:eastAsia="Times New Roman"/>
          <w:i/>
          <w:noProof/>
          <w:szCs w:val="24"/>
        </w:rPr>
        <w:t>11</w:t>
      </w:r>
      <w:r>
        <w:rPr>
          <w:rFonts w:eastAsia="Times New Roman"/>
          <w:i/>
          <w:noProof/>
          <w:szCs w:val="24"/>
        </w:rPr>
        <w:fldChar w:fldCharType="end"/>
      </w:r>
      <w:r>
        <w:rPr>
          <w:rFonts w:eastAsia="Times New Roman"/>
          <w:i/>
          <w:noProof/>
          <w:szCs w:val="24"/>
        </w:rPr>
        <w:br/>
      </w:r>
      <w:r>
        <w:rPr>
          <w:b/>
          <w:i/>
          <w:noProof/>
        </w:rPr>
        <w:t>Dħul fis-seħħ</w:t>
      </w:r>
    </w:p>
    <w:p>
      <w:pPr>
        <w:spacing w:before="480"/>
        <w:rPr>
          <w:rFonts w:eastAsia="Times New Roman"/>
          <w:noProof/>
          <w:szCs w:val="24"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COM(2014) 903 final.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It-twettiq tat-TEN-T, Fatti u Ċifri, https://ec.europa.eu/transport/sites/transport/files/delivering_ten_t.pdf, Settembru 2017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Skont ir-rispons li taw l-Istati Membri f’Mejju 2017. Il-pjanijiet ta’ ħidma tas-CNC flimkien mal-istudji ta’ appoġġ tagħhom jinsabu fuq: https://ec.europa.eu/transport/themes/infrastructure/downloads_en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Dan japplika wkoll għat-30 proġett ta’ prijorità tat-TEN-T li kienu ġew identifikati qabel. Ħafna minnhom tlestew iżda oħrajn għandhom għaddejjin; l-esperjenza bil-Proġetti ta’ Prijorità turi li jeżistu kwistjonijiet relatati mal-proċeduri tal-għoti tal-permessi li jaffettwaw it-twettiq ta’ bosta proġetti (eż. PP17, PP18/30, PP24), </w:t>
      </w:r>
      <w:r>
        <w:rPr>
          <w:i/>
        </w:rPr>
        <w:t>Implementation of the Priority Projects</w:t>
      </w:r>
      <w:r>
        <w:t xml:space="preserve"> (l-Implimentazzjoni tal-Proġetti ta’ Prijorità), Novembru 2012; id-DĠ MOVE abbażi tad-dejta tal-Istati Membri, https://ec.europa.eu/transport/sites/transport/files/themes/infrastructure/ten-t-policy/priority-projects/doc/pp_report_nov2012.pdf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L-Eks Viċi President tal-Kummissjoni H. Christophersen, il-Koordinatur Ewropew u Professur K. Bodewig, il-Koordinatur Ewropew u Professur C. Secchi, fil-Pjan ta’ Azzjoni – </w:t>
      </w:r>
      <w:r>
        <w:rPr>
          <w:i/>
        </w:rPr>
        <w:t>Making the best use of new financial schemes for European transport infrastructure projects</w:t>
      </w:r>
      <w:r>
        <w:t xml:space="preserve"> (Rapport tas-CBS), Ġunju 2015, li jinsab fuq: http://ec.europa.eu/transport/themes/infrastructure/ten-t-guidelines/doc/2015_06_03_cbs_action_plan_final.pdf Progress Report of the Action Plan Making the best use of new financial schemes for European transport infrastructure projects, January 2018, https://ec.europa.eu/transport/sites/transport/files/cbs2_report_final.pdf, (minn hawn ’il quddiem imsejjaħ “Rapport ta’ Progress tas-CBS”).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Fil-konklużjonijiet adottati fil-5 ta’ Diċembru 2017, il-Kunsill tenna l-impenn qawwi tiegħu għall-implimentazzjoni tat-TEN-T u l-ħtieġa li din il-politika tissokta biex tingħata spinta lill-investiment fit-trasport u tikkontribwixxi għall-għanijiet ġenerali, l-aktar fejn jidħol it-tibdil fil-klima. 15425/17 TRANS 541.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COM(2016) 359 final.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The Results and Efficiency of Railway Infrastructure Financing within the European Union (Ir-Riżultati u l-Effiċjenza tal-Finanzjament fl-Infrastruttura Ferrovjarja fl-Unjoni Ewropea), Studju għall-Parlament Ewropew, Ottubru 2015.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COM(2016)501 final.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http://www.g7italy.it/sites/default/files/documents/Final%20Declaration_0.pdf</w:t>
        </w:r>
      </w:hyperlink>
      <w:r>
        <w:t xml:space="preserve">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 xml:space="preserve">L-istrateġija Ġermaniża biex jitħaffef il-proċess tal-ippjanar: </w:t>
      </w:r>
      <w:hyperlink r:id="rId2">
        <w:r>
          <w:rPr>
            <w:rStyle w:val="Hyperlink"/>
          </w:rPr>
          <w:t>https://www.bmvi.de/SharedDocs/DE/Publikationen/G/innovationsforum-planungsbeschleunigung-abschlussbericht.pdf?_ _blob=publicationFile</w:t>
        </w:r>
      </w:hyperlink>
      <w:r>
        <w:t xml:space="preserve"> 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COM(2017) 534 final.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>Ir-Regolament (UE) Nru 347/2013 tal-Parlament Ewropew u tal-Kunsill tas-17 ta’ April 2013 dwar linji gwida għall-infrastruttura tal-enerġija trans-Ewropea u li jħassar id-Deċiżjoni Nru 1364/2006/KE u li jemenda r-Regolamenti (KE) Nru 713/2009, (KE) Nru 714/2009 u (KE) Nru 715/2009, (ĠU L 115, 25.4.2013, p. 39).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347/2013 tal-Parlament Ewropew u tal-Kunsill tas-17 ta’ April 2013 dwar linji gwida għall-infrastruttura tal-enerġija trans-Ewropea u li jħassar id-Deċiżjoni Nru 1364/2006/KE u li jemenda r-Regolamenti (KE) Nru 713/2009, (KE) Nru 714/2009 u (KE) Nru 715/2009 (ĠU L 115, 25.4.2013, p. 39-75).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Rapport ta’ progress dwar l-implimentazzjoni tan-Netwerk tat-TEN-T fl-2014 u fl-2015, Frar 2017.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https://ec.europa.eu/transport/sites/transport/files/permitting_ten-t_final_report.pdf</w:t>
        </w:r>
      </w:hyperlink>
      <w:r>
        <w:t xml:space="preserve">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Il-link jingħata ladarba jiġi ppubblikat.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Proġetti appoġġati mill-Fond Ewropew għall-Investimenti Strateġiċi skont ir-Regolament (UE) 2017/2396 tal-Parlament Ewropew u tal-Kunsill tat-13 ta’ Diċembru 2017 li jemenda r-Regolamenti (UE) Nru 1316/2013 u (UE) 2015/1017 fir-rigward tal-estensjoni tad-durata tal-Fond Ewropew għall-Investimenti Strateġiċi kif ukoll l-introduzzjoni ta’ titjib tekniku għal dak il-Fond u għaċ-Ċentru Ewropew ta’ Konsulenza għall-Investimenti (ĠU L 345, 27.12.2017, p. 34-52).</w:t>
      </w:r>
    </w:p>
  </w:footnote>
  <w:footnote w:id="19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B’mod partikolari,</w:t>
      </w:r>
      <w:r>
        <w:t xml:space="preserve"> id-Direttiva 2014/25/UE tal-Parlament Ewropew u tal-Kunsill tas-26 ta’ Frar 2014 dwar l-akkwist minn entitajiet li joperaw fis-setturi tas-servizzi tal-ilma, l-enerġija, it-trasport u postali u li tħassar id-Direttiva 2004/17/KE (ĠU L 94, 28.3.2014, p. 243) u d-Direttiva 2014/24/UE tal-Parlament Ewropew u tal-Kunsill tas-26 ta’ Frar 2014 dwar l-akkwist pubbliku u li tħassar id-Direttiva 2004/18/KE (ĠU L 94, 28.3.2014, p. 65).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1315/2013 tal-Parlament Ewropew u tal-Kunsill tal-11 ta’ Diċembru 2013 dwar linji gwida tal-Unjoni għall-iżvilupp tan-netwerk trans-Ewropew tat-trasport u li jħassar id-Deċiżjoni Nru 661/2010/UE (ĠU L 348, 20.12.2013, p. 1).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COM(2017) 198 final.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COM(2017) 573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02CC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14079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80AB2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6E92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4EE1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42F9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D20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8E3D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2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8:20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2CDFD84-B0A0-4421-B400-8C5383EB2188"/>
    <w:docVar w:name="LW_COVERPAGE_TYPE" w:val="1"/>
    <w:docVar w:name="LW_CROSSREFERENCE" w:val="{SEC(2018) 228 final}_x000b_{SWD(2018) 178 final}_x000b_{SWD(2018) 179 final}"/>
    <w:docVar w:name="LW_DocType" w:val="COM"/>
    <w:docVar w:name="LW_EMISSION" w:val="17.5.2018"/>
    <w:docVar w:name="LW_EMISSION_ISODATE" w:val="2018-05-17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38"/>
    <w:docVar w:name="LW_REF.II.NEW.CP_YEAR" w:val="2018"/>
    <w:docVar w:name="LW_REF.INST.NEW" w:val="COM"/>
    <w:docVar w:name="LW_REF.INST.NEW_ADOPTED" w:val="final"/>
    <w:docVar w:name="LW_REF.INST.NEW_TEXT" w:val="(2018) 2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r-razzjonalizzazzjoni ta\u8217? mi\u380?uri li jmexxu \u8217?l quddiem it-twettiq tan-netwerk trans-Ewropew tat-trasport 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tabs>
        <w:tab w:val="clear" w:pos="1209"/>
        <w:tab w:val="num" w:pos="360"/>
      </w:tabs>
      <w:ind w:left="0" w:firstLine="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Heading 2_sj,1st level - Bullet List Paragraph,Lettre d'introduction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"/>
    <w:basedOn w:val="DefaultParagraphFont"/>
    <w:link w:val="ListParagraph"/>
    <w:uiPriority w:val="34"/>
    <w:qFormat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no">
    <w:name w:val="Nno"/>
    <w:basedOn w:val="Text1"/>
    <w:pPr>
      <w:ind w:left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tabs>
        <w:tab w:val="clear" w:pos="1209"/>
        <w:tab w:val="num" w:pos="360"/>
      </w:tabs>
      <w:ind w:left="0" w:firstLine="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Heading 2_sj,1st level - Bullet List Paragraph,Lettre d'introduction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"/>
    <w:basedOn w:val="DefaultParagraphFont"/>
    <w:link w:val="ListParagraph"/>
    <w:uiPriority w:val="34"/>
    <w:qFormat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no">
    <w:name w:val="Nno"/>
    <w:basedOn w:val="Text1"/>
    <w:pPr>
      <w:ind w:left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transport/sites/transport/files/permitting_ten-t_final_report.pdf" TargetMode="External"/><Relationship Id="rId2" Type="http://schemas.openxmlformats.org/officeDocument/2006/relationships/hyperlink" Target="https://www.bmvi.de/SharedDocs/DE/Publikationen/G/innovationsforum-planungsbeschleunigung-abschlussbericht.pdf?_%20_blob=publicationFile" TargetMode="External"/><Relationship Id="rId1" Type="http://schemas.openxmlformats.org/officeDocument/2006/relationships/hyperlink" Target="http://www.g7italy.it/sites/default/files/documents/Final%20Declaration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0BCC-EFBE-4CB6-9ECF-C28F1143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20</Pages>
  <Words>5769</Words>
  <Characters>44077</Characters>
  <Application>Microsoft Office Word</Application>
  <DocSecurity>0</DocSecurity>
  <Lines>688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cp:lastPrinted>2018-04-23T11:56:00Z</cp:lastPrinted>
  <dcterms:created xsi:type="dcterms:W3CDTF">2018-05-28T07:57:00Z</dcterms:created>
  <dcterms:modified xsi:type="dcterms:W3CDTF">2018-06-05T06:20:00Z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