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43A2DA2-E40A-4F39-8B01-2F384A8B5B3F" style="width:450.45pt;height:395.1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tbl>
      <w:tblPr>
        <w:tblStyle w:val="TableGrid"/>
        <w:tblW w:w="9708" w:type="dxa"/>
        <w:tblInd w:w="0" w:type="dxa"/>
        <w:tblLook w:val="01E0" w:firstRow="1" w:lastRow="1" w:firstColumn="1" w:lastColumn="1" w:noHBand="0" w:noVBand="0"/>
      </w:tblPr>
      <w:tblGrid>
        <w:gridCol w:w="9708"/>
      </w:tblGrid>
      <w:tr>
        <w:tc>
          <w:tcPr>
            <w:tcW w:w="9708" w:type="dxa"/>
            <w:tcBorders>
              <w:bottom w:val="single" w:sz="4" w:space="0" w:color="auto"/>
            </w:tcBorders>
            <w:shd w:val="clear" w:color="auto" w:fill="CCCCCC"/>
          </w:tcPr>
          <w:p>
            <w:pPr>
              <w:spacing w:after="120" w:afterAutospacing="0"/>
              <w:jc w:val="center"/>
              <w:rPr>
                <w:rFonts w:ascii="Tahoma" w:hAnsi="Tahoma" w:cs="Tahoma"/>
                <w:b/>
                <w:noProof/>
                <w:sz w:val="22"/>
                <w:szCs w:val="22"/>
              </w:rPr>
            </w:pPr>
            <w:bookmarkStart w:id="1" w:name="_GoBack"/>
            <w:bookmarkEnd w:id="1"/>
            <w:r>
              <w:rPr>
                <w:rFonts w:ascii="Tahoma" w:hAnsi="Tahoma"/>
                <w:b/>
                <w:noProof/>
                <w:sz w:val="22"/>
              </w:rPr>
              <w:lastRenderedPageBreak/>
              <w:t>Santraukos lentelė</w:t>
            </w:r>
          </w:p>
        </w:tc>
      </w:tr>
      <w:tr>
        <w:tc>
          <w:tcPr>
            <w:tcW w:w="9708" w:type="dxa"/>
            <w:tcBorders>
              <w:top w:val="single" w:sz="4" w:space="0" w:color="auto"/>
              <w:left w:val="single" w:sz="4" w:space="0" w:color="auto"/>
              <w:bottom w:val="single" w:sz="4" w:space="0" w:color="auto"/>
              <w:right w:val="single" w:sz="4" w:space="0" w:color="auto"/>
            </w:tcBorders>
            <w:shd w:val="clear" w:color="auto" w:fill="4F81BD" w:themeFill="accent1"/>
          </w:tcPr>
          <w:p>
            <w:pPr>
              <w:spacing w:after="120" w:afterAutospacing="0"/>
              <w:rPr>
                <w:rFonts w:ascii="Tahoma" w:hAnsi="Tahoma" w:cs="Tahoma"/>
                <w:noProof/>
                <w:color w:val="FFFFFF" w:themeColor="background1"/>
              </w:rPr>
            </w:pPr>
            <w:r>
              <w:rPr>
                <w:rFonts w:ascii="Tahoma" w:hAnsi="Tahoma"/>
                <w:noProof/>
                <w:color w:val="FFFFFF" w:themeColor="background1"/>
              </w:rPr>
              <w:t>Europos Parlamento ir Tarybos reglamento (EB) Nr. 1222/2009 dėl padangų ženklinimo atsižvelgiant į degalų naudojimo efektyvumą ir kitus esminius parametrus peržiūros poveikio vertinimas</w:t>
            </w:r>
          </w:p>
        </w:tc>
      </w:tr>
      <w:tr>
        <w:tc>
          <w:tcPr>
            <w:tcW w:w="9708" w:type="dxa"/>
            <w:tcBorders>
              <w:bottom w:val="single" w:sz="4" w:space="0" w:color="auto"/>
            </w:tcBorders>
            <w:shd w:val="clear" w:color="auto" w:fill="CCCCCC"/>
          </w:tcPr>
          <w:p>
            <w:pPr>
              <w:spacing w:after="120" w:afterAutospacing="0"/>
              <w:jc w:val="center"/>
              <w:rPr>
                <w:rFonts w:ascii="Tahoma" w:hAnsi="Tahoma" w:cs="Tahoma"/>
                <w:b/>
                <w:noProof/>
                <w:sz w:val="22"/>
                <w:szCs w:val="22"/>
              </w:rPr>
            </w:pPr>
            <w:r>
              <w:rPr>
                <w:rFonts w:ascii="Tahoma" w:hAnsi="Tahoma"/>
                <w:b/>
                <w:noProof/>
                <w:sz w:val="22"/>
              </w:rPr>
              <w:t>A. Būtinybė imtis veiksmų</w:t>
            </w:r>
          </w:p>
        </w:tc>
      </w:tr>
      <w:tr>
        <w:tc>
          <w:tcPr>
            <w:tcW w:w="9708" w:type="dxa"/>
            <w:tcBorders>
              <w:bottom w:val="single" w:sz="4" w:space="0" w:color="auto"/>
            </w:tcBorders>
            <w:shd w:val="clear" w:color="auto" w:fill="E0E0E0"/>
          </w:tcPr>
          <w:p>
            <w:pPr>
              <w:spacing w:after="120" w:afterAutospacing="0"/>
              <w:rPr>
                <w:rFonts w:ascii="Tahoma" w:hAnsi="Tahoma" w:cs="Tahoma"/>
                <w:noProof/>
              </w:rPr>
            </w:pPr>
            <w:r>
              <w:rPr>
                <w:rFonts w:ascii="Tahoma" w:hAnsi="Tahoma"/>
                <w:b/>
                <w:noProof/>
              </w:rPr>
              <w:t xml:space="preserve">Kam? Kokia problema sprendžiama? </w:t>
            </w:r>
          </w:p>
        </w:tc>
      </w:tr>
      <w:tr>
        <w:tc>
          <w:tcPr>
            <w:tcW w:w="9708" w:type="dxa"/>
            <w:tcBorders>
              <w:bottom w:val="single" w:sz="4" w:space="0" w:color="auto"/>
            </w:tcBorders>
            <w:shd w:val="clear" w:color="auto" w:fill="auto"/>
          </w:tcPr>
          <w:p>
            <w:pPr>
              <w:spacing w:after="120" w:afterAutospacing="0"/>
              <w:rPr>
                <w:rFonts w:ascii="Arial" w:hAnsi="Arial" w:cs="Arial"/>
                <w:noProof/>
              </w:rPr>
            </w:pPr>
            <w:r>
              <w:rPr>
                <w:rFonts w:ascii="Arial" w:hAnsi="Arial"/>
                <w:noProof/>
              </w:rPr>
              <w:t xml:space="preserve">Transporto sektoriui tenka daugiau nei 30 proc. visos ES energijos suvartojimo. Kelių transporto sektoriuje išmetama apie 22 proc. viso Sąjungoje išmetamo šiltnamio efektą sukeliančių dujų (ŠESD) kiekio. 2016 m. Komunikate </w:t>
            </w:r>
            <w:r>
              <w:rPr>
                <w:rFonts w:ascii="Arial" w:hAnsi="Arial"/>
                <w:i/>
                <w:noProof/>
              </w:rPr>
              <w:t>Europos mažataršio judumo strategija</w:t>
            </w:r>
            <w:r>
              <w:rPr>
                <w:rFonts w:ascii="Arial" w:hAnsi="Arial"/>
                <w:noProof/>
              </w:rPr>
              <w:t xml:space="preserve"> Komisija konstatavo, kad iki 2050 m. transporto sektoriuje išmetamas ŠESD kiekis turėtų būti bent 60 proc. mažesnis nei 1990 m. Taigi siekiant padidinti kelių transporto saugą ir sumažinti taršą į Trečiąjį judumo teisės aktų rinkinį bus įtrauktos lengvųjų automobilių ir sunkvežimių išmetamo ŠESD kiekio mažinimo iniciatyvos. Juo taip pat bus prisidedama prie ES priklausomumo nuo importuojamos energijos mažinimo.</w:t>
            </w:r>
          </w:p>
          <w:p>
            <w:pPr>
              <w:spacing w:after="120" w:afterAutospacing="0"/>
              <w:rPr>
                <w:rFonts w:ascii="Arial" w:hAnsi="Arial" w:cs="Arial"/>
                <w:noProof/>
              </w:rPr>
            </w:pPr>
            <w:r>
              <w:rPr>
                <w:rFonts w:ascii="Arial" w:hAnsi="Arial"/>
                <w:noProof/>
              </w:rPr>
              <w:t>Transporto priemonių padangos daro poveikį degalų suvartojimui (ir atitinkamai išmetamam ŠESD kiekiui), triukšmui ir saugai. Įvertinus galiojantį Padangų ženklinimo reglamentą paaiškėjo, kad juo nepakankamai įgyvendinamas tikslas padidinti kelių transporto aplinkosauginį veiksmingumą skatinant tausių, saugių ir mažai triukšmo keliančių padangų naudojimą; taip yra todėl, kad:</w:t>
            </w:r>
          </w:p>
          <w:p>
            <w:pPr>
              <w:pStyle w:val="ListParagraph"/>
              <w:numPr>
                <w:ilvl w:val="0"/>
                <w:numId w:val="39"/>
              </w:numPr>
              <w:spacing w:after="120" w:afterAutospacing="0"/>
              <w:ind w:left="851" w:hanging="425"/>
              <w:rPr>
                <w:rFonts w:ascii="Arial" w:hAnsi="Arial" w:cs="Arial"/>
                <w:noProof/>
              </w:rPr>
            </w:pPr>
            <w:r>
              <w:rPr>
                <w:rFonts w:ascii="Arial" w:hAnsi="Arial"/>
                <w:noProof/>
              </w:rPr>
              <w:t>padangų ženklinimas yra prastai matomas ir visuomenė nėra gerai apie jį informuota;</w:t>
            </w:r>
          </w:p>
          <w:p>
            <w:pPr>
              <w:pStyle w:val="ListParagraph"/>
              <w:numPr>
                <w:ilvl w:val="0"/>
                <w:numId w:val="39"/>
              </w:numPr>
              <w:spacing w:after="120" w:afterAutospacing="0"/>
              <w:ind w:left="851" w:hanging="425"/>
              <w:rPr>
                <w:rFonts w:ascii="Arial" w:hAnsi="Arial" w:cs="Arial"/>
                <w:noProof/>
              </w:rPr>
            </w:pPr>
            <w:r>
              <w:rPr>
                <w:rFonts w:ascii="Arial" w:hAnsi="Arial"/>
                <w:noProof/>
              </w:rPr>
              <w:t>yra atitikties problemų ir taisyklių laikymasis nepakankamai užtikrinamas valstybėse narėse;</w:t>
            </w:r>
          </w:p>
          <w:p>
            <w:pPr>
              <w:pStyle w:val="ListParagraph"/>
              <w:numPr>
                <w:ilvl w:val="0"/>
                <w:numId w:val="39"/>
              </w:numPr>
              <w:spacing w:after="120" w:afterAutospacing="0"/>
              <w:ind w:left="851" w:hanging="425"/>
              <w:rPr>
                <w:rFonts w:ascii="Arial" w:hAnsi="Arial" w:cs="Arial"/>
                <w:noProof/>
              </w:rPr>
            </w:pPr>
            <w:r>
              <w:rPr>
                <w:rFonts w:ascii="Arial" w:hAnsi="Arial"/>
                <w:noProof/>
              </w:rPr>
              <w:t>eksploatacinių parametrų klasės yra pasenusios, o teikiama informacija yra netiksli ir neišsami.</w:t>
            </w:r>
          </w:p>
        </w:tc>
      </w:tr>
      <w:tr>
        <w:tc>
          <w:tcPr>
            <w:tcW w:w="9708" w:type="dxa"/>
            <w:tcBorders>
              <w:bottom w:val="single" w:sz="4" w:space="0" w:color="auto"/>
            </w:tcBorders>
            <w:shd w:val="clear" w:color="auto" w:fill="E6E6E6"/>
          </w:tcPr>
          <w:p>
            <w:pPr>
              <w:spacing w:after="120" w:afterAutospacing="0"/>
              <w:rPr>
                <w:rFonts w:ascii="Tahoma" w:hAnsi="Tahoma" w:cs="Tahoma"/>
                <w:noProof/>
              </w:rPr>
            </w:pPr>
            <w:r>
              <w:rPr>
                <w:rFonts w:ascii="Tahoma" w:hAnsi="Tahoma"/>
                <w:b/>
                <w:noProof/>
              </w:rPr>
              <w:t>Ko siekiama šia iniciatyva?</w:t>
            </w:r>
          </w:p>
        </w:tc>
      </w:tr>
      <w:tr>
        <w:tc>
          <w:tcPr>
            <w:tcW w:w="9708" w:type="dxa"/>
            <w:tcBorders>
              <w:bottom w:val="single" w:sz="4" w:space="0" w:color="auto"/>
            </w:tcBorders>
            <w:shd w:val="clear" w:color="auto" w:fill="auto"/>
          </w:tcPr>
          <w:p>
            <w:pPr>
              <w:spacing w:after="120" w:afterAutospacing="0"/>
              <w:rPr>
                <w:rFonts w:ascii="Arial" w:hAnsi="Arial" w:cs="Arial"/>
                <w:noProof/>
              </w:rPr>
            </w:pPr>
            <w:r>
              <w:rPr>
                <w:rFonts w:ascii="Arial" w:hAnsi="Arial"/>
                <w:noProof/>
              </w:rPr>
              <w:t>Geriau informuoti vartotojus, atnaujinti ir patikslinti techninius reikalavimus ir geriau užtikrinti atitiktį (vykdymo užtikrinimas).</w:t>
            </w:r>
          </w:p>
          <w:p>
            <w:pPr>
              <w:spacing w:after="120" w:afterAutospacing="0"/>
              <w:rPr>
                <w:rFonts w:ascii="Arial" w:hAnsi="Arial" w:cs="Arial"/>
                <w:noProof/>
              </w:rPr>
            </w:pPr>
            <w:r>
              <w:rPr>
                <w:rFonts w:ascii="Arial" w:hAnsi="Arial"/>
                <w:noProof/>
              </w:rPr>
              <w:t>Dėl tokių patobulinimų padangos būtų saugesnės ir mažiau triukšmingos, jas naudojant pavyktų taupyti energiją ir sumažėtų degalų sąnaudos ir išmetamas ŠESD kiekis.</w:t>
            </w:r>
          </w:p>
        </w:tc>
      </w:tr>
      <w:tr>
        <w:tc>
          <w:tcPr>
            <w:tcW w:w="9708" w:type="dxa"/>
            <w:tcBorders>
              <w:bottom w:val="single" w:sz="4" w:space="0" w:color="auto"/>
            </w:tcBorders>
            <w:shd w:val="clear" w:color="auto" w:fill="E6E6E6"/>
          </w:tcPr>
          <w:p>
            <w:pPr>
              <w:spacing w:after="120" w:afterAutospacing="0"/>
              <w:rPr>
                <w:rFonts w:ascii="Tahoma" w:hAnsi="Tahoma" w:cs="Tahoma"/>
                <w:noProof/>
              </w:rPr>
            </w:pPr>
            <w:r>
              <w:rPr>
                <w:rFonts w:ascii="Tahoma" w:hAnsi="Tahoma"/>
                <w:b/>
                <w:noProof/>
              </w:rPr>
              <w:t>Kokia būtų papildoma ES lygmens veiksmų nauda?</w:t>
            </w:r>
            <w:r>
              <w:rPr>
                <w:rFonts w:ascii="Tahoma" w:hAnsi="Tahoma"/>
                <w:noProof/>
              </w:rPr>
              <w:t xml:space="preserve"> </w:t>
            </w:r>
          </w:p>
        </w:tc>
      </w:tr>
      <w:tr>
        <w:tc>
          <w:tcPr>
            <w:tcW w:w="9708" w:type="dxa"/>
            <w:tcBorders>
              <w:bottom w:val="single" w:sz="4" w:space="0" w:color="auto"/>
            </w:tcBorders>
            <w:shd w:val="clear" w:color="auto" w:fill="auto"/>
          </w:tcPr>
          <w:p>
            <w:pPr>
              <w:spacing w:after="120" w:afterAutospacing="0"/>
              <w:rPr>
                <w:rFonts w:ascii="Arial" w:hAnsi="Arial" w:cs="Arial"/>
                <w:noProof/>
              </w:rPr>
            </w:pPr>
            <w:r>
              <w:rPr>
                <w:rFonts w:ascii="Arial" w:hAnsi="Arial"/>
                <w:noProof/>
              </w:rPr>
              <w:t>Veiksmais ES lygmeniu užtikrinama:</w:t>
            </w:r>
          </w:p>
          <w:p>
            <w:pPr>
              <w:pStyle w:val="ListParagraph"/>
              <w:numPr>
                <w:ilvl w:val="0"/>
                <w:numId w:val="38"/>
              </w:numPr>
              <w:spacing w:after="120" w:afterAutospacing="0"/>
              <w:ind w:left="851" w:hanging="425"/>
              <w:rPr>
                <w:rFonts w:ascii="Arial" w:hAnsi="Arial" w:cs="Arial"/>
                <w:noProof/>
              </w:rPr>
            </w:pPr>
            <w:r>
              <w:rPr>
                <w:rFonts w:ascii="Arial" w:hAnsi="Arial"/>
                <w:noProof/>
              </w:rPr>
              <w:t>vienoda suderinta informacija galutiniams vartotojams, neatsižvelgiant į tai, kurioje valstybėje narėje jie įsigyja padangas, ir</w:t>
            </w:r>
          </w:p>
          <w:p>
            <w:pPr>
              <w:pStyle w:val="ListParagraph"/>
              <w:numPr>
                <w:ilvl w:val="0"/>
                <w:numId w:val="38"/>
              </w:numPr>
              <w:spacing w:after="120" w:afterAutospacing="0"/>
              <w:ind w:left="851" w:hanging="425"/>
              <w:rPr>
                <w:rFonts w:ascii="Arial" w:hAnsi="Arial" w:cs="Arial"/>
                <w:noProof/>
              </w:rPr>
            </w:pPr>
            <w:r>
              <w:rPr>
                <w:rFonts w:ascii="Arial" w:hAnsi="Arial"/>
                <w:noProof/>
              </w:rPr>
              <w:t>mažesnės tiekėjų, kurie gali naudodami tą patį ženklą teikti savo padangas į rinką visoje ES, sąnaudos.</w:t>
            </w:r>
          </w:p>
          <w:p>
            <w:pPr>
              <w:spacing w:after="120" w:afterAutospacing="0"/>
              <w:rPr>
                <w:rFonts w:ascii="Arial" w:hAnsi="Arial" w:cs="Arial"/>
                <w:noProof/>
              </w:rPr>
            </w:pPr>
            <w:r>
              <w:rPr>
                <w:rFonts w:ascii="Arial" w:hAnsi="Arial"/>
                <w:noProof/>
              </w:rPr>
              <w:t>Dėl šių pranašumų padidėtų ES padangų sektoriaus konkurencingumas ir būtų lengviau prekiauti padangomis vidaus rinkoje, o vartotojai taip pat gautų naudos dėl mažesnių bendrų sąnaudų ir didesnio produktų asortimento.</w:t>
            </w:r>
          </w:p>
          <w:p>
            <w:pPr>
              <w:spacing w:after="120" w:afterAutospacing="0"/>
              <w:rPr>
                <w:rFonts w:ascii="Arial" w:hAnsi="Arial" w:cs="Arial"/>
                <w:noProof/>
              </w:rPr>
            </w:pPr>
            <w:r>
              <w:rPr>
                <w:rFonts w:ascii="Arial" w:hAnsi="Arial"/>
                <w:noProof/>
              </w:rPr>
              <w:t>Kad veiksmai ES lygmeniu būtų veiksmingi, rinkos priežiūros pastangos turi būti suderintos visoje ES, kad paremtų vidaus rinką ir paskatintų įmones investuoti savo išteklius į tausių padangų kūrimą, gamybą ir pardavimą.</w:t>
            </w:r>
          </w:p>
        </w:tc>
      </w:tr>
      <w:tr>
        <w:tc>
          <w:tcPr>
            <w:tcW w:w="9708" w:type="dxa"/>
            <w:tcBorders>
              <w:bottom w:val="single" w:sz="4" w:space="0" w:color="auto"/>
            </w:tcBorders>
            <w:shd w:val="clear" w:color="auto" w:fill="CCCCCC"/>
          </w:tcPr>
          <w:p>
            <w:pPr>
              <w:spacing w:after="120" w:afterAutospacing="0"/>
              <w:jc w:val="center"/>
              <w:rPr>
                <w:rFonts w:ascii="Tahoma" w:hAnsi="Tahoma" w:cs="Tahoma"/>
                <w:b/>
                <w:noProof/>
                <w:sz w:val="22"/>
                <w:szCs w:val="22"/>
              </w:rPr>
            </w:pPr>
            <w:r>
              <w:rPr>
                <w:rFonts w:ascii="Tahoma" w:hAnsi="Tahoma"/>
                <w:b/>
                <w:noProof/>
                <w:sz w:val="22"/>
              </w:rPr>
              <w:t>B. Sprendimai</w:t>
            </w:r>
          </w:p>
        </w:tc>
      </w:tr>
      <w:tr>
        <w:tc>
          <w:tcPr>
            <w:tcW w:w="9708" w:type="dxa"/>
            <w:tcBorders>
              <w:bottom w:val="single" w:sz="4" w:space="0" w:color="auto"/>
            </w:tcBorders>
            <w:shd w:val="clear" w:color="auto" w:fill="E6E6E6"/>
          </w:tcPr>
          <w:p>
            <w:pPr>
              <w:spacing w:after="120" w:afterAutospacing="0"/>
              <w:rPr>
                <w:rFonts w:ascii="Tahoma" w:hAnsi="Tahoma" w:cs="Tahoma"/>
                <w:noProof/>
              </w:rPr>
            </w:pPr>
            <w:r>
              <w:rPr>
                <w:rFonts w:ascii="Tahoma" w:hAnsi="Tahoma"/>
                <w:b/>
                <w:noProof/>
              </w:rPr>
              <w:t>Kokios su teisėkūra susijusios ir nesusijusios politikos galimybės apsvarstytos? Ar viena iš politikos galimybių pasirinkta kaip tinkamiausia? Kam?</w:t>
            </w:r>
          </w:p>
        </w:tc>
      </w:tr>
      <w:tr>
        <w:tc>
          <w:tcPr>
            <w:tcW w:w="9708" w:type="dxa"/>
            <w:tcBorders>
              <w:bottom w:val="single" w:sz="4" w:space="0" w:color="auto"/>
            </w:tcBorders>
            <w:shd w:val="clear" w:color="auto" w:fill="auto"/>
          </w:tcPr>
          <w:p>
            <w:pPr>
              <w:spacing w:after="120" w:afterAutospacing="0"/>
              <w:rPr>
                <w:rFonts w:ascii="Arial" w:hAnsi="Arial" w:cs="Arial"/>
                <w:noProof/>
              </w:rPr>
            </w:pPr>
            <w:r>
              <w:rPr>
                <w:rFonts w:ascii="Arial" w:hAnsi="Arial"/>
                <w:noProof/>
              </w:rPr>
              <w:t>Apsvarstytos keturios politikos galimybės:</w:t>
            </w:r>
          </w:p>
          <w:p>
            <w:pPr>
              <w:pStyle w:val="ListParagraph"/>
              <w:numPr>
                <w:ilvl w:val="0"/>
                <w:numId w:val="36"/>
              </w:numPr>
              <w:spacing w:after="120" w:afterAutospacing="0"/>
              <w:ind w:left="851" w:hanging="425"/>
              <w:rPr>
                <w:rFonts w:ascii="Arial" w:hAnsi="Arial" w:cs="Arial"/>
                <w:noProof/>
                <w:u w:val="single"/>
              </w:rPr>
            </w:pPr>
            <w:r>
              <w:rPr>
                <w:rFonts w:ascii="Arial" w:hAnsi="Arial"/>
                <w:noProof/>
                <w:u w:val="single"/>
              </w:rPr>
              <w:t>nedaryti nieko</w:t>
            </w:r>
            <w:r>
              <w:rPr>
                <w:rFonts w:ascii="Arial" w:hAnsi="Arial"/>
                <w:noProof/>
              </w:rPr>
              <w:t>;</w:t>
            </w:r>
          </w:p>
          <w:p>
            <w:pPr>
              <w:pStyle w:val="ListParagraph"/>
              <w:numPr>
                <w:ilvl w:val="0"/>
                <w:numId w:val="36"/>
              </w:numPr>
              <w:spacing w:after="120" w:afterAutospacing="0"/>
              <w:ind w:left="851" w:hanging="425"/>
              <w:rPr>
                <w:rFonts w:ascii="Arial" w:hAnsi="Arial" w:cs="Arial"/>
                <w:noProof/>
              </w:rPr>
            </w:pPr>
            <w:r>
              <w:rPr>
                <w:rFonts w:ascii="Arial" w:hAnsi="Arial"/>
                <w:noProof/>
                <w:u w:val="single"/>
              </w:rPr>
              <w:t>įstatymo galios neturinčio teisės akto priėmimas</w:t>
            </w:r>
            <w:r>
              <w:rPr>
                <w:rFonts w:ascii="Arial" w:hAnsi="Arial"/>
                <w:noProof/>
              </w:rPr>
              <w:t>: informacinės kampanijos, bendri vykdymo užtikrinimo veiksmai, įgaliojimai peržiūrėti bandymų metodus;</w:t>
            </w:r>
          </w:p>
          <w:p>
            <w:pPr>
              <w:pStyle w:val="ListParagraph"/>
              <w:numPr>
                <w:ilvl w:val="0"/>
                <w:numId w:val="36"/>
              </w:numPr>
              <w:spacing w:after="120" w:afterAutospacing="0"/>
              <w:ind w:left="851" w:hanging="425"/>
              <w:rPr>
                <w:rFonts w:ascii="Arial" w:hAnsi="Arial" w:cs="Arial"/>
                <w:noProof/>
              </w:rPr>
            </w:pPr>
            <w:r>
              <w:rPr>
                <w:rFonts w:ascii="Arial" w:hAnsi="Arial"/>
                <w:noProof/>
                <w:u w:val="single"/>
              </w:rPr>
              <w:t>teisės akto priėmimas</w:t>
            </w:r>
            <w:r>
              <w:rPr>
                <w:rFonts w:ascii="Arial" w:hAnsi="Arial"/>
                <w:noProof/>
              </w:rPr>
              <w:t>: galiojančio reglamento ir jo priedų pakeitimas siekiant išplėsti jo taikymo sritį, numatyti internete parduodamų padangų ženklinimą, pakoreguoti ženklinimo klases ir įtraukti naujus parametrus, patobulinti bandymų metodus ir numatyti padangų registravimo duomenų bazę ir</w:t>
            </w:r>
          </w:p>
          <w:p>
            <w:pPr>
              <w:pStyle w:val="ListParagraph"/>
              <w:numPr>
                <w:ilvl w:val="0"/>
                <w:numId w:val="36"/>
              </w:numPr>
              <w:spacing w:after="120" w:afterAutospacing="0"/>
              <w:ind w:left="851" w:hanging="425"/>
              <w:rPr>
                <w:rFonts w:ascii="Arial" w:hAnsi="Arial" w:cs="Arial"/>
                <w:noProof/>
              </w:rPr>
            </w:pPr>
            <w:r>
              <w:rPr>
                <w:rFonts w:ascii="Arial" w:hAnsi="Arial"/>
                <w:noProof/>
                <w:u w:val="single"/>
              </w:rPr>
              <w:t>2 ir 3 galimybių įgyvendinimas kartu</w:t>
            </w:r>
            <w:r>
              <w:rPr>
                <w:rFonts w:ascii="Arial" w:hAnsi="Arial"/>
                <w:noProof/>
              </w:rPr>
              <w:t>: tai tinkamiausia galimybė.</w:t>
            </w:r>
            <w:r>
              <w:rPr>
                <w:noProof/>
              </w:rPr>
              <w:t xml:space="preserve"> </w:t>
            </w:r>
            <w:r>
              <w:rPr>
                <w:rFonts w:ascii="Arial" w:hAnsi="Arial"/>
                <w:noProof/>
              </w:rPr>
              <w:t>Taip pasiekiamas daug geresnis poveikis, susijęs su energijos taupymu ir išmetamu ŠESD kiekiu, geresne rinkos apyvarta, darbo vietomis, mažesnėmis padangų naudotojų ir pirkėjų sąnaudomis ir saugos ir aplinkos veiksniais.</w:t>
            </w:r>
          </w:p>
        </w:tc>
      </w:tr>
    </w:tbl>
    <w:p>
      <w:pPr>
        <w:rPr>
          <w:noProof/>
        </w:rPr>
      </w:pPr>
      <w:r>
        <w:rPr>
          <w:noProof/>
        </w:rPr>
        <w:br w:type="page"/>
      </w:r>
    </w:p>
    <w:tbl>
      <w:tblPr>
        <w:tblStyle w:val="TableGrid"/>
        <w:tblW w:w="9708" w:type="dxa"/>
        <w:tblInd w:w="0" w:type="dxa"/>
        <w:tblLook w:val="01E0" w:firstRow="1" w:lastRow="1" w:firstColumn="1" w:lastColumn="1" w:noHBand="0" w:noVBand="0"/>
      </w:tblPr>
      <w:tblGrid>
        <w:gridCol w:w="9708"/>
      </w:tblGrid>
      <w:tr>
        <w:tc>
          <w:tcPr>
            <w:tcW w:w="9708" w:type="dxa"/>
            <w:shd w:val="clear" w:color="auto" w:fill="CCCCCC"/>
          </w:tcPr>
          <w:p>
            <w:pPr>
              <w:spacing w:after="120" w:afterAutospacing="0"/>
              <w:rPr>
                <w:rFonts w:ascii="Tahoma" w:hAnsi="Tahoma" w:cs="Tahoma"/>
                <w:noProof/>
              </w:rPr>
            </w:pPr>
            <w:r>
              <w:rPr>
                <w:rFonts w:ascii="Tahoma" w:hAnsi="Tahoma"/>
                <w:b/>
                <w:noProof/>
              </w:rPr>
              <w:t>Kas kuriai galimybei pritaria?</w:t>
            </w:r>
          </w:p>
        </w:tc>
      </w:tr>
      <w:tr>
        <w:tc>
          <w:tcPr>
            <w:tcW w:w="9708" w:type="dxa"/>
            <w:shd w:val="clear" w:color="auto" w:fill="auto"/>
          </w:tcPr>
          <w:p>
            <w:pPr>
              <w:spacing w:after="120" w:afterAutospacing="0"/>
              <w:rPr>
                <w:rFonts w:ascii="Arial" w:hAnsi="Arial" w:cs="Arial"/>
                <w:noProof/>
              </w:rPr>
            </w:pPr>
            <w:r>
              <w:rPr>
                <w:rFonts w:ascii="Arial" w:hAnsi="Arial"/>
                <w:noProof/>
              </w:rPr>
              <w:t>Nei vartotojų apklausoje, kuri buvo atlikta atliekant peržiūrą, nei atvirose viešose konsultacijose (AVK) nebuvo konkrečiai klausiama apie galimybes. Tačiau:</w:t>
            </w:r>
          </w:p>
          <w:p>
            <w:pPr>
              <w:pStyle w:val="ListParagraph"/>
              <w:numPr>
                <w:ilvl w:val="0"/>
                <w:numId w:val="40"/>
              </w:numPr>
              <w:spacing w:after="120" w:afterAutospacing="0"/>
              <w:ind w:left="851" w:hanging="425"/>
              <w:rPr>
                <w:rFonts w:ascii="Arial" w:hAnsi="Arial" w:cs="Arial"/>
                <w:noProof/>
              </w:rPr>
            </w:pPr>
            <w:r>
              <w:rPr>
                <w:rFonts w:ascii="Arial" w:hAnsi="Arial"/>
                <w:noProof/>
              </w:rPr>
              <w:t>tik 41 proc. automobilių savininkų žinojo apie padangų ženklinimą, nors 90 proc. mano, kad jis naudingas;</w:t>
            </w:r>
          </w:p>
          <w:p>
            <w:pPr>
              <w:pStyle w:val="ListParagraph"/>
              <w:numPr>
                <w:ilvl w:val="0"/>
                <w:numId w:val="40"/>
              </w:numPr>
              <w:spacing w:after="120" w:afterAutospacing="0"/>
              <w:ind w:left="851" w:hanging="425"/>
              <w:rPr>
                <w:rFonts w:ascii="Arial" w:hAnsi="Arial" w:cs="Arial"/>
                <w:noProof/>
              </w:rPr>
            </w:pPr>
            <w:r>
              <w:rPr>
                <w:rFonts w:ascii="Arial" w:hAnsi="Arial"/>
                <w:noProof/>
              </w:rPr>
              <w:t>76 proc. respondentų mano, kad ženklinti reikėtų visas parduodamas padangas, ir</w:t>
            </w:r>
          </w:p>
          <w:p>
            <w:pPr>
              <w:pStyle w:val="ListParagraph"/>
              <w:numPr>
                <w:ilvl w:val="0"/>
                <w:numId w:val="40"/>
              </w:numPr>
              <w:spacing w:after="120" w:afterAutospacing="0"/>
              <w:ind w:left="851" w:hanging="425"/>
              <w:rPr>
                <w:rFonts w:ascii="Arial" w:hAnsi="Arial" w:cs="Arial"/>
                <w:noProof/>
              </w:rPr>
            </w:pPr>
            <w:r>
              <w:rPr>
                <w:rFonts w:ascii="Arial" w:hAnsi="Arial"/>
                <w:noProof/>
              </w:rPr>
              <w:t>70 proc. respondentų pritaria registravimo duomenų bazei.</w:t>
            </w:r>
          </w:p>
          <w:p>
            <w:pPr>
              <w:spacing w:after="120" w:afterAutospacing="0"/>
              <w:rPr>
                <w:rFonts w:ascii="Arial" w:hAnsi="Arial" w:cs="Arial"/>
                <w:noProof/>
              </w:rPr>
            </w:pPr>
            <w:r>
              <w:rPr>
                <w:rFonts w:ascii="Arial" w:hAnsi="Arial"/>
                <w:noProof/>
              </w:rPr>
              <w:t>Per AVK paaiškėjo, kad sutariama dėl poreikio didinti informuotumą apie ženklinimą surengiant informacines kampanijas ir numatant privalomą ženklinimą internetu ir padangų, parduodamų su naujais automobiliais, ženklinimą. Respondentai pritarė tam, kad siekiant padidinti vartotojų pasitikėjimą reikėtų sugriežtinti rinkos priežiūrą ir sukurti geresnę platformą, kad valdžios institucijos galėtų užtikrinti vykdymą ir koordinuoti veiklą.</w:t>
            </w:r>
          </w:p>
        </w:tc>
      </w:tr>
      <w:tr>
        <w:tc>
          <w:tcPr>
            <w:tcW w:w="9708" w:type="dxa"/>
            <w:tcBorders>
              <w:bottom w:val="single" w:sz="4" w:space="0" w:color="auto"/>
            </w:tcBorders>
            <w:shd w:val="clear" w:color="auto" w:fill="CCCCCC"/>
          </w:tcPr>
          <w:p>
            <w:pPr>
              <w:spacing w:after="120" w:afterAutospacing="0"/>
              <w:jc w:val="center"/>
              <w:rPr>
                <w:rFonts w:ascii="Tahoma" w:hAnsi="Tahoma" w:cs="Tahoma"/>
                <w:b/>
                <w:noProof/>
                <w:sz w:val="22"/>
                <w:szCs w:val="22"/>
              </w:rPr>
            </w:pPr>
            <w:r>
              <w:rPr>
                <w:rFonts w:ascii="Tahoma" w:hAnsi="Tahoma"/>
                <w:b/>
                <w:noProof/>
                <w:sz w:val="22"/>
              </w:rPr>
              <w:t>C. Tinkamiausios galimybės poveikis</w:t>
            </w:r>
          </w:p>
        </w:tc>
      </w:tr>
      <w:tr>
        <w:tc>
          <w:tcPr>
            <w:tcW w:w="9708" w:type="dxa"/>
            <w:tcBorders>
              <w:bottom w:val="single" w:sz="4" w:space="0" w:color="auto"/>
            </w:tcBorders>
            <w:shd w:val="clear" w:color="auto" w:fill="E6E6E6"/>
          </w:tcPr>
          <w:p>
            <w:pPr>
              <w:spacing w:after="120" w:afterAutospacing="0"/>
              <w:rPr>
                <w:rFonts w:ascii="Tahoma" w:hAnsi="Tahoma" w:cs="Tahoma"/>
                <w:noProof/>
              </w:rPr>
            </w:pPr>
            <w:r>
              <w:rPr>
                <w:rFonts w:ascii="Tahoma" w:hAnsi="Tahoma"/>
                <w:b/>
                <w:noProof/>
              </w:rPr>
              <w:t>Kokie būtų tinkamiausios galimybės (jei jos nėra – pagrindinių galimybių) pranašumai?</w:t>
            </w:r>
            <w:r>
              <w:rPr>
                <w:rFonts w:ascii="Tahoma" w:hAnsi="Tahoma"/>
                <w:noProof/>
              </w:rPr>
              <w:t xml:space="preserve"> </w:t>
            </w:r>
          </w:p>
        </w:tc>
      </w:tr>
      <w:tr>
        <w:tc>
          <w:tcPr>
            <w:tcW w:w="9708" w:type="dxa"/>
            <w:tcBorders>
              <w:bottom w:val="single" w:sz="4" w:space="0" w:color="auto"/>
            </w:tcBorders>
            <w:shd w:val="clear" w:color="auto" w:fill="auto"/>
          </w:tcPr>
          <w:p>
            <w:pPr>
              <w:spacing w:after="120" w:afterAutospacing="0"/>
              <w:rPr>
                <w:rFonts w:ascii="Arial" w:hAnsi="Arial" w:cs="Arial"/>
                <w:noProof/>
              </w:rPr>
            </w:pPr>
            <w:r>
              <w:rPr>
                <w:rFonts w:ascii="Arial" w:hAnsi="Arial"/>
                <w:noProof/>
              </w:rPr>
              <w:t>Apskaičiuota, kad pasirinkus 4 galimybę iki 2030 m. pavyktų kasmet sutaupyti:</w:t>
            </w:r>
          </w:p>
          <w:p>
            <w:pPr>
              <w:pStyle w:val="ListParagraph"/>
              <w:numPr>
                <w:ilvl w:val="0"/>
                <w:numId w:val="32"/>
              </w:numPr>
              <w:spacing w:after="120" w:afterAutospacing="0"/>
              <w:ind w:left="851" w:hanging="425"/>
              <w:rPr>
                <w:rFonts w:ascii="Arial" w:hAnsi="Arial" w:cs="Arial"/>
                <w:noProof/>
              </w:rPr>
            </w:pPr>
            <w:r>
              <w:rPr>
                <w:rFonts w:ascii="Arial" w:hAnsi="Arial"/>
                <w:noProof/>
              </w:rPr>
              <w:t>129 PJ degalų, t. y. energijos sąnaudos būtų 7 mlrd. EUR mažesnės;</w:t>
            </w:r>
          </w:p>
          <w:p>
            <w:pPr>
              <w:pStyle w:val="ListParagraph"/>
              <w:numPr>
                <w:ilvl w:val="0"/>
                <w:numId w:val="32"/>
              </w:numPr>
              <w:spacing w:after="120" w:afterAutospacing="0"/>
              <w:ind w:left="851" w:hanging="425"/>
              <w:rPr>
                <w:rFonts w:ascii="Arial" w:hAnsi="Arial" w:cs="Arial"/>
                <w:noProof/>
              </w:rPr>
            </w:pPr>
            <w:r>
              <w:rPr>
                <w:rFonts w:ascii="Arial" w:hAnsi="Arial"/>
                <w:noProof/>
              </w:rPr>
              <w:t>10 Mt mažiau išmetamo CO</w:t>
            </w:r>
            <w:r>
              <w:rPr>
                <w:rFonts w:asciiTheme="majorBidi" w:hAnsiTheme="majorBidi" w:cstheme="majorBidi"/>
                <w:noProof/>
                <w:color w:val="000000"/>
                <w:sz w:val="21"/>
                <w:vertAlign w:val="subscript"/>
              </w:rPr>
              <w:t>2</w:t>
            </w:r>
            <w:r>
              <w:rPr>
                <w:rFonts w:ascii="Arial" w:hAnsi="Arial"/>
                <w:noProof/>
              </w:rPr>
              <w:t xml:space="preserve"> kiekio;</w:t>
            </w:r>
          </w:p>
          <w:p>
            <w:pPr>
              <w:pStyle w:val="ListParagraph"/>
              <w:numPr>
                <w:ilvl w:val="0"/>
                <w:numId w:val="32"/>
              </w:numPr>
              <w:spacing w:after="120" w:afterAutospacing="0"/>
              <w:ind w:left="851" w:hanging="425"/>
              <w:rPr>
                <w:rFonts w:ascii="Arial" w:hAnsi="Arial" w:cs="Arial"/>
                <w:noProof/>
              </w:rPr>
            </w:pPr>
            <w:r>
              <w:rPr>
                <w:rFonts w:ascii="Arial" w:hAnsi="Arial"/>
                <w:noProof/>
              </w:rPr>
              <w:t>2,8 mlrd. EUR grynųjų sutaupytų vartotojų lėšų (iš „sutaupytos energijos sąnaudų“ atėmus „papildomas pirkimo sąnaudas“);</w:t>
            </w:r>
          </w:p>
          <w:p>
            <w:pPr>
              <w:pStyle w:val="ListParagraph"/>
              <w:numPr>
                <w:ilvl w:val="0"/>
                <w:numId w:val="32"/>
              </w:numPr>
              <w:spacing w:after="120" w:afterAutospacing="0"/>
              <w:ind w:left="851" w:hanging="425"/>
              <w:rPr>
                <w:rFonts w:ascii="Arial" w:hAnsi="Arial" w:cs="Arial"/>
                <w:noProof/>
              </w:rPr>
            </w:pPr>
            <w:r>
              <w:rPr>
                <w:rFonts w:ascii="Arial" w:hAnsi="Arial"/>
                <w:noProof/>
              </w:rPr>
              <w:t>9 mlrd. EUR didesnė apyvarta gamybos, didmeninės prekybos ir mažmeninės prekybos sektoriuose;</w:t>
            </w:r>
          </w:p>
          <w:p>
            <w:pPr>
              <w:pStyle w:val="ListParagraph"/>
              <w:numPr>
                <w:ilvl w:val="0"/>
                <w:numId w:val="32"/>
              </w:numPr>
              <w:spacing w:after="120" w:afterAutospacing="0"/>
              <w:ind w:left="851" w:hanging="425"/>
              <w:rPr>
                <w:rFonts w:ascii="Arial" w:hAnsi="Arial" w:cs="Arial"/>
                <w:noProof/>
              </w:rPr>
            </w:pPr>
            <w:r>
              <w:rPr>
                <w:rFonts w:ascii="Arial" w:hAnsi="Arial"/>
                <w:noProof/>
              </w:rPr>
              <w:t>mažiau mirčių ir sužalojimų per avarijas keliuose ir</w:t>
            </w:r>
          </w:p>
          <w:p>
            <w:pPr>
              <w:pStyle w:val="ListParagraph"/>
              <w:numPr>
                <w:ilvl w:val="0"/>
                <w:numId w:val="32"/>
              </w:numPr>
              <w:spacing w:after="120" w:afterAutospacing="0"/>
              <w:ind w:left="851" w:hanging="425"/>
              <w:rPr>
                <w:rFonts w:ascii="Arial" w:hAnsi="Arial" w:cs="Arial"/>
                <w:i/>
                <w:noProof/>
              </w:rPr>
            </w:pPr>
            <w:r>
              <w:rPr>
                <w:rFonts w:ascii="Arial" w:hAnsi="Arial"/>
                <w:noProof/>
              </w:rPr>
              <w:t>mažiau su triukšmo poveikiu susijusių mirčių ir sužalojimų.</w:t>
            </w:r>
          </w:p>
        </w:tc>
      </w:tr>
      <w:tr>
        <w:tc>
          <w:tcPr>
            <w:tcW w:w="9708" w:type="dxa"/>
            <w:tcBorders>
              <w:bottom w:val="single" w:sz="4" w:space="0" w:color="auto"/>
            </w:tcBorders>
            <w:shd w:val="clear" w:color="auto" w:fill="E6E6E6"/>
          </w:tcPr>
          <w:p>
            <w:pPr>
              <w:spacing w:after="120" w:afterAutospacing="0"/>
              <w:rPr>
                <w:rFonts w:ascii="Tahoma" w:hAnsi="Tahoma" w:cs="Tahoma"/>
                <w:noProof/>
              </w:rPr>
            </w:pPr>
            <w:r>
              <w:rPr>
                <w:rFonts w:ascii="Tahoma" w:hAnsi="Tahoma"/>
                <w:b/>
                <w:noProof/>
              </w:rPr>
              <w:t>Kokios būtų tinkamiausios galimybės (jei jos nėra – pagrindinių galimybių) įgyvendinimo išlaidos?</w:t>
            </w:r>
            <w:r>
              <w:rPr>
                <w:rFonts w:ascii="Tahoma" w:hAnsi="Tahoma"/>
                <w:noProof/>
              </w:rPr>
              <w:t xml:space="preserve"> </w:t>
            </w:r>
          </w:p>
        </w:tc>
      </w:tr>
      <w:tr>
        <w:tc>
          <w:tcPr>
            <w:tcW w:w="9708" w:type="dxa"/>
            <w:tcBorders>
              <w:bottom w:val="single" w:sz="4" w:space="0" w:color="auto"/>
            </w:tcBorders>
            <w:shd w:val="clear" w:color="auto" w:fill="auto"/>
          </w:tcPr>
          <w:p>
            <w:pPr>
              <w:spacing w:after="120" w:afterAutospacing="0"/>
              <w:rPr>
                <w:rFonts w:ascii="Arial" w:hAnsi="Arial" w:cs="Arial"/>
                <w:noProof/>
              </w:rPr>
            </w:pPr>
            <w:r>
              <w:rPr>
                <w:rFonts w:ascii="Arial" w:hAnsi="Arial"/>
                <w:noProof/>
              </w:rPr>
              <w:t>Administracinės ir atitikties sąnaudos būtų maždaug tokios:</w:t>
            </w:r>
          </w:p>
          <w:p>
            <w:pPr>
              <w:pStyle w:val="ListParagraph"/>
              <w:numPr>
                <w:ilvl w:val="0"/>
                <w:numId w:val="33"/>
              </w:numPr>
              <w:spacing w:after="120" w:afterAutospacing="0"/>
              <w:ind w:left="850" w:hanging="425"/>
              <w:rPr>
                <w:rFonts w:ascii="Arial" w:hAnsi="Arial" w:cs="Arial"/>
                <w:noProof/>
              </w:rPr>
            </w:pPr>
            <w:r>
              <w:rPr>
                <w:rFonts w:ascii="Arial" w:hAnsi="Arial"/>
                <w:noProof/>
              </w:rPr>
              <w:t>tiekėjams: 127 mln. EUR per metus; vienkartinės 40 mln. EUR išlaidos;</w:t>
            </w:r>
          </w:p>
          <w:p>
            <w:pPr>
              <w:pStyle w:val="ListParagraph"/>
              <w:numPr>
                <w:ilvl w:val="0"/>
                <w:numId w:val="33"/>
              </w:numPr>
              <w:spacing w:after="120" w:afterAutospacing="0"/>
              <w:ind w:left="850" w:hanging="425"/>
              <w:rPr>
                <w:rFonts w:ascii="Arial" w:hAnsi="Arial" w:cs="Arial"/>
                <w:noProof/>
              </w:rPr>
            </w:pPr>
            <w:r>
              <w:rPr>
                <w:rFonts w:ascii="Arial" w:hAnsi="Arial"/>
                <w:noProof/>
              </w:rPr>
              <w:t>platintojams: 50 mln. EUR per metus; vienkartinės 30 mln. EUR išlaidos;</w:t>
            </w:r>
          </w:p>
          <w:p>
            <w:pPr>
              <w:pStyle w:val="ListParagraph"/>
              <w:numPr>
                <w:ilvl w:val="0"/>
                <w:numId w:val="33"/>
              </w:numPr>
              <w:spacing w:after="120" w:afterAutospacing="0"/>
              <w:ind w:left="850" w:hanging="425"/>
              <w:rPr>
                <w:rFonts w:ascii="Arial" w:hAnsi="Arial" w:cs="Arial"/>
                <w:noProof/>
              </w:rPr>
            </w:pPr>
            <w:r>
              <w:rPr>
                <w:rFonts w:ascii="Arial" w:hAnsi="Arial"/>
                <w:noProof/>
              </w:rPr>
              <w:t xml:space="preserve">valstybėms narėms: 20 000 EUR per metus; vienkartinės 13 mln. EUR išlaidos ir </w:t>
            </w:r>
          </w:p>
          <w:p>
            <w:pPr>
              <w:pStyle w:val="ListParagraph"/>
              <w:numPr>
                <w:ilvl w:val="0"/>
                <w:numId w:val="33"/>
              </w:numPr>
              <w:spacing w:after="120" w:afterAutospacing="0"/>
              <w:ind w:left="851" w:hanging="425"/>
              <w:contextualSpacing w:val="0"/>
              <w:rPr>
                <w:rFonts w:ascii="Arial" w:hAnsi="Arial" w:cs="Arial"/>
                <w:i/>
                <w:noProof/>
              </w:rPr>
            </w:pPr>
            <w:r>
              <w:rPr>
                <w:rFonts w:ascii="Arial" w:hAnsi="Arial"/>
                <w:noProof/>
              </w:rPr>
              <w:t>Komisijai: 0,5–1 mln. EUR per metus; vienkartinės 2,1 mln. EUR išlaidos.</w:t>
            </w:r>
          </w:p>
          <w:p>
            <w:pPr>
              <w:pStyle w:val="ListParagraph"/>
              <w:spacing w:after="120" w:afterAutospacing="0"/>
              <w:ind w:left="0"/>
              <w:contextualSpacing w:val="0"/>
              <w:rPr>
                <w:rFonts w:ascii="Arial" w:hAnsi="Arial" w:cs="Arial"/>
                <w:i/>
                <w:noProof/>
              </w:rPr>
            </w:pPr>
            <w:r>
              <w:rPr>
                <w:rFonts w:ascii="Arial" w:hAnsi="Arial"/>
                <w:noProof/>
              </w:rPr>
              <w:t>Atsižvelgiant į tai, kad laikytis reikalavimų yra privaloma, tiekėjai ir platintojai turėtų turėti galimybę perleisti tas sąnaudas vartotojams, o jų sąnaudas daugiau nei kompensuotų gauta finansinė nauda. Kitokio neigiamo poveikio nėra.</w:t>
            </w:r>
          </w:p>
        </w:tc>
      </w:tr>
      <w:tr>
        <w:tc>
          <w:tcPr>
            <w:tcW w:w="9708" w:type="dxa"/>
            <w:tcBorders>
              <w:bottom w:val="single" w:sz="4" w:space="0" w:color="auto"/>
            </w:tcBorders>
            <w:shd w:val="clear" w:color="auto" w:fill="E6E6E6"/>
          </w:tcPr>
          <w:p>
            <w:pPr>
              <w:spacing w:after="120" w:afterAutospacing="0"/>
              <w:rPr>
                <w:rFonts w:ascii="Tahoma" w:hAnsi="Tahoma" w:cs="Tahoma"/>
                <w:noProof/>
              </w:rPr>
            </w:pPr>
            <w:r>
              <w:rPr>
                <w:rFonts w:ascii="Tahoma" w:hAnsi="Tahoma"/>
                <w:b/>
                <w:noProof/>
              </w:rPr>
              <w:t xml:space="preserve">Koks bus poveikis verslui, MVĮ ir labai mažoms įmonėms? </w:t>
            </w:r>
          </w:p>
        </w:tc>
      </w:tr>
      <w:tr>
        <w:tc>
          <w:tcPr>
            <w:tcW w:w="9708" w:type="dxa"/>
            <w:tcBorders>
              <w:bottom w:val="single" w:sz="4" w:space="0" w:color="auto"/>
            </w:tcBorders>
            <w:shd w:val="clear" w:color="auto" w:fill="auto"/>
          </w:tcPr>
          <w:p>
            <w:pPr>
              <w:spacing w:after="120" w:afterAutospacing="0"/>
              <w:rPr>
                <w:rFonts w:ascii="Arial" w:hAnsi="Arial" w:cs="Arial"/>
                <w:i/>
                <w:noProof/>
              </w:rPr>
            </w:pPr>
            <w:r>
              <w:rPr>
                <w:rFonts w:ascii="Arial" w:hAnsi="Arial"/>
                <w:noProof/>
              </w:rPr>
              <w:t>ES nėra padangas gaminančių MVĮ. MVĮ, kurios yra mažmeninės padangų pardavėjos ir importuotojos, galėtų patirti papildomų išlaidų, visų pirma dėl prievolės matomai pateikti ženklą, kai padangomis prekiaujama internetu. Tačiau pasiūlymu nekeičiama su gaminiais susijusi galiojančio reglamento taikymo sritis ir nesukuriama prievolių teikti naujos informacijos. Todėl manoma, kad didelių įgyvendinimo sąnaudų nebus. Kaip galutinės padangų naudotojos, MVĮ gaus naudos dėl mažesnių sąnaudų per padangų eksploatavimo laiką ir didesnės saugos darbuotojams.</w:t>
            </w:r>
          </w:p>
        </w:tc>
      </w:tr>
      <w:tr>
        <w:tc>
          <w:tcPr>
            <w:tcW w:w="9708" w:type="dxa"/>
            <w:tcBorders>
              <w:bottom w:val="single" w:sz="4" w:space="0" w:color="auto"/>
            </w:tcBorders>
            <w:shd w:val="clear" w:color="auto" w:fill="E6E6E6"/>
          </w:tcPr>
          <w:p>
            <w:pPr>
              <w:spacing w:after="120" w:afterAutospacing="0"/>
              <w:rPr>
                <w:rFonts w:ascii="Tahoma" w:hAnsi="Tahoma" w:cs="Tahoma"/>
                <w:b/>
                <w:i/>
                <w:noProof/>
              </w:rPr>
            </w:pPr>
            <w:r>
              <w:rPr>
                <w:rFonts w:ascii="Tahoma" w:hAnsi="Tahoma"/>
                <w:b/>
                <w:noProof/>
              </w:rPr>
              <w:t>Ar tai turės didelį poveikį nacionaliniams biudžetams ir administravimo subjektams?</w:t>
            </w:r>
            <w:r>
              <w:rPr>
                <w:rFonts w:ascii="Tahoma" w:hAnsi="Tahoma"/>
                <w:noProof/>
              </w:rPr>
              <w:t xml:space="preserve"> </w:t>
            </w:r>
          </w:p>
        </w:tc>
      </w:tr>
      <w:tr>
        <w:tc>
          <w:tcPr>
            <w:tcW w:w="9708" w:type="dxa"/>
            <w:shd w:val="clear" w:color="auto" w:fill="auto"/>
          </w:tcPr>
          <w:p>
            <w:pPr>
              <w:spacing w:after="120" w:afterAutospacing="0"/>
              <w:rPr>
                <w:rFonts w:ascii="Arial" w:hAnsi="Arial" w:cs="Arial"/>
                <w:noProof/>
              </w:rPr>
            </w:pPr>
            <w:r>
              <w:rPr>
                <w:rFonts w:ascii="Arial" w:hAnsi="Arial"/>
                <w:noProof/>
              </w:rPr>
              <w:t>Be pirmiau minėtų dalykų, nacionaliniams biudžetams ir administravimo subjektams papildomo poveikio nebus.</w:t>
            </w:r>
          </w:p>
        </w:tc>
      </w:tr>
      <w:tr>
        <w:tc>
          <w:tcPr>
            <w:tcW w:w="9708" w:type="dxa"/>
            <w:tcBorders>
              <w:bottom w:val="single" w:sz="4" w:space="0" w:color="auto"/>
            </w:tcBorders>
            <w:shd w:val="clear" w:color="auto" w:fill="E6E6E6"/>
          </w:tcPr>
          <w:p>
            <w:pPr>
              <w:spacing w:after="120" w:afterAutospacing="0"/>
              <w:rPr>
                <w:rFonts w:ascii="Tahoma" w:hAnsi="Tahoma" w:cs="Tahoma"/>
                <w:noProof/>
              </w:rPr>
            </w:pPr>
            <w:r>
              <w:rPr>
                <w:rFonts w:ascii="Tahoma" w:hAnsi="Tahoma"/>
                <w:b/>
                <w:noProof/>
              </w:rPr>
              <w:t>Ar bus dar koks nors didelis poveikis?</w:t>
            </w:r>
            <w:r>
              <w:rPr>
                <w:rFonts w:ascii="Tahoma" w:hAnsi="Tahoma"/>
                <w:noProof/>
              </w:rPr>
              <w:t xml:space="preserve"> </w:t>
            </w:r>
          </w:p>
        </w:tc>
      </w:tr>
      <w:tr>
        <w:tc>
          <w:tcPr>
            <w:tcW w:w="9708" w:type="dxa"/>
            <w:tcBorders>
              <w:bottom w:val="single" w:sz="4" w:space="0" w:color="auto"/>
            </w:tcBorders>
            <w:shd w:val="clear" w:color="auto" w:fill="auto"/>
          </w:tcPr>
          <w:p>
            <w:pPr>
              <w:spacing w:after="120" w:afterAutospacing="0"/>
              <w:rPr>
                <w:rFonts w:ascii="Arial" w:hAnsi="Arial" w:cs="Arial"/>
                <w:noProof/>
              </w:rPr>
            </w:pPr>
            <w:r>
              <w:rPr>
                <w:rFonts w:ascii="Arial" w:hAnsi="Arial"/>
                <w:noProof/>
              </w:rPr>
              <w:t>Taip, tikimasi, kad tinkamiausia galimybė padarys teigiamą poveikį ES padangų rinkos konkurencingumui ir inovacijoms (žr. PV ataskaitos 6.4 skirsnį).</w:t>
            </w:r>
          </w:p>
        </w:tc>
      </w:tr>
      <w:tr>
        <w:tc>
          <w:tcPr>
            <w:tcW w:w="9708" w:type="dxa"/>
            <w:tcBorders>
              <w:bottom w:val="single" w:sz="4" w:space="0" w:color="auto"/>
            </w:tcBorders>
            <w:shd w:val="clear" w:color="auto" w:fill="C0C0C0"/>
          </w:tcPr>
          <w:p>
            <w:pPr>
              <w:spacing w:after="120" w:afterAutospacing="0"/>
              <w:jc w:val="center"/>
              <w:rPr>
                <w:rFonts w:ascii="Tahoma" w:hAnsi="Tahoma" w:cs="Tahoma"/>
                <w:b/>
                <w:noProof/>
                <w:sz w:val="22"/>
                <w:szCs w:val="22"/>
              </w:rPr>
            </w:pPr>
            <w:r>
              <w:rPr>
                <w:rFonts w:ascii="Tahoma" w:hAnsi="Tahoma"/>
                <w:b/>
                <w:noProof/>
                <w:sz w:val="22"/>
              </w:rPr>
              <w:t>D. Tolesni veiksmai</w:t>
            </w:r>
          </w:p>
        </w:tc>
      </w:tr>
      <w:tr>
        <w:tc>
          <w:tcPr>
            <w:tcW w:w="9708" w:type="dxa"/>
            <w:tcBorders>
              <w:bottom w:val="single" w:sz="4" w:space="0" w:color="auto"/>
            </w:tcBorders>
            <w:shd w:val="clear" w:color="auto" w:fill="E6E6E6"/>
          </w:tcPr>
          <w:p>
            <w:pPr>
              <w:spacing w:after="120" w:afterAutospacing="0"/>
              <w:rPr>
                <w:rFonts w:ascii="Tahoma" w:hAnsi="Tahoma" w:cs="Tahoma"/>
                <w:noProof/>
              </w:rPr>
            </w:pPr>
            <w:r>
              <w:rPr>
                <w:rFonts w:ascii="Tahoma" w:hAnsi="Tahoma"/>
                <w:b/>
                <w:noProof/>
              </w:rPr>
              <w:t>Kada politika bus persvarstoma?</w:t>
            </w:r>
          </w:p>
        </w:tc>
      </w:tr>
      <w:tr>
        <w:tc>
          <w:tcPr>
            <w:tcW w:w="9708" w:type="dxa"/>
            <w:tcBorders>
              <w:bottom w:val="single" w:sz="4" w:space="0" w:color="auto"/>
            </w:tcBorders>
            <w:shd w:val="clear" w:color="auto" w:fill="auto"/>
          </w:tcPr>
          <w:p>
            <w:pPr>
              <w:spacing w:after="120" w:afterAutospacing="0"/>
              <w:rPr>
                <w:rFonts w:ascii="Tahoma" w:hAnsi="Tahoma" w:cs="Tahoma"/>
                <w:noProof/>
              </w:rPr>
            </w:pPr>
            <w:r>
              <w:rPr>
                <w:rFonts w:ascii="Tahoma" w:hAnsi="Tahoma"/>
                <w:noProof/>
              </w:rPr>
              <w:t>Būtų įtraukta nuostata, kad persvarstymas vyktų praėjus šešeriems metams po priėmimo.</w:t>
            </w:r>
          </w:p>
        </w:tc>
      </w:tr>
    </w:tbl>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8A68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9768C0"/>
    <w:multiLevelType w:val="multilevel"/>
    <w:tmpl w:val="54C6B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751731"/>
    <w:multiLevelType w:val="hybridMultilevel"/>
    <w:tmpl w:val="E190054A"/>
    <w:lvl w:ilvl="0" w:tplc="5C24634E">
      <w:start w:val="1"/>
      <w:numFmt w:val="decimal"/>
      <w:lvlText w:val="%1."/>
      <w:lvlJc w:val="left"/>
      <w:pPr>
        <w:ind w:left="1080" w:hanging="360"/>
      </w:pPr>
      <w:rPr>
        <w:rFonts w:ascii="Times New Roman Bold" w:hAnsi="Times New Roman Bold"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4064DF"/>
    <w:multiLevelType w:val="multilevel"/>
    <w:tmpl w:val="3D66F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3214D7"/>
    <w:multiLevelType w:val="hybridMultilevel"/>
    <w:tmpl w:val="6FC07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875606"/>
    <w:multiLevelType w:val="multilevel"/>
    <w:tmpl w:val="2E02551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A47F21"/>
    <w:multiLevelType w:val="singleLevel"/>
    <w:tmpl w:val="E632BF7E"/>
    <w:lvl w:ilvl="0">
      <w:start w:val="1"/>
      <w:numFmt w:val="bullet"/>
      <w:pStyle w:val="ListBulletlast"/>
      <w:lvlText w:val=""/>
      <w:lvlJc w:val="left"/>
      <w:pPr>
        <w:ind w:left="360" w:hanging="360"/>
      </w:pPr>
      <w:rPr>
        <w:rFonts w:ascii="Symbol" w:hAnsi="Symbol" w:hint="default"/>
        <w:color w:val="002060"/>
      </w:rPr>
    </w:lvl>
  </w:abstractNum>
  <w:abstractNum w:abstractNumId="7">
    <w:nsid w:val="23BE5FA8"/>
    <w:multiLevelType w:val="hybridMultilevel"/>
    <w:tmpl w:val="ED34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D16F5"/>
    <w:multiLevelType w:val="multilevel"/>
    <w:tmpl w:val="D8BAEBA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070C1B"/>
    <w:multiLevelType w:val="hybridMultilevel"/>
    <w:tmpl w:val="5AC471F0"/>
    <w:lvl w:ilvl="0" w:tplc="A314B902">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0D6446"/>
    <w:multiLevelType w:val="hybridMultilevel"/>
    <w:tmpl w:val="516C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2400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8E3D8D"/>
    <w:multiLevelType w:val="hybridMultilevel"/>
    <w:tmpl w:val="F190E6D8"/>
    <w:lvl w:ilvl="0" w:tplc="0809000F">
      <w:start w:val="1"/>
      <w:numFmt w:val="decimal"/>
      <w:lvlText w:val="%1."/>
      <w:lvlJc w:val="left"/>
      <w:pPr>
        <w:ind w:left="360" w:hanging="360"/>
      </w:p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3">
    <w:nsid w:val="4B025C8D"/>
    <w:multiLevelType w:val="hybridMultilevel"/>
    <w:tmpl w:val="F2B8074A"/>
    <w:lvl w:ilvl="0" w:tplc="025E4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095F76"/>
    <w:multiLevelType w:val="hybridMultilevel"/>
    <w:tmpl w:val="0534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A23C39"/>
    <w:multiLevelType w:val="hybridMultilevel"/>
    <w:tmpl w:val="21006DAE"/>
    <w:lvl w:ilvl="0" w:tplc="A1443C2E">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nsid w:val="65E2630A"/>
    <w:multiLevelType w:val="hybridMultilevel"/>
    <w:tmpl w:val="6D105DF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2058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4233697"/>
    <w:multiLevelType w:val="multilevel"/>
    <w:tmpl w:val="EDCA1094"/>
    <w:lvl w:ilvl="0">
      <w:start w:val="1"/>
      <w:numFmt w:val="decimal"/>
      <w:pStyle w:val="Heading1"/>
      <w:lvlText w:val="%1"/>
      <w:lvlJc w:val="left"/>
      <w:pPr>
        <w:ind w:left="716" w:hanging="432"/>
      </w:pPr>
      <w:rPr>
        <w:rFonts w:hint="default"/>
      </w:rPr>
    </w:lvl>
    <w:lvl w:ilvl="1">
      <w:start w:val="1"/>
      <w:numFmt w:val="decimal"/>
      <w:lvlText w:val="%1.%2"/>
      <w:lvlJc w:val="left"/>
      <w:pPr>
        <w:ind w:left="576" w:hanging="576"/>
      </w:pPr>
      <w:rPr>
        <w:rFonts w:hint="default"/>
        <w:lang w:val="en-GB"/>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778B6E15"/>
    <w:multiLevelType w:val="hybridMultilevel"/>
    <w:tmpl w:val="B5FCFD82"/>
    <w:lvl w:ilvl="0" w:tplc="A790B3C8">
      <w:start w:val="10"/>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3"/>
  </w:num>
  <w:num w:numId="4">
    <w:abstractNumId w:val="5"/>
  </w:num>
  <w:num w:numId="5">
    <w:abstractNumId w:val="13"/>
  </w:num>
  <w:num w:numId="6">
    <w:abstractNumId w:val="9"/>
  </w:num>
  <w:num w:numId="7">
    <w:abstractNumId w:val="2"/>
  </w:num>
  <w:num w:numId="8">
    <w:abstractNumId w:val="3"/>
  </w:num>
  <w:num w:numId="9">
    <w:abstractNumId w:val="1"/>
  </w:num>
  <w:num w:numId="10">
    <w:abstractNumId w:val="3"/>
  </w:num>
  <w:num w:numId="11">
    <w:abstractNumId w:val="1"/>
  </w:num>
  <w:num w:numId="12">
    <w:abstractNumId w:val="3"/>
  </w:num>
  <w:num w:numId="13">
    <w:abstractNumId w:val="1"/>
  </w:num>
  <w:num w:numId="14">
    <w:abstractNumId w:val="18"/>
  </w:num>
  <w:num w:numId="15">
    <w:abstractNumId w:val="18"/>
  </w:num>
  <w:num w:numId="16">
    <w:abstractNumId w:val="0"/>
  </w:num>
  <w:num w:numId="17">
    <w:abstractNumId w:val="6"/>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6"/>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10"/>
  </w:num>
  <w:num w:numId="32">
    <w:abstractNumId w:val="14"/>
  </w:num>
  <w:num w:numId="33">
    <w:abstractNumId w:val="7"/>
  </w:num>
  <w:num w:numId="34">
    <w:abstractNumId w:val="17"/>
  </w:num>
  <w:num w:numId="35">
    <w:abstractNumId w:val="15"/>
  </w:num>
  <w:num w:numId="36">
    <w:abstractNumId w:val="11"/>
  </w:num>
  <w:num w:numId="37">
    <w:abstractNumId w:val="16"/>
  </w:num>
  <w:num w:numId="38">
    <w:abstractNumId w:val="19"/>
  </w:num>
  <w:num w:numId="39">
    <w:abstractNumId w:val="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dedamas prie"/>
    <w:docVar w:name="LW_CORRIGENDUM" w:val="&lt;UNUSED&gt;"/>
    <w:docVar w:name="LW_COVERPAGE_EXISTS" w:val="True"/>
    <w:docVar w:name="LW_COVERPAGE_GUID" w:val="C43A2DA2-E40A-4F39-8B01-2F384A8B5B3F"/>
    <w:docVar w:name="LW_COVERPAGE_TYPE" w:val="1"/>
    <w:docVar w:name="LW_CROSSREFERENCE" w:val="{COM(2018) 296 final}_x000b_{SEC(2018) 234 final}_x000b_{SWD(2018) 189 final}"/>
    <w:docVar w:name="LW_DocType" w:val="NORMAL"/>
    <w:docVar w:name="LW_EMISSION" w:val="2018 05 17"/>
    <w:docVar w:name="LW_EMISSION_ISODATE" w:val="2018-05-17"/>
    <w:docVar w:name="LW_EMISSION_LOCATION" w:val="BRX"/>
    <w:docVar w:name="LW_EMISSION_PREFIX" w:val="Briuselis, "/>
    <w:docVar w:name="LW_EMISSION_SUFFIX" w:val="&lt;EMPTY&gt;"/>
    <w:docVar w:name="LW_ID_DOCTYPE_NONLW" w:val="CP-027"/>
    <w:docVar w:name="LW_LANGUE" w:val="LT"/>
    <w:docVar w:name="LW_LEVEL_OF_SENSITIVITY" w:val="Standard treatment"/>
    <w:docVar w:name="LW_NOM.INST" w:val="EUROPOS KOMISIJA"/>
    <w:docVar w:name="LW_NOM.INST_JOINTDOC" w:val="&lt;EMPTY&gt;"/>
    <w:docVar w:name="LW_OBJETACTEPRINCIPAL.CP" w:val="d\u279?l padang\u371? \u382?enklinimo pagal degal\u371? naudojimo efektyvum\u261? ir kitus esminius parametrus, kuriuo panaikinamas Reglamentas (EB) Nr. 1222/2009 "/>
    <w:docVar w:name="LW_PART_NBR" w:val="1"/>
    <w:docVar w:name="LW_PART_NBR_TOTAL" w:val="1"/>
    <w:docVar w:name="LW_REF.INST.NEW" w:val="SWD"/>
    <w:docVar w:name="LW_REF.INST.NEW_ADOPTED" w:val="final"/>
    <w:docVar w:name="LW_REF.INST.NEW_TEXT" w:val="(2018) 1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KOMISIJOS TARNYB\u370? DARBINIS DOKUMENTAS_x000b__x000b_POVEIKIO VERTINIMO SANTRAUKA_x000b_"/>
    <w:docVar w:name="LW_TYPEACTEPRINCIPAL.CP" w:val="Pasi\u363?lymo d\u279?l Europos Parlamento ir Tarybos reglamento"/>
    <w:docVar w:name="Stamp" w:val="\\dossiers.dgt.cec.eu.int\dossiers\ENER\ENER-2018-00336\ENER-2018-00336-00-01-EN-EDT-00.201804171443305384158.DOCX"/>
  </w:docVar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semiHidden="0" w:unhideWhenUsed="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spacing w:before="240" w:after="24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lt-LT"/>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lt-LT"/>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
    <w:basedOn w:val="Normal"/>
    <w:next w:val="Normal"/>
    <w:link w:val="CaptionChar"/>
    <w:uiPriority w:val="99"/>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nhideWhenUsed/>
    <w:qFormat/>
    <w:pPr>
      <w:keepLines/>
      <w:numPr>
        <w:numId w:val="0"/>
      </w:numPr>
      <w:spacing w:before="480" w:after="0" w:line="276" w:lineRule="auto"/>
      <w:outlineLvl w:val="9"/>
    </w:pPr>
    <w:rPr>
      <w:rFonts w:eastAsia="MS Gothic" w:cs="Times New Roman"/>
      <w:color w:val="365F91"/>
      <w:kern w:val="0"/>
      <w:sz w:val="28"/>
      <w:szCs w:val="28"/>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lt-LT"/>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lt-LT"/>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rPr>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semiHidden="0" w:unhideWhenUsed="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spacing w:before="240" w:after="24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lt-LT"/>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lt-LT"/>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
    <w:basedOn w:val="Normal"/>
    <w:next w:val="Normal"/>
    <w:link w:val="CaptionChar"/>
    <w:uiPriority w:val="99"/>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nhideWhenUsed/>
    <w:qFormat/>
    <w:pPr>
      <w:keepLines/>
      <w:numPr>
        <w:numId w:val="0"/>
      </w:numPr>
      <w:spacing w:before="480" w:after="0" w:line="276" w:lineRule="auto"/>
      <w:outlineLvl w:val="9"/>
    </w:pPr>
    <w:rPr>
      <w:rFonts w:eastAsia="MS Gothic" w:cs="Times New Roman"/>
      <w:color w:val="365F91"/>
      <w:kern w:val="0"/>
      <w:sz w:val="28"/>
      <w:szCs w:val="28"/>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lt-LT"/>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lt-LT"/>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rPr>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902</Words>
  <Characters>6074</Characters>
  <Application>Microsoft Office Word</Application>
  <DocSecurity>0</DocSecurity>
  <Lines>102</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dcterms:created xsi:type="dcterms:W3CDTF">2018-04-23T07:50:00Z</dcterms:created>
  <dcterms:modified xsi:type="dcterms:W3CDTF">2018-06-04T08:49:00Z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