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E4" w:rsidRDefault="00DC29E4" w:rsidP="00377253">
      <w:pPr>
        <w:pStyle w:val="PS-hlavika1"/>
      </w:pPr>
      <w:bookmarkStart w:id="0" w:name="_GoBack"/>
      <w:bookmarkEnd w:id="0"/>
      <w:r>
        <w:t>Parlament České republiky</w:t>
      </w:r>
    </w:p>
    <w:p w:rsidR="00DC29E4" w:rsidRDefault="00DC29E4" w:rsidP="000E730C">
      <w:pPr>
        <w:pStyle w:val="PS-hlavika2"/>
      </w:pPr>
      <w:r>
        <w:t>POSLANECKÁ SNĚMOVNA</w:t>
      </w:r>
    </w:p>
    <w:p w:rsidR="00DC29E4" w:rsidRDefault="00EF0C30" w:rsidP="000E730C">
      <w:pPr>
        <w:pStyle w:val="PS-hlavika2"/>
      </w:pPr>
      <w:r>
        <w:t>2018</w:t>
      </w:r>
    </w:p>
    <w:p w:rsidR="00DC29E4" w:rsidRDefault="00EF0C30" w:rsidP="00377253">
      <w:pPr>
        <w:pStyle w:val="PS-hlavika1"/>
      </w:pPr>
      <w:r>
        <w:t>8</w:t>
      </w:r>
      <w:r w:rsidR="00DC29E4">
        <w:t>. volební období</w:t>
      </w:r>
    </w:p>
    <w:p w:rsidR="00DC29E4" w:rsidRDefault="00702F52" w:rsidP="000E730C">
      <w:pPr>
        <w:pStyle w:val="PS-slousnesen"/>
      </w:pPr>
      <w:r>
        <w:t>102</w:t>
      </w:r>
      <w:r w:rsidR="00656C37">
        <w:t>.</w:t>
      </w:r>
    </w:p>
    <w:p w:rsidR="00DC29E4" w:rsidRDefault="00DC29E4" w:rsidP="00903269">
      <w:pPr>
        <w:pStyle w:val="PS-hlavika3"/>
      </w:pPr>
      <w:r>
        <w:t>USNESENÍ</w:t>
      </w:r>
    </w:p>
    <w:p w:rsidR="00DC29E4" w:rsidRDefault="005C30D7" w:rsidP="00377253">
      <w:pPr>
        <w:pStyle w:val="PS-hlavika1"/>
      </w:pPr>
      <w:r>
        <w:t>výboru</w:t>
      </w:r>
      <w:r w:rsidR="00136646">
        <w:t xml:space="preserve"> pro evropské záležitosti</w:t>
      </w:r>
    </w:p>
    <w:p w:rsidR="00DC29E4" w:rsidRDefault="00DC29E4" w:rsidP="00377253">
      <w:pPr>
        <w:pStyle w:val="PS-hlavika1"/>
      </w:pPr>
      <w:r>
        <w:t xml:space="preserve">z </w:t>
      </w:r>
      <w:r w:rsidR="00D92F8B">
        <w:t>13</w:t>
      </w:r>
      <w:r>
        <w:t>. schůze</w:t>
      </w:r>
    </w:p>
    <w:p w:rsidR="00DC29E4" w:rsidRDefault="00DC29E4" w:rsidP="00377253">
      <w:pPr>
        <w:pStyle w:val="PS-hlavika1"/>
      </w:pPr>
      <w:r>
        <w:t xml:space="preserve">ze dne </w:t>
      </w:r>
      <w:r w:rsidR="00D92F8B">
        <w:t>6. června</w:t>
      </w:r>
      <w:r w:rsidR="00EF0C30">
        <w:t xml:space="preserve"> 2018</w:t>
      </w:r>
    </w:p>
    <w:p w:rsidR="00136646" w:rsidRDefault="00136646" w:rsidP="00136646">
      <w:pPr>
        <w:pStyle w:val="Bezmezer"/>
      </w:pPr>
    </w:p>
    <w:p w:rsidR="00136646" w:rsidRDefault="00136646" w:rsidP="00136646">
      <w:pPr>
        <w:pStyle w:val="Bezmezer"/>
      </w:pPr>
    </w:p>
    <w:p w:rsidR="00D92F8B" w:rsidRDefault="00D92F8B" w:rsidP="00D92F8B">
      <w:pPr>
        <w:widowControl w:val="0"/>
        <w:suppressAutoHyphens/>
        <w:autoSpaceDN w:val="0"/>
        <w:spacing w:after="0" w:line="240" w:lineRule="auto"/>
        <w:contextualSpacing/>
        <w:jc w:val="both"/>
        <w:textAlignment w:val="baseline"/>
        <w:rPr>
          <w:rFonts w:ascii="Times New Roman" w:eastAsia="SimSun" w:hAnsi="Times New Roman" w:cs="Mangal"/>
          <w:kern w:val="3"/>
          <w:sz w:val="24"/>
          <w:szCs w:val="21"/>
          <w:lang w:eastAsia="zh-CN" w:bidi="hi-IN"/>
        </w:rPr>
      </w:pPr>
    </w:p>
    <w:p w:rsidR="008035AD" w:rsidRDefault="00D92F8B" w:rsidP="008035AD">
      <w:pPr>
        <w:widowControl w:val="0"/>
        <w:suppressAutoHyphens/>
        <w:autoSpaceDN w:val="0"/>
        <w:spacing w:after="0" w:line="240" w:lineRule="auto"/>
        <w:contextualSpacing/>
        <w:jc w:val="center"/>
        <w:textAlignment w:val="baseline"/>
        <w:rPr>
          <w:rFonts w:ascii="Times New Roman" w:eastAsia="SimSun" w:hAnsi="Times New Roman" w:cs="Mangal"/>
          <w:kern w:val="3"/>
          <w:sz w:val="24"/>
          <w:szCs w:val="21"/>
          <w:lang w:eastAsia="zh-CN" w:bidi="hi-IN"/>
        </w:rPr>
      </w:pPr>
      <w:r>
        <w:rPr>
          <w:rFonts w:ascii="Times New Roman" w:eastAsia="SimSun" w:hAnsi="Times New Roman" w:cs="Mangal"/>
          <w:kern w:val="3"/>
          <w:sz w:val="24"/>
          <w:szCs w:val="21"/>
          <w:lang w:eastAsia="zh-CN" w:bidi="hi-IN"/>
        </w:rPr>
        <w:t>k</w:t>
      </w:r>
      <w:r w:rsidR="00BE2B74">
        <w:rPr>
          <w:rFonts w:ascii="Times New Roman" w:eastAsia="SimSun" w:hAnsi="Times New Roman" w:cs="Mangal"/>
          <w:kern w:val="3"/>
          <w:sz w:val="24"/>
          <w:szCs w:val="21"/>
          <w:lang w:eastAsia="zh-CN" w:bidi="hi-IN"/>
        </w:rPr>
        <w:t>e</w:t>
      </w:r>
      <w:r w:rsidR="00916812">
        <w:rPr>
          <w:rFonts w:ascii="Times New Roman" w:eastAsia="SimSun" w:hAnsi="Times New Roman" w:cs="Mangal"/>
          <w:kern w:val="3"/>
          <w:sz w:val="24"/>
          <w:szCs w:val="21"/>
          <w:lang w:eastAsia="zh-CN" w:bidi="hi-IN"/>
        </w:rPr>
        <w:t xml:space="preserve"> </w:t>
      </w:r>
      <w:r w:rsidR="008035AD">
        <w:rPr>
          <w:rFonts w:ascii="Times New Roman" w:eastAsia="SimSun" w:hAnsi="Times New Roman" w:cs="Mangal"/>
          <w:kern w:val="3"/>
          <w:sz w:val="24"/>
          <w:szCs w:val="21"/>
          <w:lang w:eastAsia="zh-CN" w:bidi="hi-IN"/>
        </w:rPr>
        <w:t>sdělení Komise Evropskému parlamentu, Radě a Evropskému hospodářskému a sociálními výboru – Nová politika pro spotřebitele /kód dokumentu 7875/18, KOM(2018) 183 v konečném znění/</w:t>
      </w:r>
    </w:p>
    <w:p w:rsidR="008035AD" w:rsidRDefault="008035AD" w:rsidP="008035AD">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8035AD" w:rsidRDefault="008035AD" w:rsidP="008035AD">
      <w:pPr>
        <w:widowControl w:val="0"/>
        <w:suppressAutoHyphens/>
        <w:autoSpaceDN w:val="0"/>
        <w:spacing w:after="0" w:line="240" w:lineRule="auto"/>
        <w:contextualSpacing/>
        <w:jc w:val="center"/>
        <w:textAlignment w:val="baseline"/>
        <w:rPr>
          <w:rFonts w:ascii="Times New Roman" w:eastAsia="SimSun" w:hAnsi="Times New Roman" w:cs="Mangal"/>
          <w:kern w:val="3"/>
          <w:sz w:val="24"/>
          <w:szCs w:val="21"/>
          <w:lang w:eastAsia="zh-CN" w:bidi="hi-IN"/>
        </w:rPr>
      </w:pPr>
      <w:r>
        <w:rPr>
          <w:rFonts w:ascii="Times New Roman" w:eastAsia="SimSun" w:hAnsi="Times New Roman" w:cs="Mangal"/>
          <w:kern w:val="3"/>
          <w:sz w:val="24"/>
          <w:szCs w:val="21"/>
          <w:lang w:eastAsia="zh-CN" w:bidi="hi-IN"/>
        </w:rPr>
        <w:t>k návrhu směrnice Evropského parlamentu a Rady, kterou se mění směrnice Rady 93/13/EHS ze dne 5. dubna 1993, směrnice Evropského parlamentu a Rady 98/6/ES, směrnice Evropského parlamentu a Rady 2005/29/ES a směrnice Evropského parlamentu a Rady 2011/83/EU, pokud jde o lepší vymáhání a modernizaci právních předpisů EU na ochranu spotřebitele /kód dokumentu 7876/18, KOM(2018) 185 v konečném znění/</w:t>
      </w:r>
    </w:p>
    <w:p w:rsidR="008035AD" w:rsidRDefault="008035AD" w:rsidP="008035AD">
      <w:pPr>
        <w:widowControl w:val="0"/>
        <w:suppressAutoHyphens/>
        <w:autoSpaceDN w:val="0"/>
        <w:spacing w:after="0" w:line="240" w:lineRule="auto"/>
        <w:contextualSpacing/>
        <w:jc w:val="center"/>
        <w:textAlignment w:val="baseline"/>
        <w:rPr>
          <w:rFonts w:ascii="Times New Roman" w:eastAsia="SimSun" w:hAnsi="Times New Roman" w:cs="Mangal"/>
          <w:kern w:val="3"/>
          <w:sz w:val="24"/>
          <w:szCs w:val="21"/>
          <w:lang w:eastAsia="zh-CN" w:bidi="hi-IN"/>
        </w:rPr>
      </w:pPr>
    </w:p>
    <w:p w:rsidR="00D92F8B" w:rsidRPr="00AA325E" w:rsidRDefault="008035AD" w:rsidP="008035AD">
      <w:pPr>
        <w:widowControl w:val="0"/>
        <w:suppressAutoHyphens/>
        <w:autoSpaceDN w:val="0"/>
        <w:spacing w:after="0" w:line="240" w:lineRule="auto"/>
        <w:contextualSpacing/>
        <w:jc w:val="center"/>
        <w:textAlignment w:val="baseline"/>
        <w:rPr>
          <w:rFonts w:ascii="Times New Roman" w:eastAsia="SimSun" w:hAnsi="Times New Roman" w:cs="Mangal"/>
          <w:kern w:val="3"/>
          <w:sz w:val="24"/>
          <w:szCs w:val="21"/>
          <w:lang w:eastAsia="zh-CN" w:bidi="hi-IN"/>
        </w:rPr>
      </w:pPr>
      <w:r>
        <w:rPr>
          <w:rFonts w:ascii="Times New Roman" w:eastAsia="SimSun" w:hAnsi="Times New Roman" w:cs="Mangal"/>
          <w:kern w:val="3"/>
          <w:sz w:val="24"/>
          <w:szCs w:val="21"/>
          <w:lang w:eastAsia="zh-CN" w:bidi="hi-IN"/>
        </w:rPr>
        <w:t>k návrhu směrnice Evropského parlamentu a Rady o zástupných žalobách na ochranu kolektivních zájmů spotřebitelů a o zrušení směrnice 2009/22/ES /kód dokumentu 7877/18, KOM(2018) 184 v konečném znění/</w:t>
      </w:r>
    </w:p>
    <w:p w:rsidR="00BA00F3" w:rsidRDefault="00BA00F3" w:rsidP="00BA00F3">
      <w:pPr>
        <w:pStyle w:val="PS-uvodnodstavec"/>
        <w:pBdr>
          <w:bottom w:val="single" w:sz="4" w:space="1" w:color="auto"/>
        </w:pBdr>
        <w:jc w:val="center"/>
      </w:pPr>
    </w:p>
    <w:p w:rsidR="00DC29E4" w:rsidRDefault="00136646" w:rsidP="00A46CDA">
      <w:pPr>
        <w:pStyle w:val="PS-uvodnodstavec"/>
      </w:pPr>
      <w:r>
        <w:t>V</w:t>
      </w:r>
      <w:r w:rsidR="00DC29E4">
        <w:t>ýbor</w:t>
      </w:r>
      <w:r>
        <w:t xml:space="preserve"> pro evropské záležitosti</w:t>
      </w:r>
      <w:r w:rsidR="00DC29E4">
        <w:t xml:space="preserve"> Poslanecké sněmovny Parlamentu ČR po vyslechnutí</w:t>
      </w:r>
      <w:r w:rsidR="00A93982">
        <w:t xml:space="preserve"> informace </w:t>
      </w:r>
      <w:r w:rsidR="007F7E05">
        <w:t>náměstka</w:t>
      </w:r>
      <w:r w:rsidR="00962EEE">
        <w:t xml:space="preserve"> ministra </w:t>
      </w:r>
      <w:r w:rsidR="008035AD">
        <w:t>průmyslu a obchodu</w:t>
      </w:r>
      <w:r w:rsidR="00962EEE">
        <w:t xml:space="preserve"> Ing. Mariana Piechy a </w:t>
      </w:r>
      <w:r w:rsidR="00492264">
        <w:t>náměst</w:t>
      </w:r>
      <w:r w:rsidR="00492264" w:rsidRPr="00492264">
        <w:t>k</w:t>
      </w:r>
      <w:r w:rsidR="00492264">
        <w:t>a</w:t>
      </w:r>
      <w:r w:rsidR="00492264" w:rsidRPr="00492264">
        <w:t xml:space="preserve"> ministra spravedlnosti Mgr. Michal</w:t>
      </w:r>
      <w:r w:rsidR="00492264">
        <w:t>a Fraňka</w:t>
      </w:r>
      <w:r>
        <w:t>, po vyslechnutí zpravodajské zprávy</w:t>
      </w:r>
      <w:r w:rsidR="00D92F8B">
        <w:t xml:space="preserve"> posl.</w:t>
      </w:r>
      <w:r w:rsidR="008035AD">
        <w:t xml:space="preserve"> Andrey Babišové</w:t>
      </w:r>
      <w:r w:rsidR="000F2553">
        <w:t xml:space="preserve"> </w:t>
      </w:r>
      <w:r w:rsidR="00DC29E4">
        <w:t>a po rozpravě</w:t>
      </w:r>
      <w:r w:rsidR="00492264">
        <w:t xml:space="preserve"> </w:t>
      </w:r>
    </w:p>
    <w:p w:rsidR="00D46ACA" w:rsidRDefault="00A93982" w:rsidP="00BE2B74">
      <w:pPr>
        <w:pStyle w:val="PS-slovanseznam"/>
        <w:numPr>
          <w:ilvl w:val="0"/>
          <w:numId w:val="0"/>
        </w:numPr>
      </w:pPr>
      <w:r>
        <w:rPr>
          <w:rStyle w:val="proloenChar"/>
        </w:rPr>
        <w:tab/>
      </w:r>
      <w:r w:rsidRPr="00A93982">
        <w:rPr>
          <w:rStyle w:val="proloenChar"/>
          <w:b/>
        </w:rPr>
        <w:t>schvaluje</w:t>
      </w:r>
      <w:r w:rsidR="002B60B3">
        <w:t xml:space="preserve"> </w:t>
      </w:r>
      <w:r>
        <w:t>stanovisko, které je přílohou tohoto usnesení.</w:t>
      </w:r>
    </w:p>
    <w:p w:rsidR="00106842" w:rsidRPr="00106842" w:rsidRDefault="00106842" w:rsidP="00893C29">
      <w:pPr>
        <w:keepNext/>
        <w:tabs>
          <w:tab w:val="center" w:pos="1701"/>
          <w:tab w:val="center" w:pos="4536"/>
          <w:tab w:val="center" w:pos="7371"/>
        </w:tabs>
        <w:spacing w:before="1000" w:after="0" w:line="240" w:lineRule="auto"/>
        <w:rPr>
          <w:rFonts w:ascii="Times New Roman" w:hAnsi="Times New Roman"/>
          <w:sz w:val="24"/>
        </w:rPr>
      </w:pPr>
      <w:r w:rsidRPr="00106842">
        <w:rPr>
          <w:rFonts w:ascii="Times New Roman" w:hAnsi="Times New Roman"/>
          <w:sz w:val="24"/>
        </w:rPr>
        <w:tab/>
      </w:r>
      <w:r w:rsidR="00702F52">
        <w:rPr>
          <w:rFonts w:ascii="Times New Roman" w:hAnsi="Times New Roman"/>
          <w:sz w:val="24"/>
        </w:rPr>
        <w:t>Jan Zahradník</w:t>
      </w:r>
      <w:r w:rsidRPr="00106842">
        <w:rPr>
          <w:rFonts w:ascii="Times New Roman" w:hAnsi="Times New Roman"/>
          <w:sz w:val="24"/>
        </w:rPr>
        <w:tab/>
        <w:t xml:space="preserve"> </w:t>
      </w:r>
      <w:r w:rsidR="00D92F8B">
        <w:rPr>
          <w:rFonts w:ascii="Times New Roman" w:hAnsi="Times New Roman"/>
          <w:sz w:val="24"/>
        </w:rPr>
        <w:tab/>
      </w:r>
      <w:r w:rsidR="008035AD">
        <w:rPr>
          <w:rFonts w:ascii="Times New Roman" w:hAnsi="Times New Roman"/>
          <w:sz w:val="24"/>
        </w:rPr>
        <w:t>Andrea Babišová</w:t>
      </w:r>
      <w:r w:rsidR="00D92F8B">
        <w:rPr>
          <w:rFonts w:ascii="Times New Roman" w:hAnsi="Times New Roman"/>
          <w:sz w:val="24"/>
        </w:rPr>
        <w:t xml:space="preserve"> </w:t>
      </w:r>
    </w:p>
    <w:p w:rsidR="00106842" w:rsidRPr="00106842" w:rsidRDefault="00106842" w:rsidP="00566A4C">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00254049">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r w:rsidR="008035AD">
        <w:rPr>
          <w:rFonts w:ascii="Times New Roman" w:hAnsi="Times New Roman"/>
          <w:sz w:val="24"/>
        </w:rPr>
        <w:t>ka</w:t>
      </w:r>
    </w:p>
    <w:p w:rsidR="00106842" w:rsidRPr="00254049" w:rsidRDefault="00106842" w:rsidP="00106842">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sidR="00D92F8B">
        <w:rPr>
          <w:rFonts w:ascii="Times New Roman" w:hAnsi="Times New Roman"/>
          <w:sz w:val="24"/>
        </w:rPr>
        <w:t>Mikuláš Peksa</w:t>
      </w:r>
      <w:r w:rsidRPr="00106842">
        <w:rPr>
          <w:rFonts w:ascii="Times New Roman" w:hAnsi="Times New Roman"/>
          <w:sz w:val="24"/>
        </w:rPr>
        <w:t xml:space="preserve"> </w:t>
      </w:r>
    </w:p>
    <w:p w:rsidR="00106842" w:rsidRDefault="00106842" w:rsidP="00106842">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sidR="00D92F8B">
        <w:rPr>
          <w:rFonts w:ascii="Times New Roman" w:hAnsi="Times New Roman"/>
          <w:sz w:val="24"/>
        </w:rPr>
        <w:t>místo</w:t>
      </w:r>
      <w:r w:rsidR="00B715B6">
        <w:rPr>
          <w:rFonts w:ascii="Times New Roman" w:hAnsi="Times New Roman"/>
          <w:sz w:val="24"/>
        </w:rPr>
        <w:t>p</w:t>
      </w:r>
      <w:r w:rsidRPr="00106842">
        <w:rPr>
          <w:rFonts w:ascii="Times New Roman" w:hAnsi="Times New Roman"/>
          <w:sz w:val="24"/>
        </w:rPr>
        <w:t>ředseda</w:t>
      </w:r>
    </w:p>
    <w:p w:rsidR="00B715B6" w:rsidRDefault="00B715B6" w:rsidP="00106842">
      <w:pPr>
        <w:tabs>
          <w:tab w:val="center" w:pos="1701"/>
          <w:tab w:val="center" w:pos="4536"/>
          <w:tab w:val="center" w:pos="7371"/>
        </w:tabs>
        <w:spacing w:after="0" w:line="240" w:lineRule="auto"/>
        <w:rPr>
          <w:rFonts w:ascii="Times New Roman" w:hAnsi="Times New Roman"/>
          <w:sz w:val="24"/>
        </w:rPr>
      </w:pPr>
    </w:p>
    <w:p w:rsidR="00D066DF" w:rsidRDefault="00D066DF" w:rsidP="00D066DF">
      <w:pPr>
        <w:spacing w:after="0" w:line="240" w:lineRule="auto"/>
        <w:rPr>
          <w:rFonts w:ascii="Times New Roman" w:hAnsi="Times New Roman"/>
          <w:sz w:val="24"/>
        </w:rPr>
        <w:sectPr w:rsidR="00D066DF" w:rsidSect="000C5278">
          <w:footerReference w:type="default" r:id="rId7"/>
          <w:pgSz w:w="11906" w:h="16838"/>
          <w:pgMar w:top="1134" w:right="1418" w:bottom="1418" w:left="1418" w:header="709" w:footer="709" w:gutter="0"/>
          <w:cols w:space="708"/>
          <w:docGrid w:linePitch="360"/>
        </w:sectPr>
      </w:pPr>
    </w:p>
    <w:p w:rsidR="003A1DF9" w:rsidRDefault="003A1DF9" w:rsidP="00D066DF">
      <w:pPr>
        <w:spacing w:after="0" w:line="240" w:lineRule="auto"/>
        <w:rPr>
          <w:rFonts w:ascii="Times New Roman" w:hAnsi="Times New Roman"/>
          <w:sz w:val="24"/>
        </w:rPr>
      </w:pPr>
      <w:r>
        <w:rPr>
          <w:rFonts w:ascii="Times New Roman" w:hAnsi="Times New Roman"/>
          <w:sz w:val="24"/>
        </w:rPr>
        <w:lastRenderedPageBreak/>
        <w:t xml:space="preserve"> </w:t>
      </w:r>
      <w:r w:rsidR="00D066DF">
        <w:rPr>
          <w:rFonts w:ascii="Times New Roman" w:hAnsi="Times New Roman"/>
          <w:sz w:val="24"/>
        </w:rPr>
        <w:t xml:space="preserve">Příloha k usnesení č. </w:t>
      </w:r>
      <w:r w:rsidR="00702F52">
        <w:rPr>
          <w:rFonts w:ascii="Times New Roman" w:hAnsi="Times New Roman"/>
          <w:sz w:val="24"/>
        </w:rPr>
        <w:t>102</w:t>
      </w:r>
    </w:p>
    <w:p w:rsidR="00B4108A" w:rsidRDefault="00B4108A"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B4108A" w:rsidRDefault="00B4108A" w:rsidP="00D066DF">
      <w:pPr>
        <w:spacing w:after="0" w:line="240" w:lineRule="auto"/>
        <w:rPr>
          <w:rFonts w:ascii="Times New Roman" w:hAnsi="Times New Roman"/>
          <w:sz w:val="24"/>
        </w:rPr>
      </w:pPr>
    </w:p>
    <w:p w:rsidR="005832DD" w:rsidRPr="005832DD" w:rsidRDefault="005832DD" w:rsidP="005832DD">
      <w:pPr>
        <w:pStyle w:val="PODNZEVPRCE"/>
        <w:jc w:val="center"/>
        <w:rPr>
          <w:rFonts w:ascii="Times New Roman" w:hAnsi="Times New Roman"/>
          <w:b/>
          <w:color w:val="auto"/>
        </w:rPr>
      </w:pPr>
      <w:r w:rsidRPr="005832DD">
        <w:rPr>
          <w:rFonts w:ascii="Times New Roman" w:hAnsi="Times New Roman"/>
          <w:b/>
          <w:color w:val="auto"/>
        </w:rPr>
        <w:t>Sdělení Komise Evropskému parlamentu, Radě a Evropskému hos</w:t>
      </w:r>
      <w:r>
        <w:rPr>
          <w:rFonts w:ascii="Times New Roman" w:hAnsi="Times New Roman"/>
          <w:b/>
          <w:color w:val="auto"/>
        </w:rPr>
        <w:t>podářskému a sociálnímu výboru –</w:t>
      </w:r>
      <w:r w:rsidRPr="005832DD">
        <w:rPr>
          <w:rFonts w:ascii="Times New Roman" w:hAnsi="Times New Roman"/>
          <w:b/>
          <w:color w:val="auto"/>
        </w:rPr>
        <w:t xml:space="preserve"> Nová politika pro spotřebitele</w:t>
      </w:r>
    </w:p>
    <w:p w:rsidR="005832DD" w:rsidRPr="005832DD" w:rsidRDefault="005832DD" w:rsidP="005832DD">
      <w:pPr>
        <w:pStyle w:val="PODNZEVPRCE"/>
        <w:jc w:val="center"/>
        <w:rPr>
          <w:rFonts w:ascii="Times New Roman" w:hAnsi="Times New Roman"/>
          <w:b/>
          <w:color w:val="auto"/>
          <w:sz w:val="24"/>
          <w:szCs w:val="24"/>
        </w:rPr>
      </w:pPr>
    </w:p>
    <w:p w:rsidR="005832DD" w:rsidRPr="005832DD" w:rsidRDefault="005832DD" w:rsidP="005832DD">
      <w:pPr>
        <w:pStyle w:val="PODNZEVPRCE"/>
        <w:spacing w:after="240"/>
        <w:jc w:val="center"/>
        <w:rPr>
          <w:rFonts w:ascii="Times New Roman" w:hAnsi="Times New Roman"/>
          <w:b/>
          <w:color w:val="auto"/>
          <w:sz w:val="24"/>
          <w:szCs w:val="24"/>
        </w:rPr>
      </w:pPr>
      <w:r w:rsidRPr="005832DD">
        <w:rPr>
          <w:rFonts w:ascii="Times New Roman" w:hAnsi="Times New Roman"/>
          <w:b/>
          <w:color w:val="auto"/>
          <w:sz w:val="24"/>
          <w:szCs w:val="24"/>
        </w:rPr>
        <w:t>KOM(2018) 183 v konečném znění, kód Rady 7875/18</w:t>
      </w:r>
    </w:p>
    <w:p w:rsidR="005832DD" w:rsidRPr="005832DD" w:rsidRDefault="005832DD" w:rsidP="005832DD">
      <w:pPr>
        <w:pStyle w:val="ZHLAVTITULKY"/>
        <w:jc w:val="center"/>
        <w:rPr>
          <w:rFonts w:ascii="Times New Roman" w:hAnsi="Times New Roman" w:cs="Times New Roman"/>
          <w:color w:val="auto"/>
          <w:sz w:val="24"/>
          <w:szCs w:val="24"/>
        </w:rPr>
      </w:pPr>
    </w:p>
    <w:p w:rsidR="005832DD" w:rsidRPr="005832DD" w:rsidRDefault="005832DD" w:rsidP="005832DD">
      <w:pPr>
        <w:pStyle w:val="PODNZEVPRCE"/>
        <w:jc w:val="center"/>
        <w:rPr>
          <w:rFonts w:ascii="Times New Roman" w:hAnsi="Times New Roman"/>
          <w:b/>
          <w:color w:val="auto"/>
        </w:rPr>
      </w:pPr>
      <w:r w:rsidRPr="005832DD">
        <w:rPr>
          <w:rFonts w:ascii="Times New Roman" w:hAnsi="Times New Roman"/>
          <w:b/>
          <w:color w:val="auto"/>
        </w:rPr>
        <w:t>Návrh směrnice Evropského parlamentu a Rady, kterou se mění směrnice Rady 93/13/EHS ze dne 5. dubna 1993, směrnice Evropského parlamentu a Rady 98/6/ES, směrnice Evropského parlamentu a Rady 2005/29/ES a směrnice Evropského parlamentu a Rady 2011/83/EU, pokud jde o lepší vymáhání a modernizaci právních předpisů EU na ochranu spotřebitele</w:t>
      </w:r>
    </w:p>
    <w:p w:rsidR="005832DD" w:rsidRPr="005832DD" w:rsidRDefault="005832DD" w:rsidP="005832DD">
      <w:pPr>
        <w:pStyle w:val="PODNZEVPRCE"/>
        <w:jc w:val="center"/>
        <w:rPr>
          <w:rFonts w:ascii="Times New Roman" w:hAnsi="Times New Roman"/>
          <w:b/>
          <w:color w:val="auto"/>
          <w:sz w:val="24"/>
          <w:szCs w:val="24"/>
        </w:rPr>
      </w:pPr>
    </w:p>
    <w:p w:rsidR="005832DD" w:rsidRPr="005832DD" w:rsidRDefault="005832DD" w:rsidP="005832DD">
      <w:pPr>
        <w:pStyle w:val="PODNZEVPRCE"/>
        <w:jc w:val="center"/>
        <w:rPr>
          <w:rFonts w:ascii="Times New Roman" w:hAnsi="Times New Roman"/>
          <w:b/>
          <w:color w:val="auto"/>
          <w:sz w:val="24"/>
          <w:szCs w:val="24"/>
        </w:rPr>
      </w:pPr>
      <w:r w:rsidRPr="005832DD">
        <w:rPr>
          <w:rFonts w:ascii="Times New Roman" w:hAnsi="Times New Roman"/>
          <w:b/>
          <w:color w:val="auto"/>
          <w:sz w:val="24"/>
          <w:szCs w:val="24"/>
        </w:rPr>
        <w:t>KOM(2018) 185 v konečném znění, kód Rady 7876/18</w:t>
      </w:r>
    </w:p>
    <w:p w:rsidR="005832DD" w:rsidRPr="005832DD" w:rsidRDefault="005832DD" w:rsidP="005832DD">
      <w:pPr>
        <w:pStyle w:val="PODNZEVPRCE"/>
        <w:spacing w:after="240"/>
        <w:jc w:val="center"/>
        <w:rPr>
          <w:rFonts w:ascii="Times New Roman" w:hAnsi="Times New Roman"/>
          <w:b/>
          <w:color w:val="auto"/>
          <w:sz w:val="24"/>
          <w:szCs w:val="24"/>
        </w:rPr>
      </w:pPr>
      <w:r w:rsidRPr="005832DD">
        <w:rPr>
          <w:rFonts w:ascii="Times New Roman" w:hAnsi="Times New Roman"/>
          <w:b/>
          <w:color w:val="auto"/>
          <w:sz w:val="24"/>
          <w:szCs w:val="24"/>
        </w:rPr>
        <w:t>Interinstitucionální spis 2018/0090/COD</w:t>
      </w:r>
    </w:p>
    <w:p w:rsidR="005832DD" w:rsidRPr="005832DD" w:rsidRDefault="005832DD" w:rsidP="005832DD">
      <w:pPr>
        <w:pStyle w:val="ZHLAVTITULKY"/>
        <w:jc w:val="center"/>
        <w:rPr>
          <w:rFonts w:ascii="Times New Roman" w:hAnsi="Times New Roman" w:cs="Times New Roman"/>
          <w:color w:val="auto"/>
          <w:sz w:val="24"/>
          <w:szCs w:val="24"/>
        </w:rPr>
      </w:pPr>
    </w:p>
    <w:p w:rsidR="005832DD" w:rsidRPr="005832DD" w:rsidRDefault="005832DD" w:rsidP="005832DD">
      <w:pPr>
        <w:pStyle w:val="PODNZEVPRCE"/>
        <w:jc w:val="center"/>
        <w:rPr>
          <w:rFonts w:ascii="Times New Roman" w:hAnsi="Times New Roman"/>
          <w:b/>
          <w:color w:val="auto"/>
        </w:rPr>
      </w:pPr>
      <w:r w:rsidRPr="005832DD">
        <w:rPr>
          <w:rFonts w:ascii="Times New Roman" w:hAnsi="Times New Roman"/>
          <w:b/>
          <w:color w:val="auto"/>
        </w:rPr>
        <w:t>Návrh směrnice Evropského parlamentu a Rady o zástupných žalobách na ochranu kolektivních zájmů spotřebitelů a o zrušení směrnice 2009/22/ES</w:t>
      </w:r>
    </w:p>
    <w:p w:rsidR="005832DD" w:rsidRPr="005832DD" w:rsidRDefault="005832DD" w:rsidP="005832DD">
      <w:pPr>
        <w:pStyle w:val="PODNZEVPRCE"/>
        <w:jc w:val="center"/>
        <w:rPr>
          <w:rFonts w:ascii="Times New Roman" w:hAnsi="Times New Roman"/>
          <w:b/>
          <w:color w:val="auto"/>
          <w:sz w:val="24"/>
          <w:szCs w:val="24"/>
        </w:rPr>
      </w:pPr>
    </w:p>
    <w:p w:rsidR="005832DD" w:rsidRPr="005832DD" w:rsidRDefault="005832DD" w:rsidP="005832DD">
      <w:pPr>
        <w:pStyle w:val="PODNZEVPRCE"/>
        <w:jc w:val="center"/>
        <w:rPr>
          <w:rFonts w:ascii="Times New Roman" w:hAnsi="Times New Roman"/>
          <w:b/>
          <w:color w:val="auto"/>
          <w:sz w:val="24"/>
          <w:szCs w:val="24"/>
        </w:rPr>
      </w:pPr>
      <w:r w:rsidRPr="005832DD">
        <w:rPr>
          <w:rFonts w:ascii="Times New Roman" w:hAnsi="Times New Roman"/>
          <w:b/>
          <w:color w:val="auto"/>
          <w:sz w:val="24"/>
          <w:szCs w:val="24"/>
        </w:rPr>
        <w:t>KOM(2018) 184 v konečném znění, kód Rady 7877/18</w:t>
      </w:r>
    </w:p>
    <w:p w:rsidR="005832DD" w:rsidRPr="005832DD" w:rsidRDefault="005832DD" w:rsidP="005832DD">
      <w:pPr>
        <w:pStyle w:val="PODNZEVPRCE"/>
        <w:jc w:val="center"/>
        <w:rPr>
          <w:rFonts w:ascii="Times New Roman" w:hAnsi="Times New Roman"/>
          <w:b/>
          <w:color w:val="auto"/>
          <w:sz w:val="24"/>
          <w:szCs w:val="24"/>
        </w:rPr>
      </w:pPr>
      <w:r w:rsidRPr="005832DD">
        <w:rPr>
          <w:rFonts w:ascii="Times New Roman" w:hAnsi="Times New Roman"/>
          <w:b/>
          <w:color w:val="auto"/>
          <w:sz w:val="24"/>
          <w:szCs w:val="24"/>
        </w:rPr>
        <w:t>Interinstitucionální spis 2018/0089/COD</w:t>
      </w:r>
    </w:p>
    <w:p w:rsidR="005832DD" w:rsidRPr="005832DD" w:rsidRDefault="005832DD" w:rsidP="005832DD">
      <w:pPr>
        <w:jc w:val="both"/>
        <w:rPr>
          <w:rStyle w:val="Siln"/>
          <w:rFonts w:ascii="Times New Roman" w:hAnsi="Times New Roman"/>
          <w:b w:val="0"/>
          <w:bCs w:val="0"/>
          <w:caps/>
          <w:sz w:val="24"/>
          <w:szCs w:val="24"/>
        </w:rPr>
      </w:pPr>
    </w:p>
    <w:p w:rsidR="005832DD" w:rsidRDefault="005832DD" w:rsidP="005832DD">
      <w:pPr>
        <w:jc w:val="both"/>
        <w:rPr>
          <w:rStyle w:val="Siln"/>
          <w:rFonts w:ascii="Times New Roman" w:hAnsi="Times New Roman"/>
          <w:sz w:val="24"/>
          <w:szCs w:val="24"/>
        </w:rPr>
      </w:pPr>
    </w:p>
    <w:p w:rsidR="005832DD" w:rsidRPr="005832DD" w:rsidRDefault="005832DD" w:rsidP="005832DD">
      <w:pPr>
        <w:jc w:val="both"/>
        <w:rPr>
          <w:rStyle w:val="Siln"/>
          <w:rFonts w:ascii="Times New Roman" w:hAnsi="Times New Roman"/>
          <w:sz w:val="24"/>
          <w:szCs w:val="24"/>
        </w:rPr>
      </w:pPr>
    </w:p>
    <w:p w:rsidR="005832DD" w:rsidRPr="005832DD" w:rsidRDefault="005832DD" w:rsidP="005832DD">
      <w:pPr>
        <w:pStyle w:val="Odstavecseseznamem"/>
        <w:keepNext/>
        <w:keepLines/>
        <w:numPr>
          <w:ilvl w:val="0"/>
          <w:numId w:val="19"/>
        </w:numPr>
        <w:suppressAutoHyphens/>
        <w:autoSpaceDN w:val="0"/>
        <w:spacing w:after="0" w:line="252" w:lineRule="auto"/>
        <w:ind w:left="0"/>
        <w:contextualSpacing w:val="0"/>
        <w:jc w:val="both"/>
        <w:rPr>
          <w:rFonts w:ascii="Times New Roman" w:hAnsi="Times New Roman"/>
          <w:sz w:val="24"/>
          <w:szCs w:val="24"/>
        </w:rPr>
      </w:pPr>
      <w:bookmarkStart w:id="1" w:name="_Toc445380604"/>
      <w:r w:rsidRPr="005832DD">
        <w:rPr>
          <w:rFonts w:ascii="Times New Roman" w:hAnsi="Times New Roman"/>
          <w:b/>
          <w:sz w:val="24"/>
          <w:szCs w:val="24"/>
        </w:rPr>
        <w:t>Právní základ:</w:t>
      </w:r>
      <w:bookmarkEnd w:id="1"/>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Článek 114 Smlouvy o fungování Evropské unie.</w:t>
      </w:r>
    </w:p>
    <w:p w:rsidR="005832DD" w:rsidRPr="005832DD" w:rsidRDefault="005832DD" w:rsidP="005832DD">
      <w:pPr>
        <w:pStyle w:val="Odstavecseseznamem"/>
        <w:keepNext/>
        <w:keepLines/>
        <w:numPr>
          <w:ilvl w:val="0"/>
          <w:numId w:val="19"/>
        </w:numPr>
        <w:suppressAutoHyphens/>
        <w:autoSpaceDN w:val="0"/>
        <w:spacing w:after="0" w:line="252" w:lineRule="auto"/>
        <w:ind w:left="0"/>
        <w:contextualSpacing w:val="0"/>
        <w:jc w:val="both"/>
        <w:rPr>
          <w:rFonts w:ascii="Times New Roman" w:hAnsi="Times New Roman"/>
          <w:b/>
          <w:sz w:val="24"/>
          <w:szCs w:val="24"/>
        </w:rPr>
      </w:pPr>
      <w:bookmarkStart w:id="2" w:name="_Toc445380605"/>
      <w:r w:rsidRPr="005832DD">
        <w:rPr>
          <w:rFonts w:ascii="Times New Roman" w:hAnsi="Times New Roman"/>
          <w:b/>
          <w:sz w:val="24"/>
          <w:szCs w:val="24"/>
        </w:rPr>
        <w:t>Datum zaslání Poslanecké sněmovně prostřednictvím VEZ:</w:t>
      </w:r>
      <w:bookmarkEnd w:id="2"/>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26. 4. 2018 (KOM(2018) 183, KOM(2018)185)</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27. 4. 2018 (KOM(2018) 184)</w:t>
      </w:r>
    </w:p>
    <w:p w:rsidR="005832DD" w:rsidRPr="005832DD" w:rsidRDefault="005832DD" w:rsidP="005832DD">
      <w:pPr>
        <w:pStyle w:val="Odstavecseseznamem"/>
        <w:keepNext/>
        <w:keepLines/>
        <w:numPr>
          <w:ilvl w:val="0"/>
          <w:numId w:val="19"/>
        </w:numPr>
        <w:suppressAutoHyphens/>
        <w:autoSpaceDN w:val="0"/>
        <w:spacing w:after="0" w:line="252" w:lineRule="auto"/>
        <w:ind w:left="0"/>
        <w:contextualSpacing w:val="0"/>
        <w:jc w:val="both"/>
        <w:rPr>
          <w:rFonts w:ascii="Times New Roman" w:hAnsi="Times New Roman"/>
          <w:b/>
          <w:sz w:val="24"/>
          <w:szCs w:val="24"/>
        </w:rPr>
      </w:pPr>
      <w:bookmarkStart w:id="3" w:name="_Toc445380606"/>
      <w:r w:rsidRPr="005832DD">
        <w:rPr>
          <w:rFonts w:ascii="Times New Roman" w:hAnsi="Times New Roman"/>
          <w:b/>
          <w:sz w:val="24"/>
          <w:szCs w:val="24"/>
        </w:rPr>
        <w:t>Datum projednání ve VEZ:</w:t>
      </w:r>
      <w:bookmarkEnd w:id="3"/>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9. 5. 2018 (1. kolo)</w:t>
      </w:r>
    </w:p>
    <w:p w:rsidR="005832DD" w:rsidRPr="005832DD" w:rsidRDefault="005832DD" w:rsidP="005832DD">
      <w:pPr>
        <w:pStyle w:val="Odstavecseseznamem"/>
        <w:keepNext/>
        <w:keepLines/>
        <w:numPr>
          <w:ilvl w:val="0"/>
          <w:numId w:val="19"/>
        </w:numPr>
        <w:suppressAutoHyphens/>
        <w:autoSpaceDN w:val="0"/>
        <w:spacing w:after="0" w:line="252" w:lineRule="auto"/>
        <w:ind w:left="0"/>
        <w:contextualSpacing w:val="0"/>
        <w:jc w:val="both"/>
        <w:rPr>
          <w:rFonts w:ascii="Times New Roman" w:hAnsi="Times New Roman"/>
          <w:b/>
          <w:sz w:val="24"/>
          <w:szCs w:val="24"/>
        </w:rPr>
      </w:pPr>
      <w:bookmarkStart w:id="4" w:name="_Toc445380607"/>
      <w:r w:rsidRPr="005832DD">
        <w:rPr>
          <w:rFonts w:ascii="Times New Roman" w:hAnsi="Times New Roman"/>
          <w:b/>
          <w:sz w:val="24"/>
          <w:szCs w:val="24"/>
        </w:rPr>
        <w:t>Procedura:</w:t>
      </w:r>
      <w:bookmarkEnd w:id="4"/>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Řádný legislativní postup.</w:t>
      </w:r>
    </w:p>
    <w:p w:rsidR="005832DD" w:rsidRPr="005832DD" w:rsidRDefault="005832DD" w:rsidP="005832DD">
      <w:pPr>
        <w:pStyle w:val="Odstavecseseznamem"/>
        <w:keepNext/>
        <w:keepLines/>
        <w:numPr>
          <w:ilvl w:val="0"/>
          <w:numId w:val="19"/>
        </w:numPr>
        <w:suppressAutoHyphens/>
        <w:autoSpaceDN w:val="0"/>
        <w:spacing w:after="0" w:line="252" w:lineRule="auto"/>
        <w:ind w:left="0"/>
        <w:contextualSpacing w:val="0"/>
        <w:jc w:val="both"/>
        <w:rPr>
          <w:rFonts w:ascii="Times New Roman" w:hAnsi="Times New Roman"/>
          <w:b/>
          <w:sz w:val="24"/>
          <w:szCs w:val="24"/>
        </w:rPr>
      </w:pPr>
      <w:bookmarkStart w:id="5" w:name="_Toc445380608"/>
      <w:r w:rsidRPr="005832DD">
        <w:rPr>
          <w:rFonts w:ascii="Times New Roman" w:hAnsi="Times New Roman"/>
          <w:b/>
          <w:sz w:val="24"/>
          <w:szCs w:val="24"/>
        </w:rPr>
        <w:t>Předběžné stanovisko vlády (dle § 109a odst. 1 jednacího řádu PS):</w:t>
      </w:r>
      <w:bookmarkEnd w:id="5"/>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Ke Sdělení Komise Evropskému parlamentu, Radě a Evropskému hospodářskému a sociálnímu výboru - Nová politika pro spotřebitele, datované dnem 18. května 2018, doručené do výboru pro evropské záležitosti dne 23. května 2018 prostřednictvím systému ISAP.</w:t>
      </w:r>
    </w:p>
    <w:p w:rsidR="005832DD" w:rsidRPr="005832DD" w:rsidRDefault="005832DD" w:rsidP="005832DD">
      <w:pPr>
        <w:jc w:val="both"/>
        <w:rPr>
          <w:rFonts w:ascii="Times New Roman" w:hAnsi="Times New Roman"/>
          <w:sz w:val="24"/>
          <w:szCs w:val="24"/>
        </w:rPr>
      </w:pP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lastRenderedPageBreak/>
        <w:t>K návrhu směrnice k lepšímu vymáhání a modernizaci právních předpisů na ochranu spotřebitele, datované dnem 18. května 2018, ke dni zpracování tohoto materiálu prozatím nebylo doručeno prostřednictvím systému ISAP.</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K návrhu směrnice Evropského parlamentu a Rady o zástupných žalobách na ochranu kolektivních zájmů spotřebitelů a o zrušení směrnice 2009/22/ES, datované dnem 20. dubna 2018, doručené do výboru pro evropské záležitosti dne 27. dubna 2018 prostřednictvím systému ISAP.</w:t>
      </w:r>
    </w:p>
    <w:p w:rsidR="005832DD" w:rsidRPr="005832DD" w:rsidRDefault="005832DD" w:rsidP="005832DD">
      <w:pPr>
        <w:pStyle w:val="Nadpis1"/>
        <w:rPr>
          <w:rFonts w:ascii="Times New Roman" w:hAnsi="Times New Roman"/>
          <w:szCs w:val="24"/>
        </w:rPr>
      </w:pPr>
      <w:bookmarkStart w:id="6" w:name="_Toc448302188"/>
      <w:bookmarkStart w:id="7" w:name="_Toc445380609"/>
      <w:r w:rsidRPr="005832DD">
        <w:rPr>
          <w:rFonts w:ascii="Times New Roman" w:hAnsi="Times New Roman"/>
          <w:szCs w:val="24"/>
        </w:rPr>
        <w:t>Hodnocení z hlediska principu</w:t>
      </w:r>
      <w:r w:rsidRPr="005832DD">
        <w:rPr>
          <w:rStyle w:val="Nadpis1Char"/>
          <w:rFonts w:ascii="Times New Roman" w:hAnsi="Times New Roman"/>
          <w:szCs w:val="24"/>
        </w:rPr>
        <w:t xml:space="preserve"> </w:t>
      </w:r>
      <w:r w:rsidRPr="005832DD">
        <w:rPr>
          <w:rFonts w:ascii="Times New Roman" w:hAnsi="Times New Roman"/>
          <w:szCs w:val="24"/>
        </w:rPr>
        <w:t>subsidiarity:</w:t>
      </w:r>
      <w:bookmarkEnd w:id="6"/>
      <w:bookmarkEnd w:id="7"/>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Návrhy jsou v souladu s principem subsidiarity.</w:t>
      </w:r>
    </w:p>
    <w:p w:rsidR="005832DD" w:rsidRPr="005832DD" w:rsidRDefault="005832DD" w:rsidP="005832DD">
      <w:pPr>
        <w:pStyle w:val="Nadpis1"/>
        <w:rPr>
          <w:rFonts w:ascii="Times New Roman" w:hAnsi="Times New Roman"/>
          <w:szCs w:val="24"/>
        </w:rPr>
      </w:pPr>
      <w:bookmarkStart w:id="8" w:name="_Toc448302189"/>
      <w:bookmarkStart w:id="9" w:name="_Toc445380610"/>
      <w:r w:rsidRPr="005832DD">
        <w:rPr>
          <w:rFonts w:ascii="Times New Roman" w:hAnsi="Times New Roman"/>
          <w:szCs w:val="24"/>
        </w:rPr>
        <w:t>Odůvodnění a předmět:</w:t>
      </w:r>
      <w:bookmarkEnd w:id="8"/>
      <w:bookmarkEnd w:id="9"/>
    </w:p>
    <w:p w:rsidR="005832DD" w:rsidRPr="005832DD" w:rsidRDefault="005832DD" w:rsidP="005C1DEC">
      <w:pPr>
        <w:spacing w:after="0"/>
        <w:jc w:val="both"/>
        <w:rPr>
          <w:rFonts w:ascii="Times New Roman" w:hAnsi="Times New Roman"/>
          <w:sz w:val="24"/>
          <w:szCs w:val="24"/>
        </w:rPr>
      </w:pPr>
    </w:p>
    <w:p w:rsidR="005832DD" w:rsidRPr="005832DD" w:rsidRDefault="005832DD" w:rsidP="005832DD">
      <w:pPr>
        <w:pStyle w:val="Odstavecseseznamem"/>
        <w:keepNext/>
        <w:keepLines/>
        <w:numPr>
          <w:ilvl w:val="0"/>
          <w:numId w:val="20"/>
        </w:numPr>
        <w:suppressAutoHyphens/>
        <w:autoSpaceDN w:val="0"/>
        <w:spacing w:after="120" w:line="252" w:lineRule="auto"/>
        <w:contextualSpacing w:val="0"/>
        <w:jc w:val="both"/>
        <w:rPr>
          <w:rFonts w:ascii="Times New Roman" w:hAnsi="Times New Roman"/>
          <w:b/>
          <w:i/>
          <w:sz w:val="24"/>
          <w:szCs w:val="24"/>
        </w:rPr>
      </w:pPr>
      <w:r w:rsidRPr="005832DD">
        <w:rPr>
          <w:rFonts w:ascii="Times New Roman" w:hAnsi="Times New Roman"/>
          <w:b/>
          <w:i/>
          <w:sz w:val="24"/>
          <w:szCs w:val="24"/>
        </w:rPr>
        <w:t>Sdělení Komise Evropskému parlamentu, Radě a Evropskému hospodářskému a sociálnímu výboru - Nová politika pro spotřebitele</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Sdělení představuje úvodní dokument k legislativnímu balíčku Komise - Nová politika pro spotřebitele, jenž cílí na </w:t>
      </w:r>
      <w:r w:rsidRPr="005832DD">
        <w:rPr>
          <w:rFonts w:ascii="Times New Roman" w:hAnsi="Times New Roman"/>
          <w:sz w:val="24"/>
          <w:szCs w:val="24"/>
          <w:u w:val="single"/>
        </w:rPr>
        <w:t>zlepšení prosazování práv spotřebitelů na vnitřním trhu EU.</w:t>
      </w:r>
      <w:r w:rsidRPr="005832DD">
        <w:rPr>
          <w:rFonts w:ascii="Times New Roman" w:hAnsi="Times New Roman"/>
          <w:sz w:val="24"/>
          <w:szCs w:val="24"/>
        </w:rPr>
        <w:t xml:space="preserve"> </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Komise ve sdělení uvádí, že výdaje spotřebitelů tvoří </w:t>
      </w:r>
      <w:r w:rsidRPr="005832DD">
        <w:rPr>
          <w:rFonts w:ascii="Times New Roman" w:hAnsi="Times New Roman"/>
          <w:sz w:val="24"/>
          <w:szCs w:val="24"/>
          <w:u w:val="single"/>
        </w:rPr>
        <w:t xml:space="preserve">více než 56 % HDP EU. </w:t>
      </w:r>
      <w:r w:rsidRPr="005832DD">
        <w:rPr>
          <w:rFonts w:ascii="Times New Roman" w:hAnsi="Times New Roman"/>
          <w:sz w:val="24"/>
          <w:szCs w:val="24"/>
        </w:rPr>
        <w:t>Pro hospodářský růst je proto klíčové silné spotřebitelské právo, které bude uplatňováno jednotně napříč celou EU. Potřebu lepšího vymáhání právních předpisů EU na ochranu spotřebitele zdůraznil i předseda Komise Jean-Claude Juncker ve svém projevu o stavu Unie za rok 2017.</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Předložení balíčku týkajícího se nové politiky ochrany spotřebitele je vyústěním řady hodnotících a konzultačních aktivit Komise v oblasti spotřebitelského práva provedených v letech 2015 až 2018. Základem pro navrhovaný legislativní balíček bylo především </w:t>
      </w:r>
      <w:r w:rsidRPr="005832DD">
        <w:rPr>
          <w:rFonts w:ascii="Times New Roman" w:hAnsi="Times New Roman"/>
          <w:sz w:val="24"/>
          <w:szCs w:val="24"/>
          <w:u w:val="single"/>
        </w:rPr>
        <w:t>hodnocení stávající právní úpravy v rámci programu pro účelnost a účinnost právních předpisů (REFIT)</w:t>
      </w:r>
      <w:r w:rsidRPr="005832DD">
        <w:rPr>
          <w:rFonts w:ascii="Times New Roman" w:hAnsi="Times New Roman"/>
          <w:sz w:val="24"/>
          <w:szCs w:val="24"/>
        </w:rPr>
        <w:t xml:space="preserve">, v němž bylo </w:t>
      </w:r>
      <w:r w:rsidRPr="005832DD">
        <w:rPr>
          <w:rFonts w:ascii="Times New Roman" w:hAnsi="Times New Roman"/>
          <w:sz w:val="24"/>
          <w:szCs w:val="24"/>
          <w:u w:val="single"/>
        </w:rPr>
        <w:t>hodnoceno spotřebitelské a marketingové právo EU,</w:t>
      </w:r>
      <w:r w:rsidRPr="005832DD">
        <w:rPr>
          <w:rFonts w:ascii="Times New Roman" w:hAnsi="Times New Roman"/>
          <w:sz w:val="24"/>
          <w:szCs w:val="24"/>
        </w:rPr>
        <w:t xml:space="preserve"> a paralelně proběhlo i </w:t>
      </w:r>
      <w:r w:rsidRPr="005832DD">
        <w:rPr>
          <w:rFonts w:ascii="Times New Roman" w:hAnsi="Times New Roman"/>
          <w:sz w:val="24"/>
          <w:szCs w:val="24"/>
          <w:u w:val="single"/>
        </w:rPr>
        <w:t>hodnocení směrnice 2011/83/EU o právech spotřebitelů.</w:t>
      </w:r>
      <w:r w:rsidRPr="005832DD">
        <w:rPr>
          <w:rFonts w:ascii="Times New Roman" w:hAnsi="Times New Roman"/>
          <w:sz w:val="24"/>
          <w:szCs w:val="24"/>
        </w:rPr>
        <w:t xml:space="preserve"> Závěry z obou těchto hodnocení byly zveřejněny dne 23. května 2017. Z těchto hodnocení vyplynulo, že spotřebitelské právo EU v zásadě dobře slouží svému účelu, avšak je třeba zajistit </w:t>
      </w:r>
      <w:r w:rsidRPr="005832DD">
        <w:rPr>
          <w:rFonts w:ascii="Times New Roman" w:hAnsi="Times New Roman"/>
          <w:sz w:val="24"/>
          <w:szCs w:val="24"/>
          <w:u w:val="single"/>
        </w:rPr>
        <w:t>lepší povědomí spotřebitelů o jejich právech a zlepšit účinnost vymáhání spotřebitelských práv v EU.</w:t>
      </w:r>
      <w:r w:rsidRPr="005832DD">
        <w:rPr>
          <w:rFonts w:ascii="Times New Roman" w:hAnsi="Times New Roman"/>
          <w:sz w:val="24"/>
          <w:szCs w:val="24"/>
        </w:rPr>
        <w:t xml:space="preserve"> Vzešla z něj také potřeba </w:t>
      </w:r>
      <w:r w:rsidRPr="005832DD">
        <w:rPr>
          <w:rFonts w:ascii="Times New Roman" w:hAnsi="Times New Roman"/>
          <w:sz w:val="24"/>
          <w:szCs w:val="24"/>
          <w:u w:val="single"/>
        </w:rPr>
        <w:t xml:space="preserve">přizpůsobit spotřebitelské právo vývoji nových technologií </w:t>
      </w:r>
      <w:r w:rsidRPr="005832DD">
        <w:rPr>
          <w:rFonts w:ascii="Times New Roman" w:hAnsi="Times New Roman"/>
          <w:sz w:val="24"/>
          <w:szCs w:val="24"/>
        </w:rPr>
        <w:t xml:space="preserve">a </w:t>
      </w:r>
      <w:r w:rsidRPr="005832DD">
        <w:rPr>
          <w:rFonts w:ascii="Times New Roman" w:hAnsi="Times New Roman"/>
          <w:sz w:val="24"/>
          <w:szCs w:val="24"/>
          <w:u w:val="single"/>
        </w:rPr>
        <w:t>na některých místech snížit regulační zátěž</w:t>
      </w:r>
      <w:r w:rsidRPr="005832DD">
        <w:rPr>
          <w:rFonts w:ascii="Times New Roman" w:hAnsi="Times New Roman"/>
          <w:sz w:val="24"/>
          <w:szCs w:val="24"/>
        </w:rPr>
        <w:t xml:space="preserve"> stávající právní úpravy.</w:t>
      </w:r>
    </w:p>
    <w:p w:rsidR="005832DD" w:rsidRPr="005832DD" w:rsidRDefault="005832DD" w:rsidP="005832DD">
      <w:pPr>
        <w:pStyle w:val="Odstavecseseznamem"/>
        <w:keepNext/>
        <w:keepLines/>
        <w:numPr>
          <w:ilvl w:val="0"/>
          <w:numId w:val="20"/>
        </w:numPr>
        <w:suppressAutoHyphens/>
        <w:autoSpaceDN w:val="0"/>
        <w:spacing w:after="120" w:line="252" w:lineRule="auto"/>
        <w:contextualSpacing w:val="0"/>
        <w:jc w:val="both"/>
        <w:rPr>
          <w:rFonts w:ascii="Times New Roman" w:hAnsi="Times New Roman"/>
          <w:b/>
          <w:i/>
          <w:sz w:val="24"/>
          <w:szCs w:val="24"/>
        </w:rPr>
      </w:pPr>
      <w:r w:rsidRPr="005832DD">
        <w:rPr>
          <w:rFonts w:ascii="Times New Roman" w:hAnsi="Times New Roman"/>
          <w:b/>
          <w:i/>
          <w:sz w:val="24"/>
          <w:szCs w:val="24"/>
        </w:rPr>
        <w:t>Návrh směrnice k lepšímu vymáhání a modernizaci právních předpisů na ochranu spotřebitele</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 xml:space="preserve">Tento návrh směrnice </w:t>
      </w:r>
      <w:r w:rsidRPr="005832DD">
        <w:rPr>
          <w:rFonts w:ascii="Times New Roman" w:hAnsi="Times New Roman"/>
          <w:sz w:val="24"/>
          <w:szCs w:val="24"/>
          <w:u w:val="single"/>
        </w:rPr>
        <w:t>pozměňuje čtyři spotřebitelské směrnice</w:t>
      </w:r>
      <w:r w:rsidRPr="005832DD">
        <w:rPr>
          <w:rFonts w:ascii="Times New Roman" w:hAnsi="Times New Roman"/>
          <w:sz w:val="24"/>
          <w:szCs w:val="24"/>
        </w:rPr>
        <w:t xml:space="preserve">, přičemž </w:t>
      </w:r>
      <w:r w:rsidRPr="005832DD">
        <w:rPr>
          <w:rFonts w:ascii="Times New Roman" w:hAnsi="Times New Roman"/>
          <w:sz w:val="24"/>
          <w:szCs w:val="24"/>
          <w:u w:val="single"/>
        </w:rPr>
        <w:t>hlavní změny se týkají směrnice 2011/83/EU o právech spotřebitelů a směrnice 2005/29/ES o nekalých obchodních praktikách. Do směrnice 93/13/EHS o nepřiměřených smluvních podmínkách ve spotřebitelských smlouvách a směrnice 98/6/ES o ochraně spotřebitelů při označování cen výrobků nabízených spotřebiteli</w:t>
      </w:r>
      <w:r w:rsidRPr="005832DD">
        <w:rPr>
          <w:rFonts w:ascii="Times New Roman" w:hAnsi="Times New Roman"/>
          <w:sz w:val="24"/>
          <w:szCs w:val="24"/>
        </w:rPr>
        <w:t xml:space="preserve"> se pouze vkládají nová ustanovení o sankcích.</w:t>
      </w:r>
    </w:p>
    <w:p w:rsidR="005832DD" w:rsidRPr="005832DD" w:rsidRDefault="005832DD" w:rsidP="005832DD">
      <w:pPr>
        <w:pStyle w:val="Odstavecseseznamem"/>
        <w:keepNext/>
        <w:keepLines/>
        <w:numPr>
          <w:ilvl w:val="0"/>
          <w:numId w:val="20"/>
        </w:numPr>
        <w:suppressAutoHyphens/>
        <w:autoSpaceDN w:val="0"/>
        <w:spacing w:after="120" w:line="252" w:lineRule="auto"/>
        <w:contextualSpacing w:val="0"/>
        <w:jc w:val="both"/>
        <w:rPr>
          <w:rFonts w:ascii="Times New Roman" w:hAnsi="Times New Roman"/>
          <w:b/>
          <w:i/>
          <w:sz w:val="24"/>
          <w:szCs w:val="24"/>
        </w:rPr>
      </w:pPr>
      <w:r w:rsidRPr="005832DD">
        <w:rPr>
          <w:rFonts w:ascii="Times New Roman" w:hAnsi="Times New Roman"/>
          <w:b/>
          <w:i/>
          <w:sz w:val="24"/>
          <w:szCs w:val="24"/>
        </w:rPr>
        <w:t>Návrh směrnice o zástupných žalobách na ochranu kolektivních zájmů spotřebitelů</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 xml:space="preserve">Tento návrh směrnice má za cíl reagovat na riziko porušování práv spotřebitelů, které se s rozvojem globalizace, digitalizace a přeshraničního obchodu stále zvyšuje. Komise poukázala také na </w:t>
      </w:r>
      <w:r w:rsidRPr="005832DD">
        <w:rPr>
          <w:rFonts w:ascii="Times New Roman" w:hAnsi="Times New Roman"/>
          <w:sz w:val="24"/>
          <w:szCs w:val="24"/>
          <w:u w:val="single"/>
        </w:rPr>
        <w:t>rozdílný přístup členských států ve vztahu k rozsáhlým případům porušování spotřebitelského práva</w:t>
      </w:r>
      <w:r w:rsidRPr="005832DD">
        <w:rPr>
          <w:rFonts w:ascii="Times New Roman" w:hAnsi="Times New Roman"/>
          <w:sz w:val="24"/>
          <w:szCs w:val="24"/>
        </w:rPr>
        <w:t xml:space="preserve">, kdy </w:t>
      </w:r>
      <w:r w:rsidRPr="005832DD">
        <w:rPr>
          <w:rFonts w:ascii="Times New Roman" w:hAnsi="Times New Roman"/>
          <w:sz w:val="24"/>
          <w:szCs w:val="24"/>
          <w:u w:val="single"/>
        </w:rPr>
        <w:t>některé členské státy vůbec nemají systém kolektivní právní ochrany pro spotřebitele umožňující i přiznání nároku na náhradu škody</w:t>
      </w:r>
      <w:r w:rsidRPr="005832DD">
        <w:rPr>
          <w:rFonts w:ascii="Times New Roman" w:hAnsi="Times New Roman"/>
          <w:sz w:val="24"/>
          <w:szCs w:val="24"/>
        </w:rPr>
        <w:t xml:space="preserve">, zatímco </w:t>
      </w:r>
      <w:r w:rsidRPr="005832DD">
        <w:rPr>
          <w:rFonts w:ascii="Times New Roman" w:hAnsi="Times New Roman"/>
          <w:sz w:val="24"/>
          <w:szCs w:val="24"/>
          <w:u w:val="single"/>
        </w:rPr>
        <w:t xml:space="preserve">v jiných </w:t>
      </w:r>
      <w:r w:rsidRPr="005832DD">
        <w:rPr>
          <w:rFonts w:ascii="Times New Roman" w:hAnsi="Times New Roman"/>
          <w:sz w:val="24"/>
          <w:szCs w:val="24"/>
          <w:u w:val="single"/>
        </w:rPr>
        <w:lastRenderedPageBreak/>
        <w:t>členských státech</w:t>
      </w:r>
      <w:r w:rsidRPr="005832DD">
        <w:rPr>
          <w:rFonts w:ascii="Times New Roman" w:hAnsi="Times New Roman"/>
          <w:sz w:val="24"/>
          <w:szCs w:val="24"/>
        </w:rPr>
        <w:t xml:space="preserve"> tento systém sice existuje, avšak poškozeným spotřebitelům přesto </w:t>
      </w:r>
      <w:r w:rsidRPr="005832DD">
        <w:rPr>
          <w:rFonts w:ascii="Times New Roman" w:hAnsi="Times New Roman"/>
          <w:sz w:val="24"/>
          <w:szCs w:val="24"/>
          <w:u w:val="single"/>
        </w:rPr>
        <w:t>nezajišťuje přiměřené odškodnění</w:t>
      </w:r>
      <w:r w:rsidRPr="005832DD">
        <w:rPr>
          <w:rFonts w:ascii="Times New Roman" w:hAnsi="Times New Roman"/>
          <w:sz w:val="24"/>
          <w:szCs w:val="24"/>
        </w:rPr>
        <w:t>. Z tohoto důvodu považuje Komise za důležité mít silný a účinný systém vymáhání práva na ochranu spotřebitele, který zajistí, že členské státy budou spotřebitelské právo EU plně uplatňovat a prosazovat a spotřebitelé poškození protiprávním jednáním budou řádně odškodněni.</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 xml:space="preserve">Návrh směrnice navazuje na již zmíněnou kontrolu účelnosti a účinnosti spotřebitelského a marketingového práva EU v rámci programu REFIT zveřejněnou dne 23. května 2017. Vychází také ze zprávy Komise o provádění doporučení Komise 2013/396/EU o společných zásadách pro prostředky kolektivní právní ochrany týkající se zdržení se jednání a náhrady škody v členských státech v souvislosti s porušením práv přiznaných právem Unie, zveřejněné v lednu 2018. </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K zavedení unijního nástroje pro zajištění kolektivního odškodnění spotřebitelů vyzval i Evropský parlament ve svém usnesení z roku 2012 nazvaném „Směrem k soudržnému evropskému přístupu ke kolektivnímu odškodnění“, v němž byla zdůrazněna potřeba horizontálního přístupu založeného na společném souboru pravidel přijatých na úrovni EU při respektování právních tradic členských států a za současného zavedení záruk proti zneužití.</w:t>
      </w:r>
    </w:p>
    <w:p w:rsidR="005832DD" w:rsidRPr="005832DD" w:rsidRDefault="005832DD" w:rsidP="005C1DEC">
      <w:pPr>
        <w:pStyle w:val="Nadpis1"/>
        <w:spacing w:after="240"/>
        <w:rPr>
          <w:rFonts w:ascii="Times New Roman" w:hAnsi="Times New Roman"/>
          <w:szCs w:val="24"/>
        </w:rPr>
      </w:pPr>
      <w:bookmarkStart w:id="10" w:name="_Toc448302190"/>
      <w:bookmarkStart w:id="11" w:name="_Toc445380611"/>
      <w:r w:rsidRPr="005832DD">
        <w:rPr>
          <w:rFonts w:ascii="Times New Roman" w:hAnsi="Times New Roman"/>
          <w:szCs w:val="24"/>
        </w:rPr>
        <w:t>Obsah a dopad:</w:t>
      </w:r>
      <w:bookmarkEnd w:id="10"/>
      <w:bookmarkEnd w:id="11"/>
    </w:p>
    <w:p w:rsidR="005832DD" w:rsidRPr="005832DD" w:rsidRDefault="005832DD" w:rsidP="005832DD">
      <w:pPr>
        <w:pStyle w:val="Odstavecseseznamem"/>
        <w:keepNext/>
        <w:keepLines/>
        <w:numPr>
          <w:ilvl w:val="0"/>
          <w:numId w:val="21"/>
        </w:numPr>
        <w:suppressAutoHyphens/>
        <w:autoSpaceDN w:val="0"/>
        <w:spacing w:after="120" w:line="252" w:lineRule="auto"/>
        <w:contextualSpacing w:val="0"/>
        <w:jc w:val="both"/>
        <w:rPr>
          <w:rFonts w:ascii="Times New Roman" w:hAnsi="Times New Roman"/>
          <w:b/>
          <w:i/>
          <w:sz w:val="24"/>
          <w:szCs w:val="24"/>
        </w:rPr>
      </w:pPr>
      <w:r w:rsidRPr="005832DD">
        <w:rPr>
          <w:rFonts w:ascii="Times New Roman" w:hAnsi="Times New Roman"/>
          <w:b/>
          <w:i/>
          <w:sz w:val="24"/>
          <w:szCs w:val="24"/>
        </w:rPr>
        <w:t>Sdělení Komise Evropskému parlamentu, Radě a Evropskému hospodářskému a sociálnímu výboru - Nová politika pro spotřebitele</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Sdělení představuje dva legislativní návrhy, které tvoří součást balíčku „Nová politika pro spotřebitele“, a vedle toho avizuje některé </w:t>
      </w:r>
      <w:r w:rsidRPr="005832DD">
        <w:rPr>
          <w:rFonts w:ascii="Times New Roman" w:hAnsi="Times New Roman"/>
          <w:sz w:val="24"/>
          <w:szCs w:val="24"/>
          <w:u w:val="single"/>
        </w:rPr>
        <w:t xml:space="preserve">nelegislativní činnosti, </w:t>
      </w:r>
      <w:r w:rsidRPr="005832DD">
        <w:rPr>
          <w:rFonts w:ascii="Times New Roman" w:hAnsi="Times New Roman"/>
          <w:sz w:val="24"/>
          <w:szCs w:val="24"/>
        </w:rPr>
        <w:t xml:space="preserve">jež Komise zamýšlí provádět za účelem dosažení vytyčených cílů. Během roku 2018 by Komise měla zahájit </w:t>
      </w:r>
      <w:r w:rsidRPr="005832DD">
        <w:rPr>
          <w:rFonts w:ascii="Times New Roman" w:hAnsi="Times New Roman"/>
          <w:sz w:val="24"/>
          <w:szCs w:val="24"/>
          <w:u w:val="single"/>
        </w:rPr>
        <w:t>unijní kampaň za účelem zlepšení porozumění spotřebitelskému právu a z něj plynoucím povinnostem vůči zákazníkům u malých a středních podniků.</w:t>
      </w:r>
      <w:r w:rsidRPr="005832DD">
        <w:rPr>
          <w:rFonts w:ascii="Times New Roman" w:hAnsi="Times New Roman"/>
          <w:sz w:val="24"/>
          <w:szCs w:val="24"/>
        </w:rPr>
        <w:t xml:space="preserve"> Plánováno je také spuštění </w:t>
      </w:r>
      <w:r w:rsidRPr="005832DD">
        <w:rPr>
          <w:rFonts w:ascii="Times New Roman" w:hAnsi="Times New Roman"/>
          <w:sz w:val="24"/>
          <w:szCs w:val="24"/>
          <w:u w:val="single"/>
        </w:rPr>
        <w:t>nové databáze právních předpisů včetně soudní judikatury a správních rozhodnutí z oblasti ochrany spotřebitele na evropském justičním portálu.</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Komise ve sdělení také poukázala na svůj záměr vstoupit do </w:t>
      </w:r>
      <w:r w:rsidRPr="005832DD">
        <w:rPr>
          <w:rFonts w:ascii="Times New Roman" w:hAnsi="Times New Roman"/>
          <w:sz w:val="24"/>
          <w:szCs w:val="24"/>
          <w:u w:val="single"/>
        </w:rPr>
        <w:t>vyjednávání o bilaterálních nebo multilaterálních smlouvách o spolupráci při vymáhání práv na ochranu spotřebitele</w:t>
      </w:r>
      <w:r w:rsidRPr="005832DD">
        <w:rPr>
          <w:rFonts w:ascii="Times New Roman" w:hAnsi="Times New Roman"/>
          <w:sz w:val="24"/>
          <w:szCs w:val="24"/>
        </w:rPr>
        <w:t xml:space="preserve"> se třetími zeměmi, </w:t>
      </w:r>
      <w:r w:rsidRPr="005832DD">
        <w:rPr>
          <w:rFonts w:ascii="Times New Roman" w:hAnsi="Times New Roman"/>
          <w:sz w:val="24"/>
          <w:szCs w:val="24"/>
          <w:u w:val="single"/>
        </w:rPr>
        <w:t>např. s USA, Kanadou nebo Čínou.</w:t>
      </w:r>
      <w:r w:rsidRPr="005832DD">
        <w:rPr>
          <w:rFonts w:ascii="Times New Roman" w:hAnsi="Times New Roman"/>
          <w:sz w:val="24"/>
          <w:szCs w:val="24"/>
        </w:rPr>
        <w:t xml:space="preserve"> S Čínou bude usilovat především </w:t>
      </w:r>
      <w:r w:rsidRPr="005832DD">
        <w:rPr>
          <w:rFonts w:ascii="Times New Roman" w:hAnsi="Times New Roman"/>
          <w:sz w:val="24"/>
          <w:szCs w:val="24"/>
          <w:u w:val="single"/>
        </w:rPr>
        <w:t>o zlepšení spolupráce v oblasti bezpečnosti zboží</w:t>
      </w:r>
      <w:r w:rsidRPr="005832DD">
        <w:rPr>
          <w:rFonts w:ascii="Times New Roman" w:hAnsi="Times New Roman"/>
          <w:sz w:val="24"/>
          <w:szCs w:val="24"/>
        </w:rPr>
        <w:t xml:space="preserve"> a zlepšování povědomí místních výrobců o požadavcích EU na bezpečnost zboží. Komise také vyjádřila </w:t>
      </w:r>
      <w:r w:rsidRPr="005832DD">
        <w:rPr>
          <w:rFonts w:ascii="Times New Roman" w:hAnsi="Times New Roman"/>
          <w:sz w:val="24"/>
          <w:szCs w:val="24"/>
          <w:u w:val="single"/>
        </w:rPr>
        <w:t>podporu mezinárodním iniciativám ke zlepšení bezpečnosti zboží prodávaného on-line</w:t>
      </w:r>
      <w:r w:rsidRPr="005832DD">
        <w:rPr>
          <w:rFonts w:ascii="Times New Roman" w:hAnsi="Times New Roman"/>
          <w:sz w:val="24"/>
          <w:szCs w:val="24"/>
        </w:rPr>
        <w:t xml:space="preserve"> a svůj zájem na </w:t>
      </w:r>
      <w:r w:rsidRPr="005832DD">
        <w:rPr>
          <w:rFonts w:ascii="Times New Roman" w:hAnsi="Times New Roman"/>
          <w:sz w:val="24"/>
          <w:szCs w:val="24"/>
          <w:u w:val="single"/>
        </w:rPr>
        <w:t>začlenění</w:t>
      </w:r>
      <w:r w:rsidRPr="005832DD">
        <w:rPr>
          <w:rFonts w:ascii="Times New Roman" w:hAnsi="Times New Roman"/>
          <w:sz w:val="24"/>
          <w:szCs w:val="24"/>
        </w:rPr>
        <w:t xml:space="preserve"> otázek </w:t>
      </w:r>
      <w:r w:rsidRPr="005832DD">
        <w:rPr>
          <w:rFonts w:ascii="Times New Roman" w:hAnsi="Times New Roman"/>
          <w:sz w:val="24"/>
          <w:szCs w:val="24"/>
          <w:u w:val="single"/>
        </w:rPr>
        <w:t>ochrany spotřebitele do</w:t>
      </w:r>
      <w:r w:rsidRPr="005832DD">
        <w:rPr>
          <w:rFonts w:ascii="Times New Roman" w:hAnsi="Times New Roman"/>
          <w:sz w:val="24"/>
          <w:szCs w:val="24"/>
        </w:rPr>
        <w:t xml:space="preserve"> budoucích </w:t>
      </w:r>
      <w:r w:rsidRPr="005832DD">
        <w:rPr>
          <w:rFonts w:ascii="Times New Roman" w:hAnsi="Times New Roman"/>
          <w:sz w:val="24"/>
          <w:szCs w:val="24"/>
          <w:u w:val="single"/>
        </w:rPr>
        <w:t>bilaterálních a multilaterálních obchodních vyjednávání.</w:t>
      </w:r>
    </w:p>
    <w:p w:rsidR="005832DD" w:rsidRPr="005832DD" w:rsidRDefault="005832DD" w:rsidP="005832DD">
      <w:pPr>
        <w:pStyle w:val="Odstavecseseznamem"/>
        <w:keepNext/>
        <w:keepLines/>
        <w:numPr>
          <w:ilvl w:val="0"/>
          <w:numId w:val="21"/>
        </w:numPr>
        <w:suppressAutoHyphens/>
        <w:autoSpaceDN w:val="0"/>
        <w:spacing w:after="120" w:line="252" w:lineRule="auto"/>
        <w:contextualSpacing w:val="0"/>
        <w:jc w:val="both"/>
        <w:rPr>
          <w:rFonts w:ascii="Times New Roman" w:hAnsi="Times New Roman"/>
          <w:b/>
          <w:i/>
          <w:sz w:val="24"/>
          <w:szCs w:val="24"/>
        </w:rPr>
      </w:pPr>
      <w:r w:rsidRPr="005832DD">
        <w:rPr>
          <w:rFonts w:ascii="Times New Roman" w:hAnsi="Times New Roman"/>
          <w:b/>
          <w:i/>
          <w:sz w:val="24"/>
          <w:szCs w:val="24"/>
        </w:rPr>
        <w:t>Návrh směrnice k lepšímu vymáhání a modernizaci právních předpisů na ochranu spotřebitele</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Hlavní změny, které návrh směrnice přináší, se týkají určité míry harmonizace právní úpravy správních sankcí při rozsáhlém porušování čtyř spotřebitelských směrnic, větší transparentnosti pro spotřebitele na internetových tržištích, ochrany spotřebitele v oblasti digitálních služeb, výslovného umožnění regulace nebo zákazu podomního prodeje či výjezdních prodejních akcí, řešení problému dvojí kvality výrobků na jednotném trhu, větší flexibility pro obchodníky při komunikaci se zákazníky a odstranění některých nadměrně zatěžujících povinností obchodníků týkajících se práva spotřebitele na odstoupení od smlouvy.</w:t>
      </w:r>
    </w:p>
    <w:p w:rsidR="005832DD" w:rsidRPr="005832DD" w:rsidRDefault="005832DD" w:rsidP="005832DD">
      <w:pPr>
        <w:jc w:val="both"/>
        <w:rPr>
          <w:rFonts w:ascii="Times New Roman" w:hAnsi="Times New Roman"/>
          <w:bCs/>
          <w:i/>
          <w:sz w:val="24"/>
          <w:szCs w:val="24"/>
          <w:u w:val="single"/>
        </w:rPr>
      </w:pPr>
      <w:r w:rsidRPr="005832DD">
        <w:rPr>
          <w:rFonts w:ascii="Times New Roman" w:hAnsi="Times New Roman"/>
          <w:bCs/>
          <w:i/>
          <w:sz w:val="24"/>
          <w:szCs w:val="24"/>
          <w:u w:val="single"/>
        </w:rPr>
        <w:t xml:space="preserve">Sankce za rozsáhlá přeshraniční protiprávní jednání </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lastRenderedPageBreak/>
        <w:t>Vzhledem k tomu, že Komise prostřednictvím nové politiky ochrany spotřebitele usiluje o zlepšení vymáhání spotřebitelského práva, zahrnuje návrh směrnice určitou míru harmonizace uplatňování sankcí (včetně pokut) za porušování spotřebitelského práva. V současné době není právní úprava sankcí na úrovni EU harmonizována, takže není stanoven jednotný způsob ukládání sankcí za stejné porušení spotřebitelského práva v různých členských státech EU ani kritéria pro stanovení výše sankce. Podle Komise se tedy druh a výše sankcí napříč členskými státy EU velmi liší s tím, že v některých členských státech jsou sankce stanoveny na velmi nízké úrovni. Podle analýzy posouzení dopadů zpracované Komisí se např. maximální možná výše finanční sankce pohybuje mezi 8.688 EUR v Litvě a až 5 miliony EUR v Itálii</w:t>
      </w:r>
      <w:r w:rsidRPr="005832DD">
        <w:rPr>
          <w:rStyle w:val="Znakapoznpodarou"/>
          <w:rFonts w:ascii="Times New Roman" w:hAnsi="Times New Roman"/>
          <w:sz w:val="24"/>
          <w:szCs w:val="24"/>
        </w:rPr>
        <w:footnoteReference w:id="1"/>
      </w:r>
      <w:r w:rsidRPr="005832DD">
        <w:rPr>
          <w:rFonts w:ascii="Times New Roman" w:hAnsi="Times New Roman"/>
          <w:sz w:val="24"/>
          <w:szCs w:val="24"/>
        </w:rPr>
        <w:t>.</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Návrh směrnice tedy vkládá do každé ze čtyř jím pozměňovaných směrnic nové sankční ustanovení, přičemž u směrnice o ochraně spotřebitelů při označování cen výrobků nabízených spotřebiteli a směrnice o nepřiměřených smluvních podmínkách ve spotřebitelských smlouvách představuje zavedení sankčních opatření jedinou navrhovanou změnu. </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Návrhem směrnice jsou konkrétně stanovena </w:t>
      </w:r>
      <w:r w:rsidRPr="005832DD">
        <w:rPr>
          <w:rFonts w:ascii="Times New Roman" w:hAnsi="Times New Roman"/>
          <w:sz w:val="24"/>
          <w:szCs w:val="24"/>
          <w:u w:val="single"/>
        </w:rPr>
        <w:t xml:space="preserve">kritéria, která by příslušné orgány členských států měly zohlednit při rozhodování o druhu a výši sankce </w:t>
      </w:r>
      <w:r w:rsidRPr="005832DD">
        <w:rPr>
          <w:rFonts w:ascii="Times New Roman" w:hAnsi="Times New Roman"/>
          <w:sz w:val="24"/>
          <w:szCs w:val="24"/>
        </w:rPr>
        <w:t>(např. povaha, délka a závažnost protiprávního jednání, úmyslné či nedbalostní zavinění, počet postižených spotřebitelů, získaný finanční prospěch, jiná předchozí protiprávní jednání obchodníka apod.).</w:t>
      </w:r>
      <w:r w:rsidRPr="005832DD">
        <w:rPr>
          <w:rFonts w:ascii="Times New Roman" w:hAnsi="Times New Roman"/>
          <w:sz w:val="24"/>
          <w:szCs w:val="24"/>
          <w:u w:val="single"/>
        </w:rPr>
        <w:t xml:space="preserve"> Tato kritéria se však podle úvodních ustanovení směrnice nemusí uplatňovat u méně závažných protiprávních jednání. </w:t>
      </w:r>
      <w:r w:rsidRPr="005832DD">
        <w:rPr>
          <w:rFonts w:ascii="Times New Roman" w:hAnsi="Times New Roman"/>
          <w:sz w:val="24"/>
          <w:szCs w:val="24"/>
        </w:rPr>
        <w:t xml:space="preserve">Je-li ukládanou </w:t>
      </w:r>
      <w:r w:rsidRPr="005832DD">
        <w:rPr>
          <w:rFonts w:ascii="Times New Roman" w:hAnsi="Times New Roman"/>
          <w:sz w:val="24"/>
          <w:szCs w:val="24"/>
          <w:u w:val="single"/>
        </w:rPr>
        <w:t>sankcí pokuta</w:t>
      </w:r>
      <w:r w:rsidRPr="005832DD">
        <w:rPr>
          <w:rFonts w:ascii="Times New Roman" w:hAnsi="Times New Roman"/>
          <w:sz w:val="24"/>
          <w:szCs w:val="24"/>
        </w:rPr>
        <w:t xml:space="preserve">, pak by měl příslušný orgán </w:t>
      </w:r>
      <w:r w:rsidRPr="005832DD">
        <w:rPr>
          <w:rFonts w:ascii="Times New Roman" w:hAnsi="Times New Roman"/>
          <w:sz w:val="24"/>
          <w:szCs w:val="24"/>
          <w:u w:val="single"/>
        </w:rPr>
        <w:t>zohlednit obrat obchodníka, jeho čistý zisk a případné další pokuty</w:t>
      </w:r>
      <w:r w:rsidRPr="005832DD">
        <w:rPr>
          <w:rFonts w:ascii="Times New Roman" w:hAnsi="Times New Roman"/>
          <w:sz w:val="24"/>
          <w:szCs w:val="24"/>
        </w:rPr>
        <w:t xml:space="preserve"> vyměřené </w:t>
      </w:r>
      <w:r w:rsidRPr="005832DD">
        <w:rPr>
          <w:rFonts w:ascii="Times New Roman" w:hAnsi="Times New Roman"/>
          <w:sz w:val="24"/>
          <w:szCs w:val="24"/>
          <w:u w:val="single"/>
        </w:rPr>
        <w:t>v jiných členských státech za totéž protiprávní jednání.</w:t>
      </w:r>
      <w:r w:rsidRPr="005832DD">
        <w:rPr>
          <w:rFonts w:ascii="Times New Roman" w:hAnsi="Times New Roman"/>
          <w:sz w:val="24"/>
          <w:szCs w:val="24"/>
        </w:rPr>
        <w:t xml:space="preserve"> Výčet kritérií obsažených ve směrnici není úplný, což znamená, že členské státy mohou pro rozhodování o sankcích uplatnit i další kritéria.</w:t>
      </w:r>
    </w:p>
    <w:p w:rsidR="005832DD" w:rsidRPr="005832DD" w:rsidRDefault="005832DD" w:rsidP="005832DD">
      <w:pPr>
        <w:jc w:val="both"/>
        <w:rPr>
          <w:rFonts w:ascii="Times New Roman" w:hAnsi="Times New Roman"/>
          <w:bCs/>
          <w:sz w:val="24"/>
          <w:szCs w:val="24"/>
        </w:rPr>
      </w:pPr>
      <w:r w:rsidRPr="005832DD">
        <w:rPr>
          <w:rFonts w:ascii="Times New Roman" w:hAnsi="Times New Roman"/>
          <w:sz w:val="24"/>
          <w:szCs w:val="24"/>
        </w:rPr>
        <w:t xml:space="preserve">V případě </w:t>
      </w:r>
      <w:r w:rsidRPr="005832DD">
        <w:rPr>
          <w:rFonts w:ascii="Times New Roman" w:hAnsi="Times New Roman"/>
          <w:sz w:val="24"/>
          <w:szCs w:val="24"/>
          <w:u w:val="single"/>
        </w:rPr>
        <w:t>„rozsáhlých protiprávních jednání“</w:t>
      </w:r>
      <w:r w:rsidRPr="005832DD">
        <w:rPr>
          <w:rStyle w:val="Znakapoznpodarou"/>
          <w:rFonts w:ascii="Times New Roman" w:hAnsi="Times New Roman"/>
          <w:sz w:val="24"/>
          <w:szCs w:val="24"/>
          <w:u w:val="single"/>
        </w:rPr>
        <w:footnoteReference w:id="2"/>
      </w:r>
      <w:r w:rsidRPr="005832DD">
        <w:rPr>
          <w:rFonts w:ascii="Times New Roman" w:hAnsi="Times New Roman"/>
          <w:sz w:val="24"/>
          <w:szCs w:val="24"/>
          <w:u w:val="single"/>
        </w:rPr>
        <w:t xml:space="preserve"> a „rozsáhlých protiprávních jednání s unijním rozměrem“</w:t>
      </w:r>
      <w:r w:rsidRPr="005832DD">
        <w:rPr>
          <w:rStyle w:val="Znakapoznpodarou"/>
          <w:rFonts w:ascii="Times New Roman" w:hAnsi="Times New Roman"/>
          <w:sz w:val="24"/>
          <w:szCs w:val="24"/>
          <w:u w:val="single"/>
        </w:rPr>
        <w:footnoteReference w:id="3"/>
      </w:r>
      <w:r w:rsidRPr="005832DD">
        <w:rPr>
          <w:rFonts w:ascii="Times New Roman" w:hAnsi="Times New Roman"/>
          <w:sz w:val="24"/>
          <w:szCs w:val="24"/>
        </w:rPr>
        <w:t xml:space="preserve"> ve smyslu definic obsažených v nařízení (EU) 2017/2394 </w:t>
      </w:r>
      <w:r w:rsidRPr="005832DD">
        <w:rPr>
          <w:rFonts w:ascii="Times New Roman" w:hAnsi="Times New Roman"/>
          <w:bCs/>
          <w:sz w:val="24"/>
          <w:szCs w:val="24"/>
        </w:rPr>
        <w:t>ze dne 12. prosince 2017</w:t>
      </w:r>
      <w:r w:rsidRPr="005832DD">
        <w:rPr>
          <w:rFonts w:ascii="Times New Roman" w:hAnsi="Times New Roman"/>
          <w:sz w:val="24"/>
          <w:szCs w:val="24"/>
        </w:rPr>
        <w:t xml:space="preserve"> o spolupráci </w:t>
      </w:r>
      <w:r w:rsidRPr="005832DD">
        <w:rPr>
          <w:rFonts w:ascii="Times New Roman" w:hAnsi="Times New Roman"/>
          <w:bCs/>
          <w:sz w:val="24"/>
          <w:szCs w:val="24"/>
        </w:rPr>
        <w:t xml:space="preserve">mezi vnitrostátními orgány příslušnými pro vymáhání dodržování právních předpisů na ochranu zájmů spotřebitelů a o zrušení nařízení (ES) č. 2006/2004 </w:t>
      </w:r>
      <w:r w:rsidRPr="005832DD">
        <w:rPr>
          <w:rFonts w:ascii="Times New Roman" w:hAnsi="Times New Roman"/>
          <w:sz w:val="24"/>
          <w:szCs w:val="24"/>
        </w:rPr>
        <w:t xml:space="preserve">by podle návrhu směrnice příslušné orgány členských států měly mít </w:t>
      </w:r>
      <w:r w:rsidRPr="005832DD">
        <w:rPr>
          <w:rFonts w:ascii="Times New Roman" w:hAnsi="Times New Roman"/>
          <w:sz w:val="24"/>
          <w:szCs w:val="24"/>
          <w:u w:val="single"/>
        </w:rPr>
        <w:t xml:space="preserve">pravomoc uložit obchodníkovi za </w:t>
      </w:r>
      <w:r w:rsidRPr="005832DD">
        <w:rPr>
          <w:rFonts w:ascii="Times New Roman" w:hAnsi="Times New Roman"/>
          <w:sz w:val="24"/>
          <w:szCs w:val="24"/>
          <w:u w:val="single"/>
        </w:rPr>
        <w:lastRenderedPageBreak/>
        <w:t>porušování spotřebitelského práva pokutu v maximální výši alespoň 4 % jeho obratu v dotčeném členském státě nebo dotčených členských státech.</w:t>
      </w:r>
      <w:r w:rsidRPr="005832DD">
        <w:rPr>
          <w:rFonts w:ascii="Times New Roman" w:hAnsi="Times New Roman"/>
          <w:sz w:val="24"/>
          <w:szCs w:val="24"/>
        </w:rPr>
        <w:t xml:space="preserve"> Určení </w:t>
      </w:r>
      <w:r w:rsidRPr="005832DD">
        <w:rPr>
          <w:rFonts w:ascii="Times New Roman" w:hAnsi="Times New Roman"/>
          <w:sz w:val="24"/>
          <w:szCs w:val="24"/>
          <w:u w:val="single"/>
        </w:rPr>
        <w:t>konkrétní výše sankce</w:t>
      </w:r>
      <w:r w:rsidRPr="005832DD">
        <w:rPr>
          <w:rFonts w:ascii="Times New Roman" w:hAnsi="Times New Roman"/>
          <w:sz w:val="24"/>
          <w:szCs w:val="24"/>
        </w:rPr>
        <w:t xml:space="preserve"> by při respektování této hranice bylo </w:t>
      </w:r>
      <w:r w:rsidRPr="005832DD">
        <w:rPr>
          <w:rFonts w:ascii="Times New Roman" w:hAnsi="Times New Roman"/>
          <w:sz w:val="24"/>
          <w:szCs w:val="24"/>
          <w:u w:val="single"/>
        </w:rPr>
        <w:t>v pravomoci příslušného orgánu členského státu.</w:t>
      </w:r>
      <w:r w:rsidRPr="005832DD">
        <w:rPr>
          <w:rFonts w:ascii="Times New Roman" w:hAnsi="Times New Roman"/>
          <w:sz w:val="24"/>
          <w:szCs w:val="24"/>
        </w:rPr>
        <w:t xml:space="preserve"> Podle Komise je tato harmonizace nutná k zajištění koordinace sankcí vyžadovaných revidovaným nařízením (EU) 2017/2394 o spolupráci v oblasti ochrany spotřebitele.</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Návrh směrnice obsahuje i hledisko pro rozpočtové určení pokut, když stanoví, že </w:t>
      </w:r>
      <w:r w:rsidRPr="005832DD">
        <w:rPr>
          <w:rFonts w:ascii="Times New Roman" w:hAnsi="Times New Roman"/>
          <w:sz w:val="24"/>
          <w:szCs w:val="24"/>
          <w:u w:val="single"/>
        </w:rPr>
        <w:t>příjmy získané z pokut by měly být rozdělovány se zřetelem na zájmy spotřebitelů</w:t>
      </w:r>
      <w:r w:rsidRPr="005832DD">
        <w:rPr>
          <w:rFonts w:ascii="Times New Roman" w:hAnsi="Times New Roman"/>
          <w:sz w:val="24"/>
          <w:szCs w:val="24"/>
        </w:rPr>
        <w:t>.</w:t>
      </w:r>
    </w:p>
    <w:p w:rsidR="005832DD" w:rsidRPr="005832DD" w:rsidRDefault="005832DD" w:rsidP="005832DD">
      <w:pPr>
        <w:jc w:val="both"/>
        <w:rPr>
          <w:rFonts w:ascii="Times New Roman" w:hAnsi="Times New Roman"/>
          <w:bCs/>
          <w:i/>
          <w:sz w:val="24"/>
          <w:szCs w:val="24"/>
          <w:u w:val="single"/>
        </w:rPr>
      </w:pPr>
      <w:r w:rsidRPr="005832DD">
        <w:rPr>
          <w:rFonts w:ascii="Times New Roman" w:hAnsi="Times New Roman"/>
          <w:bCs/>
          <w:i/>
          <w:sz w:val="24"/>
          <w:szCs w:val="24"/>
          <w:u w:val="single"/>
        </w:rPr>
        <w:t>Právo spotřebitele na individuální nápravu při nekalých obchodních praktikách</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Návrh směrnice vyžaduje, aby členské státy ve svých právních řádech </w:t>
      </w:r>
      <w:r w:rsidRPr="005832DD">
        <w:rPr>
          <w:rFonts w:ascii="Times New Roman" w:hAnsi="Times New Roman"/>
          <w:sz w:val="24"/>
          <w:szCs w:val="24"/>
          <w:u w:val="single"/>
        </w:rPr>
        <w:t>spotřebitelům</w:t>
      </w:r>
      <w:r w:rsidRPr="005832DD">
        <w:rPr>
          <w:rFonts w:ascii="Times New Roman" w:hAnsi="Times New Roman"/>
          <w:sz w:val="24"/>
          <w:szCs w:val="24"/>
        </w:rPr>
        <w:t xml:space="preserve"> zajistily </w:t>
      </w:r>
      <w:r w:rsidRPr="005832DD">
        <w:rPr>
          <w:rFonts w:ascii="Times New Roman" w:hAnsi="Times New Roman"/>
          <w:sz w:val="24"/>
          <w:szCs w:val="24"/>
          <w:u w:val="single"/>
        </w:rPr>
        <w:t>nárok na individuální nápravu v případě</w:t>
      </w:r>
      <w:r w:rsidRPr="005832DD">
        <w:rPr>
          <w:rFonts w:ascii="Times New Roman" w:hAnsi="Times New Roman"/>
          <w:sz w:val="24"/>
          <w:szCs w:val="24"/>
        </w:rPr>
        <w:t>, že se stanou obětí některé z </w:t>
      </w:r>
      <w:r w:rsidRPr="005832DD">
        <w:rPr>
          <w:rFonts w:ascii="Times New Roman" w:hAnsi="Times New Roman"/>
          <w:sz w:val="24"/>
          <w:szCs w:val="24"/>
          <w:u w:val="single"/>
        </w:rPr>
        <w:t>nekalých praktik obchodníka</w:t>
      </w:r>
      <w:r w:rsidRPr="005832DD">
        <w:rPr>
          <w:rFonts w:ascii="Times New Roman" w:hAnsi="Times New Roman"/>
          <w:sz w:val="24"/>
          <w:szCs w:val="24"/>
        </w:rPr>
        <w:t xml:space="preserve"> uvedených ve směrnici 2005/29/ES o nekalých obchodních praktikách (např. agresivního marketingu). </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u w:val="single"/>
        </w:rPr>
        <w:t>Členským státům přitom návrh směrnice ponechává určitou flexibilitu v tom směru, jaké prostředky individuální nápravy dají spotřebitelům k dispozici</w:t>
      </w:r>
      <w:r w:rsidRPr="005832DD">
        <w:rPr>
          <w:rFonts w:ascii="Times New Roman" w:hAnsi="Times New Roman"/>
          <w:sz w:val="24"/>
          <w:szCs w:val="24"/>
        </w:rPr>
        <w:t xml:space="preserve">. Vždy však musí být zavedeny smluvní i nesmluvní prostředky individuální nápravy s tím, že </w:t>
      </w:r>
      <w:r w:rsidRPr="005832DD">
        <w:rPr>
          <w:rFonts w:ascii="Times New Roman" w:hAnsi="Times New Roman"/>
          <w:sz w:val="24"/>
          <w:szCs w:val="24"/>
          <w:u w:val="single"/>
        </w:rPr>
        <w:t>smluvní prostředky nápravy musí zahrnovat</w:t>
      </w:r>
      <w:r w:rsidRPr="005832DD">
        <w:rPr>
          <w:rFonts w:ascii="Times New Roman" w:hAnsi="Times New Roman"/>
          <w:sz w:val="24"/>
          <w:szCs w:val="24"/>
        </w:rPr>
        <w:t xml:space="preserve"> alespoň </w:t>
      </w:r>
      <w:r w:rsidRPr="005832DD">
        <w:rPr>
          <w:rFonts w:ascii="Times New Roman" w:hAnsi="Times New Roman"/>
          <w:sz w:val="24"/>
          <w:szCs w:val="24"/>
          <w:u w:val="single"/>
        </w:rPr>
        <w:t>právo na odstoupení od smlouvy a nesmluvní prostředky</w:t>
      </w:r>
      <w:r w:rsidRPr="005832DD">
        <w:rPr>
          <w:rFonts w:ascii="Times New Roman" w:hAnsi="Times New Roman"/>
          <w:sz w:val="24"/>
          <w:szCs w:val="24"/>
        </w:rPr>
        <w:t xml:space="preserve"> alespoň </w:t>
      </w:r>
      <w:r w:rsidRPr="005832DD">
        <w:rPr>
          <w:rFonts w:ascii="Times New Roman" w:hAnsi="Times New Roman"/>
          <w:sz w:val="24"/>
          <w:szCs w:val="24"/>
          <w:u w:val="single"/>
        </w:rPr>
        <w:t>právo spotřebitele na náhradu škody.</w:t>
      </w:r>
    </w:p>
    <w:p w:rsidR="005832DD" w:rsidRPr="005832DD" w:rsidRDefault="005832DD" w:rsidP="005832DD">
      <w:pPr>
        <w:jc w:val="both"/>
        <w:rPr>
          <w:rFonts w:ascii="Times New Roman" w:hAnsi="Times New Roman"/>
          <w:bCs/>
          <w:i/>
          <w:sz w:val="24"/>
          <w:szCs w:val="24"/>
          <w:u w:val="single"/>
        </w:rPr>
      </w:pPr>
      <w:r w:rsidRPr="005832DD">
        <w:rPr>
          <w:rFonts w:ascii="Times New Roman" w:hAnsi="Times New Roman"/>
          <w:bCs/>
          <w:i/>
          <w:sz w:val="24"/>
          <w:szCs w:val="24"/>
          <w:u w:val="single"/>
        </w:rPr>
        <w:t xml:space="preserve">Větší transparentnost pro spotřebitele na internetových tržištích </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Návrh směrnice usiluje o </w:t>
      </w:r>
      <w:r w:rsidRPr="005832DD">
        <w:rPr>
          <w:rFonts w:ascii="Times New Roman" w:hAnsi="Times New Roman"/>
          <w:sz w:val="24"/>
          <w:szCs w:val="24"/>
          <w:u w:val="single"/>
        </w:rPr>
        <w:t xml:space="preserve">zvýšení transparentnosti internetových tržišť </w:t>
      </w:r>
      <w:r w:rsidRPr="005832DD">
        <w:rPr>
          <w:rFonts w:ascii="Times New Roman" w:hAnsi="Times New Roman"/>
          <w:sz w:val="24"/>
          <w:szCs w:val="24"/>
        </w:rPr>
        <w:t xml:space="preserve">a o zlepšení </w:t>
      </w:r>
      <w:r w:rsidRPr="005832DD">
        <w:rPr>
          <w:rFonts w:ascii="Times New Roman" w:hAnsi="Times New Roman"/>
          <w:sz w:val="24"/>
          <w:szCs w:val="24"/>
          <w:u w:val="single"/>
        </w:rPr>
        <w:t>povědomí o právech spotřebitelů při nákupech na nich</w:t>
      </w:r>
      <w:r w:rsidRPr="005832DD">
        <w:rPr>
          <w:rFonts w:ascii="Times New Roman" w:hAnsi="Times New Roman"/>
          <w:sz w:val="24"/>
          <w:szCs w:val="24"/>
        </w:rPr>
        <w:t>. Spotřebiteli jsou na internetových tržištích zpravidla nabízeny různé produkty, které mohou pocházet buď od internetového tržiště samotného, nebo od jiných obchodníků či jednotlivců. Spotřebitel má často za to, že nakupuje přímo od provozovatele internetového tržiště a nákupem zboží s ním vstupuje do smluvního vztahu. Ve skutečnosti je však často prodejcem jiný obchodník, který pouze využívá služeb internetového tržiště jako zprostředkovatele. V takových případech provozovatel internetového tržiště zpravidla nenese odpovědnost za případné obtíže související s dodáním zboží nebo se zbožím samotným (např. odpovědnost za vady zboží). Spotřebiteli zároveň nemusí být vždy jasné, zda se na jeho právní vztah s obchodníkem vůbec vztahuje spotřebitelské právo, či nikoli (protože druhá strana obchodu nemusí být vždy obchodníkem, ale může být i jednotlivcem, který nejedná v rámci své podnikatelské činnosti).</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Návrh směrnice má tedy za cíl přispět k řešení problémů spotřebitelů při nákupech na internetových tržištích, a proto mění směrnici 2011/83/EU o právech spotřebitelů v tom smyslu, že </w:t>
      </w:r>
      <w:r w:rsidRPr="005832DD">
        <w:rPr>
          <w:rFonts w:ascii="Times New Roman" w:hAnsi="Times New Roman"/>
          <w:sz w:val="24"/>
          <w:szCs w:val="24"/>
          <w:u w:val="single"/>
        </w:rPr>
        <w:t>internetová tržiště</w:t>
      </w:r>
      <w:r w:rsidRPr="005832DD">
        <w:rPr>
          <w:rFonts w:ascii="Times New Roman" w:hAnsi="Times New Roman"/>
          <w:sz w:val="24"/>
          <w:szCs w:val="24"/>
        </w:rPr>
        <w:t xml:space="preserve"> mají nově </w:t>
      </w:r>
      <w:r w:rsidRPr="005832DD">
        <w:rPr>
          <w:rFonts w:ascii="Times New Roman" w:hAnsi="Times New Roman"/>
          <w:sz w:val="24"/>
          <w:szCs w:val="24"/>
          <w:u w:val="single"/>
        </w:rPr>
        <w:t>povinnost svým zákazníkům poskytnout následující předsmluvní informace</w:t>
      </w:r>
      <w:r w:rsidRPr="005832DD">
        <w:rPr>
          <w:rFonts w:ascii="Times New Roman" w:hAnsi="Times New Roman"/>
          <w:sz w:val="24"/>
          <w:szCs w:val="24"/>
        </w:rPr>
        <w:t>:</w:t>
      </w:r>
    </w:p>
    <w:p w:rsidR="005832DD" w:rsidRPr="005832DD" w:rsidRDefault="005832DD" w:rsidP="005832DD">
      <w:pPr>
        <w:pStyle w:val="Odstavecseseznamem"/>
        <w:numPr>
          <w:ilvl w:val="0"/>
          <w:numId w:val="22"/>
        </w:numPr>
        <w:autoSpaceDN w:val="0"/>
        <w:jc w:val="both"/>
        <w:rPr>
          <w:rFonts w:ascii="Times New Roman" w:hAnsi="Times New Roman"/>
          <w:sz w:val="24"/>
          <w:szCs w:val="24"/>
          <w:u w:val="single"/>
        </w:rPr>
      </w:pPr>
      <w:r w:rsidRPr="005832DD">
        <w:rPr>
          <w:rFonts w:ascii="Times New Roman" w:hAnsi="Times New Roman"/>
          <w:sz w:val="24"/>
          <w:szCs w:val="24"/>
          <w:u w:val="single"/>
        </w:rPr>
        <w:t>Jakým způsobem jsou řazeny nabídky zboží, které jsou zákazníkům prezentovány na internetovém tržišti;</w:t>
      </w:r>
    </w:p>
    <w:p w:rsidR="005832DD" w:rsidRPr="005832DD" w:rsidRDefault="005832DD" w:rsidP="005832DD">
      <w:pPr>
        <w:pStyle w:val="Odstavecseseznamem"/>
        <w:numPr>
          <w:ilvl w:val="0"/>
          <w:numId w:val="22"/>
        </w:numPr>
        <w:autoSpaceDN w:val="0"/>
        <w:jc w:val="both"/>
        <w:rPr>
          <w:rFonts w:ascii="Times New Roman" w:hAnsi="Times New Roman"/>
          <w:sz w:val="24"/>
          <w:szCs w:val="24"/>
          <w:u w:val="single"/>
        </w:rPr>
      </w:pPr>
      <w:r w:rsidRPr="005832DD">
        <w:rPr>
          <w:rFonts w:ascii="Times New Roman" w:hAnsi="Times New Roman"/>
          <w:sz w:val="24"/>
          <w:szCs w:val="24"/>
          <w:u w:val="single"/>
        </w:rPr>
        <w:t>Zda je kupní smlouva uzavřena s obchodníkem či jednotlivcem;</w:t>
      </w:r>
    </w:p>
    <w:p w:rsidR="005832DD" w:rsidRPr="005832DD" w:rsidRDefault="005832DD" w:rsidP="005832DD">
      <w:pPr>
        <w:pStyle w:val="Odstavecseseznamem"/>
        <w:numPr>
          <w:ilvl w:val="0"/>
          <w:numId w:val="22"/>
        </w:numPr>
        <w:autoSpaceDN w:val="0"/>
        <w:jc w:val="both"/>
        <w:rPr>
          <w:rFonts w:ascii="Times New Roman" w:hAnsi="Times New Roman"/>
          <w:sz w:val="24"/>
          <w:szCs w:val="24"/>
          <w:u w:val="single"/>
        </w:rPr>
      </w:pPr>
      <w:r w:rsidRPr="005832DD">
        <w:rPr>
          <w:rFonts w:ascii="Times New Roman" w:hAnsi="Times New Roman"/>
          <w:sz w:val="24"/>
          <w:szCs w:val="24"/>
          <w:u w:val="single"/>
        </w:rPr>
        <w:t>Zda se na nákup zboží vztahuje právo na ochranu spotřebitele;</w:t>
      </w:r>
    </w:p>
    <w:p w:rsidR="005832DD" w:rsidRPr="005832DD" w:rsidRDefault="005832DD" w:rsidP="005832DD">
      <w:pPr>
        <w:pStyle w:val="Odstavecseseznamem"/>
        <w:numPr>
          <w:ilvl w:val="0"/>
          <w:numId w:val="22"/>
        </w:numPr>
        <w:autoSpaceDN w:val="0"/>
        <w:jc w:val="both"/>
        <w:rPr>
          <w:rFonts w:ascii="Times New Roman" w:hAnsi="Times New Roman"/>
          <w:sz w:val="24"/>
          <w:szCs w:val="24"/>
        </w:rPr>
      </w:pPr>
      <w:r w:rsidRPr="005832DD">
        <w:rPr>
          <w:rFonts w:ascii="Times New Roman" w:hAnsi="Times New Roman"/>
          <w:sz w:val="24"/>
          <w:szCs w:val="24"/>
          <w:u w:val="single"/>
        </w:rPr>
        <w:t>Kdo nese odpovědnost vyplývající z uzavřené kupní smlouvy – zda přímo internetové tržiště nebo jiný obchodník (aby bylo patrné, komu např. adresovat odstoupení od smlouvy nebo u koho uplatnit záruku).</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Vedle toho návrh směrnice </w:t>
      </w:r>
      <w:r w:rsidRPr="005832DD">
        <w:rPr>
          <w:rFonts w:ascii="Times New Roman" w:hAnsi="Times New Roman"/>
          <w:sz w:val="24"/>
          <w:szCs w:val="24"/>
          <w:u w:val="single"/>
        </w:rPr>
        <w:t>ukládá on-line platformám, aby informovaly spotřebitele o parametrech pro tvorbu seznamu výsledků vyhledávání</w:t>
      </w:r>
      <w:r w:rsidRPr="005832DD">
        <w:rPr>
          <w:rFonts w:ascii="Times New Roman" w:hAnsi="Times New Roman"/>
          <w:sz w:val="24"/>
          <w:szCs w:val="24"/>
        </w:rPr>
        <w:t xml:space="preserve">, tj. aby označily výsledky </w:t>
      </w:r>
      <w:r w:rsidRPr="005832DD">
        <w:rPr>
          <w:rFonts w:ascii="Times New Roman" w:hAnsi="Times New Roman"/>
          <w:sz w:val="24"/>
          <w:szCs w:val="24"/>
        </w:rPr>
        <w:lastRenderedPageBreak/>
        <w:t xml:space="preserve">vyhledávání, které jsou v seznamu zobrazeny v důsledku placeného zaražení na seznam nebo jsou na základě placeného vyššího umístění v seznamu zobrazeny na vyšší pozici, jakožto výsledky s větší relevancí. </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Návrh směrnice také označuje za nekalou praktiku situaci, kdy obchodník zaplatí za propagaci v internetovém vyhledávači, a v důsledku toho se jeho internetová stránka objeví ve výsledcích vyhledávání nebo se objeví na vyšším místě, přičemž spotřebitel to nemůže ze zobrazených výsledků jednoznačně poznat (návrh tuto praktiku podřazuje pod skrytou reklamu).</w:t>
      </w:r>
    </w:p>
    <w:p w:rsidR="005832DD" w:rsidRPr="005832DD" w:rsidRDefault="005832DD" w:rsidP="005832DD">
      <w:pPr>
        <w:jc w:val="both"/>
        <w:rPr>
          <w:rFonts w:ascii="Times New Roman" w:hAnsi="Times New Roman"/>
          <w:i/>
          <w:sz w:val="24"/>
          <w:szCs w:val="24"/>
          <w:u w:val="single"/>
        </w:rPr>
      </w:pPr>
      <w:r w:rsidRPr="005832DD">
        <w:rPr>
          <w:rFonts w:ascii="Times New Roman" w:hAnsi="Times New Roman"/>
          <w:i/>
          <w:sz w:val="24"/>
          <w:szCs w:val="24"/>
          <w:u w:val="single"/>
        </w:rPr>
        <w:t>Větší flexibilita a odstranění regulatorní zátěže pro obchodníky</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Návrh směrnice má za cíl v některých aspektech snížit přílišnou regulatorní zátěž kladenou na obchodníky, a to jednak tím, že </w:t>
      </w:r>
      <w:r w:rsidRPr="005832DD">
        <w:rPr>
          <w:rFonts w:ascii="Times New Roman" w:hAnsi="Times New Roman"/>
          <w:sz w:val="24"/>
          <w:szCs w:val="24"/>
          <w:u w:val="single"/>
        </w:rPr>
        <w:t>odstraňuje dvě povinnosti vztahující se k výkonu práva spotřebitele na odstoupení od smlouvy,</w:t>
      </w:r>
      <w:r w:rsidRPr="005832DD">
        <w:rPr>
          <w:rFonts w:ascii="Times New Roman" w:hAnsi="Times New Roman"/>
          <w:sz w:val="24"/>
          <w:szCs w:val="24"/>
        </w:rPr>
        <w:t xml:space="preserve"> a jednak tím, že dává obchodníkům </w:t>
      </w:r>
      <w:r w:rsidRPr="005832DD">
        <w:rPr>
          <w:rFonts w:ascii="Times New Roman" w:hAnsi="Times New Roman"/>
          <w:sz w:val="24"/>
          <w:szCs w:val="24"/>
          <w:u w:val="single"/>
        </w:rPr>
        <w:t>větším flexibilitu při komunikaci se zákazníky</w:t>
      </w:r>
      <w:r w:rsidRPr="005832DD">
        <w:rPr>
          <w:rFonts w:ascii="Times New Roman" w:hAnsi="Times New Roman"/>
          <w:sz w:val="24"/>
          <w:szCs w:val="24"/>
        </w:rPr>
        <w:t>.</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V souvislosti s odstoupením od smlouvy návrh směrnice obchodníkům nově umožňuje </w:t>
      </w:r>
      <w:r w:rsidRPr="005832DD">
        <w:rPr>
          <w:rFonts w:ascii="Times New Roman" w:hAnsi="Times New Roman"/>
          <w:sz w:val="24"/>
          <w:szCs w:val="24"/>
          <w:u w:val="single"/>
        </w:rPr>
        <w:t>nepřijmout odstoupení od smlouvy</w:t>
      </w:r>
      <w:r w:rsidRPr="005832DD">
        <w:rPr>
          <w:rFonts w:ascii="Times New Roman" w:hAnsi="Times New Roman"/>
          <w:sz w:val="24"/>
          <w:szCs w:val="24"/>
        </w:rPr>
        <w:t xml:space="preserve">, pokud s nakoupeným </w:t>
      </w:r>
      <w:r w:rsidRPr="005832DD">
        <w:rPr>
          <w:rFonts w:ascii="Times New Roman" w:hAnsi="Times New Roman"/>
          <w:sz w:val="24"/>
          <w:szCs w:val="24"/>
          <w:u w:val="single"/>
        </w:rPr>
        <w:t>zbožím spotřebitel nakládal nad rámec toho, co je nezbytné k seznámení se s povahou, vlastnostmi a funkcí zboží</w:t>
      </w:r>
      <w:r w:rsidRPr="005832DD">
        <w:rPr>
          <w:rFonts w:ascii="Times New Roman" w:hAnsi="Times New Roman"/>
          <w:sz w:val="24"/>
          <w:szCs w:val="24"/>
        </w:rPr>
        <w:t xml:space="preserve"> (tedy k vyzkoušení zboží podobným způsobem, jako při nákupu v kamenném obchodě). Podle stávající právní úpravy musí obchodník v rámci odstoupení od smlouvy přijmout i takové zboží s tím, že spotřebiteli nemusí vrátit poměrnou část kupní ceny, která odpovídá snížení hodnoty zboží způsobené nakládáním se zbožím nad rámec jeho pouhého vyzkoušení.</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Druhá změna spočívá v tom, že </w:t>
      </w:r>
      <w:r w:rsidRPr="005832DD">
        <w:rPr>
          <w:rFonts w:ascii="Times New Roman" w:hAnsi="Times New Roman"/>
          <w:sz w:val="24"/>
          <w:szCs w:val="24"/>
          <w:u w:val="single"/>
        </w:rPr>
        <w:t>obchodník</w:t>
      </w:r>
      <w:r w:rsidRPr="005832DD">
        <w:rPr>
          <w:rFonts w:ascii="Times New Roman" w:hAnsi="Times New Roman"/>
          <w:sz w:val="24"/>
          <w:szCs w:val="24"/>
        </w:rPr>
        <w:t xml:space="preserve"> podle návrhu směrnice </w:t>
      </w:r>
      <w:r w:rsidRPr="005832DD">
        <w:rPr>
          <w:rFonts w:ascii="Times New Roman" w:hAnsi="Times New Roman"/>
          <w:sz w:val="24"/>
          <w:szCs w:val="24"/>
          <w:u w:val="single"/>
        </w:rPr>
        <w:t>nově nebude muset spotřebiteli při odstoupení od smlouvy vrátit cenu zakoupeného zboží dříve, než mu bude doručeno spotřebitelem vrácené zboží.</w:t>
      </w:r>
      <w:r w:rsidRPr="005832DD">
        <w:rPr>
          <w:rFonts w:ascii="Times New Roman" w:hAnsi="Times New Roman"/>
          <w:sz w:val="24"/>
          <w:szCs w:val="24"/>
        </w:rPr>
        <w:t xml:space="preserve"> Podle stávající právní úpravy je obchodník povinen spotřebiteli vrátit kupní cenu za zboží již v okamžiku, kdy mu spotřebitel prokáže, že zboží odeslal (např. poštovním podacím lístkem), i když obchodník zboží ještě fyzicky neobdržel. </w:t>
      </w:r>
    </w:p>
    <w:p w:rsidR="005832DD" w:rsidRPr="005832DD" w:rsidRDefault="005832DD" w:rsidP="005832DD">
      <w:pPr>
        <w:jc w:val="both"/>
        <w:rPr>
          <w:rFonts w:ascii="Times New Roman" w:hAnsi="Times New Roman"/>
          <w:sz w:val="24"/>
          <w:szCs w:val="24"/>
          <w:u w:val="single"/>
        </w:rPr>
      </w:pPr>
      <w:r w:rsidRPr="005832DD">
        <w:rPr>
          <w:rFonts w:ascii="Times New Roman" w:hAnsi="Times New Roman"/>
          <w:sz w:val="24"/>
          <w:szCs w:val="24"/>
        </w:rPr>
        <w:t xml:space="preserve">Větší flexibilita při komunikaci se zákazníky, kterou návrh směrnice přináší, pak spočívá v tom, že je </w:t>
      </w:r>
      <w:r w:rsidRPr="005832DD">
        <w:rPr>
          <w:rFonts w:ascii="Times New Roman" w:hAnsi="Times New Roman"/>
          <w:sz w:val="24"/>
          <w:szCs w:val="24"/>
          <w:u w:val="single"/>
        </w:rPr>
        <w:t>vyjasněno, že obchodník může se spotřebitelem komunikovat i online</w:t>
      </w:r>
      <w:r w:rsidRPr="005832DD">
        <w:rPr>
          <w:rFonts w:ascii="Times New Roman" w:hAnsi="Times New Roman"/>
          <w:sz w:val="24"/>
          <w:szCs w:val="24"/>
        </w:rPr>
        <w:t xml:space="preserve"> (např. prostřednictvím internetového chatu nebo k tomu určeného on-line formuláře), za předpokladu, že </w:t>
      </w:r>
      <w:r w:rsidRPr="005832DD">
        <w:rPr>
          <w:rFonts w:ascii="Times New Roman" w:hAnsi="Times New Roman"/>
          <w:sz w:val="24"/>
          <w:szCs w:val="24"/>
          <w:u w:val="single"/>
        </w:rPr>
        <w:t xml:space="preserve">si spotřebitel může o proběhlé komunikaci vést záznamy. </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Návrh směrnice také usnadňuje postavení obchodníků v tom, že </w:t>
      </w:r>
      <w:r w:rsidRPr="005832DD">
        <w:rPr>
          <w:rFonts w:ascii="Times New Roman" w:hAnsi="Times New Roman"/>
          <w:sz w:val="24"/>
          <w:szCs w:val="24"/>
          <w:u w:val="single"/>
        </w:rPr>
        <w:t>ruší požadavek, aby obchodník spotřebitele již ve fázi „výzvy ke koupi“ informoval o podmínkách vyřizování reklamací a stížností.</w:t>
      </w:r>
      <w:r w:rsidRPr="005832DD">
        <w:rPr>
          <w:rFonts w:ascii="Times New Roman" w:hAnsi="Times New Roman"/>
          <w:sz w:val="24"/>
          <w:szCs w:val="24"/>
        </w:rPr>
        <w:t xml:space="preserve"> Fáze „výzvy ke koupi“ v praxi zahrnuje třeba případy, kdy obchodník propaguje určitý výrobek, který nabízí spotřebiteli ke koupi za konkrétní cenu např. v reklamě na internetové stránce nějakého média. Z hodnocení v rámci programu REFIT totiž vyplynulo, že spotřebiteli postačuje, když tyto informace obdrží až v tzv. „předsmluvní fázi“, tj. např. v okamžiku, kdy je výrobek přímo nabízen ke koupi v internetovém obchodě daného obchodníka.</w:t>
      </w:r>
    </w:p>
    <w:p w:rsidR="005832DD" w:rsidRPr="005832DD" w:rsidRDefault="005832DD" w:rsidP="005832DD">
      <w:pPr>
        <w:jc w:val="both"/>
        <w:rPr>
          <w:rFonts w:ascii="Times New Roman" w:hAnsi="Times New Roman"/>
          <w:i/>
          <w:sz w:val="24"/>
          <w:szCs w:val="24"/>
          <w:u w:val="single"/>
        </w:rPr>
      </w:pPr>
      <w:r w:rsidRPr="005832DD">
        <w:rPr>
          <w:rFonts w:ascii="Times New Roman" w:hAnsi="Times New Roman"/>
          <w:i/>
          <w:sz w:val="24"/>
          <w:szCs w:val="24"/>
          <w:u w:val="single"/>
        </w:rPr>
        <w:t>Posílení ochrany spotřebitelů v oblasti digitálních služeb</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Komise na základě průzkumů a šetření došla k závěru, že </w:t>
      </w:r>
      <w:r w:rsidRPr="005832DD">
        <w:rPr>
          <w:rFonts w:ascii="Times New Roman" w:hAnsi="Times New Roman"/>
          <w:sz w:val="24"/>
          <w:szCs w:val="24"/>
          <w:u w:val="single"/>
        </w:rPr>
        <w:t>spotřebitelé nejsou dostatečně chráněni v souvislosti s bezplatným poskytováním digitálních služeb</w:t>
      </w:r>
      <w:r w:rsidRPr="005832DD">
        <w:rPr>
          <w:rFonts w:ascii="Times New Roman" w:hAnsi="Times New Roman"/>
          <w:sz w:val="24"/>
          <w:szCs w:val="24"/>
        </w:rPr>
        <w:t xml:space="preserve">, výměnou za něž spotřebitel na místo úplaty poskytuje své osobní údaje. </w:t>
      </w:r>
    </w:p>
    <w:p w:rsidR="005832DD" w:rsidRPr="005832DD" w:rsidRDefault="005832DD" w:rsidP="005832DD">
      <w:pPr>
        <w:jc w:val="both"/>
        <w:rPr>
          <w:rFonts w:ascii="Times New Roman" w:hAnsi="Times New Roman"/>
          <w:sz w:val="24"/>
          <w:szCs w:val="24"/>
        </w:rPr>
      </w:pP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u w:val="single"/>
        </w:rPr>
        <w:lastRenderedPageBreak/>
        <w:t>Směrnice o právech spotřebitelů</w:t>
      </w:r>
      <w:r w:rsidRPr="005832DD">
        <w:rPr>
          <w:rFonts w:ascii="Times New Roman" w:hAnsi="Times New Roman"/>
          <w:sz w:val="24"/>
          <w:szCs w:val="24"/>
        </w:rPr>
        <w:t xml:space="preserve"> se totiž sice již nyní </w:t>
      </w:r>
      <w:r w:rsidRPr="005832DD">
        <w:rPr>
          <w:rFonts w:ascii="Times New Roman" w:hAnsi="Times New Roman"/>
          <w:sz w:val="24"/>
          <w:szCs w:val="24"/>
          <w:u w:val="single"/>
        </w:rPr>
        <w:t xml:space="preserve">vztahuje i na </w:t>
      </w:r>
      <w:r w:rsidRPr="005832DD">
        <w:rPr>
          <w:rFonts w:ascii="Times New Roman" w:hAnsi="Times New Roman"/>
          <w:sz w:val="24"/>
          <w:szCs w:val="24"/>
          <w:u w:val="double"/>
        </w:rPr>
        <w:t>bezplatné</w:t>
      </w:r>
      <w:r w:rsidRPr="005832DD">
        <w:rPr>
          <w:rFonts w:ascii="Times New Roman" w:hAnsi="Times New Roman"/>
          <w:sz w:val="24"/>
          <w:szCs w:val="24"/>
          <w:u w:val="single"/>
        </w:rPr>
        <w:t xml:space="preserve"> poskytování digitálního obsahu on-line bez hmotného nosiče</w:t>
      </w:r>
      <w:r w:rsidRPr="005832DD">
        <w:rPr>
          <w:rFonts w:ascii="Times New Roman" w:hAnsi="Times New Roman"/>
          <w:sz w:val="24"/>
          <w:szCs w:val="24"/>
        </w:rPr>
        <w:t xml:space="preserve"> (tj. např. jeho stažením nebo on-line streamováním), ale pokud jde </w:t>
      </w:r>
      <w:r w:rsidRPr="005832DD">
        <w:rPr>
          <w:rFonts w:ascii="Times New Roman" w:hAnsi="Times New Roman"/>
          <w:sz w:val="24"/>
          <w:szCs w:val="24"/>
          <w:u w:val="single"/>
        </w:rPr>
        <w:t>o bezplatné digitální služby</w:t>
      </w:r>
      <w:r w:rsidRPr="005832DD">
        <w:rPr>
          <w:rFonts w:ascii="Times New Roman" w:hAnsi="Times New Roman"/>
          <w:sz w:val="24"/>
          <w:szCs w:val="24"/>
        </w:rPr>
        <w:t xml:space="preserve"> (např. on-line hry nebo aplikace), </w:t>
      </w:r>
      <w:r w:rsidRPr="005832DD">
        <w:rPr>
          <w:rFonts w:ascii="Times New Roman" w:hAnsi="Times New Roman"/>
          <w:sz w:val="24"/>
          <w:szCs w:val="24"/>
          <w:u w:val="single"/>
        </w:rPr>
        <w:t>směrnice o právech spotřebitelů se zde neuplatní</w:t>
      </w:r>
      <w:r w:rsidRPr="005832DD">
        <w:rPr>
          <w:rFonts w:ascii="Times New Roman" w:hAnsi="Times New Roman"/>
          <w:sz w:val="24"/>
          <w:szCs w:val="24"/>
        </w:rPr>
        <w:t xml:space="preserve">. </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u w:val="single"/>
        </w:rPr>
        <w:t>Při poskytování digitálních služeb za úplatu má</w:t>
      </w:r>
      <w:r w:rsidRPr="005832DD">
        <w:rPr>
          <w:rFonts w:ascii="Times New Roman" w:hAnsi="Times New Roman"/>
          <w:sz w:val="24"/>
          <w:szCs w:val="24"/>
        </w:rPr>
        <w:t xml:space="preserve"> tedy </w:t>
      </w:r>
      <w:r w:rsidRPr="005832DD">
        <w:rPr>
          <w:rFonts w:ascii="Times New Roman" w:hAnsi="Times New Roman"/>
          <w:sz w:val="24"/>
          <w:szCs w:val="24"/>
          <w:u w:val="single"/>
        </w:rPr>
        <w:t>spotřebitel právo na odstoupení od smlouvy ve 14-ti denní lhůtě a na poskytnutí stanovených předsmluvních informací</w:t>
      </w:r>
      <w:r w:rsidRPr="005832DD">
        <w:rPr>
          <w:rFonts w:ascii="Times New Roman" w:hAnsi="Times New Roman"/>
          <w:sz w:val="24"/>
          <w:szCs w:val="24"/>
        </w:rPr>
        <w:t xml:space="preserve"> ve smyslu směrnice o právech spotřebitelů. Naproti tomu </w:t>
      </w:r>
      <w:r w:rsidRPr="005832DD">
        <w:rPr>
          <w:rFonts w:ascii="Times New Roman" w:hAnsi="Times New Roman"/>
          <w:sz w:val="24"/>
          <w:szCs w:val="24"/>
          <w:u w:val="single"/>
        </w:rPr>
        <w:t>v případě „bezplatného“ poskytnutí digitálních služeb (nikoli obsahu) výměnou za poskytnutí osobních údajů, spotřebitel tato práva v současné době nemá</w:t>
      </w:r>
      <w:r w:rsidRPr="005832DD">
        <w:rPr>
          <w:rFonts w:ascii="Times New Roman" w:hAnsi="Times New Roman"/>
          <w:sz w:val="24"/>
          <w:szCs w:val="24"/>
        </w:rPr>
        <w:t xml:space="preserve">, neboť </w:t>
      </w:r>
      <w:r w:rsidRPr="005832DD">
        <w:rPr>
          <w:rFonts w:ascii="Times New Roman" w:hAnsi="Times New Roman"/>
          <w:sz w:val="24"/>
          <w:szCs w:val="24"/>
          <w:u w:val="single"/>
        </w:rPr>
        <w:t>směrnice o právech spotřebitelů se zde neuplatní.</w:t>
      </w:r>
      <w:r w:rsidRPr="005832DD">
        <w:rPr>
          <w:rFonts w:ascii="Times New Roman" w:hAnsi="Times New Roman"/>
          <w:sz w:val="24"/>
          <w:szCs w:val="24"/>
        </w:rPr>
        <w:t xml:space="preserve"> Tato situace způsobuje, že spotřebitelé v praxi často čelí obtížím např. se zrušením tohoto typu služeb.</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Návrh směrnice proto </w:t>
      </w:r>
      <w:r w:rsidRPr="005832DD">
        <w:rPr>
          <w:rFonts w:ascii="Times New Roman" w:hAnsi="Times New Roman"/>
          <w:sz w:val="24"/>
          <w:szCs w:val="24"/>
          <w:u w:val="single"/>
        </w:rPr>
        <w:t>rozšiřuje působnost směrnice o právech spotřebitelů i na digitální služb</w:t>
      </w:r>
      <w:r w:rsidRPr="005832DD">
        <w:rPr>
          <w:rFonts w:ascii="Times New Roman" w:hAnsi="Times New Roman"/>
          <w:sz w:val="24"/>
          <w:szCs w:val="24"/>
        </w:rPr>
        <w:t xml:space="preserve">y, které jsou </w:t>
      </w:r>
      <w:r w:rsidRPr="005832DD">
        <w:rPr>
          <w:rFonts w:ascii="Times New Roman" w:hAnsi="Times New Roman"/>
          <w:sz w:val="24"/>
          <w:szCs w:val="24"/>
          <w:u w:val="single"/>
        </w:rPr>
        <w:t>při poskytnutí osobních údajů spotřebiteli k dispozici bezplatně</w:t>
      </w:r>
      <w:r w:rsidRPr="005832DD">
        <w:rPr>
          <w:rFonts w:ascii="Times New Roman" w:hAnsi="Times New Roman"/>
          <w:sz w:val="24"/>
          <w:szCs w:val="24"/>
        </w:rPr>
        <w:t xml:space="preserve"> (např. smlouvy o předplatném pro platformy s obsahem, sociální sítě, emailové účty, cloudová úložiště dat). </w:t>
      </w:r>
      <w:r w:rsidRPr="005832DD">
        <w:rPr>
          <w:rFonts w:ascii="Times New Roman" w:hAnsi="Times New Roman"/>
          <w:sz w:val="24"/>
          <w:szCs w:val="24"/>
          <w:u w:val="single"/>
        </w:rPr>
        <w:t>Spotřebitel</w:t>
      </w:r>
      <w:r w:rsidRPr="005832DD">
        <w:rPr>
          <w:rFonts w:ascii="Times New Roman" w:hAnsi="Times New Roman"/>
          <w:sz w:val="24"/>
          <w:szCs w:val="24"/>
        </w:rPr>
        <w:t xml:space="preserve"> tedy </w:t>
      </w:r>
      <w:r w:rsidRPr="005832DD">
        <w:rPr>
          <w:rFonts w:ascii="Times New Roman" w:hAnsi="Times New Roman"/>
          <w:sz w:val="24"/>
          <w:szCs w:val="24"/>
          <w:u w:val="single"/>
        </w:rPr>
        <w:t>bude mít nově právo na odstoupení od smlouvy a na poskytnutí předsmluvních informací</w:t>
      </w:r>
      <w:r w:rsidRPr="005832DD">
        <w:rPr>
          <w:rFonts w:ascii="Times New Roman" w:hAnsi="Times New Roman"/>
          <w:sz w:val="24"/>
          <w:szCs w:val="24"/>
        </w:rPr>
        <w:t xml:space="preserve"> podle směrnice o právech spotřebitelů i v těchto případech „bezplatného“ poskytnutí služeb.</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Dalším z cílů návrhu směrnice je zajištění </w:t>
      </w:r>
      <w:r w:rsidRPr="005832DD">
        <w:rPr>
          <w:rFonts w:ascii="Times New Roman" w:hAnsi="Times New Roman"/>
          <w:sz w:val="24"/>
          <w:szCs w:val="24"/>
          <w:u w:val="single"/>
        </w:rPr>
        <w:t>souladu směrnice o právech spotřebitelů a návrhu směrnice o smlouvách o poskytování digitálního obsahu</w:t>
      </w:r>
      <w:r w:rsidRPr="005832DD">
        <w:rPr>
          <w:rStyle w:val="Znakapoznpodarou"/>
          <w:rFonts w:ascii="Times New Roman" w:hAnsi="Times New Roman"/>
          <w:sz w:val="24"/>
          <w:szCs w:val="24"/>
          <w:u w:val="single"/>
        </w:rPr>
        <w:footnoteReference w:id="4"/>
      </w:r>
      <w:r w:rsidRPr="005832DD">
        <w:rPr>
          <w:rFonts w:ascii="Times New Roman" w:hAnsi="Times New Roman"/>
          <w:sz w:val="24"/>
          <w:szCs w:val="24"/>
          <w:u w:val="single"/>
        </w:rPr>
        <w:t>,</w:t>
      </w:r>
      <w:r w:rsidRPr="005832DD">
        <w:rPr>
          <w:rFonts w:ascii="Times New Roman" w:hAnsi="Times New Roman"/>
          <w:sz w:val="24"/>
          <w:szCs w:val="24"/>
        </w:rPr>
        <w:t xml:space="preserve"> který je v tuto chvíli projednáván v legislativním procesu v orgánech EU. Návrh směrnice o smlouvách o poskytování digitálního obsahu se vztahuje jak na placený digitální obsah nebo služby, tak na bezplatný obsah nebo služby poskytnutý výměnou za osobní data spotřebitele. Spotřebiteli tento návrh zajišťuje např. právo na smluvní nápravu při nesouladu poskytnutého digitálního obsahu nebo digitální služby se smlouvou nebo právo na předčasné ukončení smlouvy uzavřené na dobu určitou po uplynutí jednoho roku uplatňování smlouvy.</w:t>
      </w:r>
    </w:p>
    <w:p w:rsidR="005832DD" w:rsidRPr="005832DD" w:rsidRDefault="005832DD" w:rsidP="005832DD">
      <w:pPr>
        <w:jc w:val="both"/>
        <w:rPr>
          <w:rFonts w:ascii="Times New Roman" w:hAnsi="Times New Roman"/>
          <w:sz w:val="24"/>
          <w:szCs w:val="24"/>
          <w:u w:val="single"/>
        </w:rPr>
      </w:pPr>
      <w:r w:rsidRPr="005832DD">
        <w:rPr>
          <w:rFonts w:ascii="Times New Roman" w:hAnsi="Times New Roman"/>
          <w:sz w:val="24"/>
          <w:szCs w:val="24"/>
        </w:rPr>
        <w:t xml:space="preserve">To se týká především </w:t>
      </w:r>
      <w:r w:rsidRPr="005832DD">
        <w:rPr>
          <w:rFonts w:ascii="Times New Roman" w:hAnsi="Times New Roman"/>
          <w:sz w:val="24"/>
          <w:szCs w:val="24"/>
          <w:u w:val="single"/>
        </w:rPr>
        <w:t>definic pojmů „digitálního obsahu“, „digitálních služeb“, „internetových tržišť“ a „on-line rozhraní“.</w:t>
      </w:r>
    </w:p>
    <w:p w:rsidR="005832DD" w:rsidRPr="005832DD" w:rsidRDefault="005832DD" w:rsidP="005832DD">
      <w:pPr>
        <w:jc w:val="both"/>
        <w:rPr>
          <w:rFonts w:ascii="Times New Roman" w:hAnsi="Times New Roman"/>
          <w:bCs/>
          <w:i/>
          <w:sz w:val="24"/>
          <w:szCs w:val="24"/>
          <w:u w:val="single"/>
        </w:rPr>
      </w:pPr>
      <w:r w:rsidRPr="005832DD">
        <w:rPr>
          <w:rFonts w:ascii="Times New Roman" w:hAnsi="Times New Roman"/>
          <w:bCs/>
          <w:i/>
          <w:sz w:val="24"/>
          <w:szCs w:val="24"/>
          <w:u w:val="single"/>
        </w:rPr>
        <w:t>Možnost regulace či zákazu podomního prodeje a organizovaných prodejních akcí</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Návrh směrnice mění směrnici o nekalých obchodních praktikách v tom smyslu, že je v ní nově výslovně </w:t>
      </w:r>
      <w:r w:rsidRPr="005832DD">
        <w:rPr>
          <w:rFonts w:ascii="Times New Roman" w:hAnsi="Times New Roman"/>
          <w:sz w:val="24"/>
          <w:szCs w:val="24"/>
          <w:u w:val="single"/>
        </w:rPr>
        <w:t>postaveno na jisto</w:t>
      </w:r>
      <w:r w:rsidRPr="005832DD">
        <w:rPr>
          <w:rFonts w:ascii="Times New Roman" w:hAnsi="Times New Roman"/>
          <w:sz w:val="24"/>
          <w:szCs w:val="24"/>
        </w:rPr>
        <w:t xml:space="preserve">, že </w:t>
      </w:r>
      <w:r w:rsidRPr="005832DD">
        <w:rPr>
          <w:rFonts w:ascii="Times New Roman" w:hAnsi="Times New Roman"/>
          <w:sz w:val="24"/>
          <w:szCs w:val="24"/>
          <w:u w:val="single"/>
        </w:rPr>
        <w:t>členské státy mohou svými vnitrostátními právními předpisy regulovat či zakázat nevyžádané návštěvy obchodníka u spotřebitele doma nebo organizované prodejní akce.</w:t>
      </w:r>
      <w:r w:rsidRPr="005832DD">
        <w:rPr>
          <w:rFonts w:ascii="Times New Roman" w:hAnsi="Times New Roman"/>
          <w:sz w:val="24"/>
          <w:szCs w:val="24"/>
        </w:rPr>
        <w:t xml:space="preserve"> Účelem této regulace nebo zákazu v členském státě však musí být ochrana veřejného pořádku nebo respektování práva spotřebitele na ochranu soukromého života. </w:t>
      </w:r>
      <w:r w:rsidRPr="005832DD">
        <w:rPr>
          <w:rFonts w:ascii="Times New Roman" w:hAnsi="Times New Roman"/>
          <w:sz w:val="24"/>
          <w:szCs w:val="24"/>
          <w:u w:val="single"/>
        </w:rPr>
        <w:t>Členské státy musí Komisi oznámit své právní předpisy</w:t>
      </w:r>
      <w:r w:rsidRPr="005832DD">
        <w:rPr>
          <w:rFonts w:ascii="Times New Roman" w:hAnsi="Times New Roman"/>
          <w:sz w:val="24"/>
          <w:szCs w:val="24"/>
        </w:rPr>
        <w:t xml:space="preserve">, které přijaly </w:t>
      </w:r>
      <w:r w:rsidRPr="005832DD">
        <w:rPr>
          <w:rFonts w:ascii="Times New Roman" w:hAnsi="Times New Roman"/>
          <w:sz w:val="24"/>
          <w:szCs w:val="24"/>
          <w:u w:val="single"/>
        </w:rPr>
        <w:t xml:space="preserve">na základě tohoto ustanovení, </w:t>
      </w:r>
      <w:r w:rsidRPr="005832DD">
        <w:rPr>
          <w:rFonts w:ascii="Times New Roman" w:hAnsi="Times New Roman"/>
          <w:sz w:val="24"/>
          <w:szCs w:val="24"/>
        </w:rPr>
        <w:t>včetně jejich pozdějších změn.</w:t>
      </w:r>
    </w:p>
    <w:p w:rsidR="005832DD" w:rsidRPr="005832DD" w:rsidRDefault="005832DD" w:rsidP="005832DD">
      <w:pPr>
        <w:jc w:val="both"/>
        <w:rPr>
          <w:rFonts w:ascii="Times New Roman" w:hAnsi="Times New Roman"/>
          <w:i/>
          <w:sz w:val="24"/>
          <w:szCs w:val="24"/>
          <w:u w:val="single"/>
        </w:rPr>
      </w:pPr>
      <w:r w:rsidRPr="005832DD">
        <w:rPr>
          <w:rFonts w:ascii="Times New Roman" w:hAnsi="Times New Roman"/>
          <w:i/>
          <w:sz w:val="24"/>
          <w:szCs w:val="24"/>
          <w:u w:val="single"/>
        </w:rPr>
        <w:t>Uvádění na trh zboží dvojí kvality</w:t>
      </w:r>
    </w:p>
    <w:p w:rsidR="005832DD" w:rsidRPr="005832DD" w:rsidRDefault="005832DD" w:rsidP="005832DD">
      <w:pPr>
        <w:jc w:val="both"/>
        <w:rPr>
          <w:rFonts w:ascii="Times New Roman" w:hAnsi="Times New Roman"/>
          <w:sz w:val="24"/>
          <w:szCs w:val="24"/>
          <w:u w:val="single"/>
        </w:rPr>
      </w:pPr>
      <w:r w:rsidRPr="005832DD">
        <w:rPr>
          <w:rFonts w:ascii="Times New Roman" w:hAnsi="Times New Roman"/>
          <w:sz w:val="24"/>
          <w:szCs w:val="24"/>
        </w:rPr>
        <w:t xml:space="preserve">V neposlední řadě návrh směrnice řeší problém uvádění na trh zboží dvojí kvality. Uváděním na trh zboží dvojí kvality se rozumí </w:t>
      </w:r>
      <w:r w:rsidRPr="005832DD">
        <w:rPr>
          <w:rFonts w:ascii="Times New Roman" w:hAnsi="Times New Roman"/>
          <w:sz w:val="24"/>
          <w:szCs w:val="24"/>
          <w:u w:val="single"/>
        </w:rPr>
        <w:t xml:space="preserve">prodej výrobků s podstatně odlišným složením nebo </w:t>
      </w:r>
      <w:r w:rsidRPr="005832DD">
        <w:rPr>
          <w:rFonts w:ascii="Times New Roman" w:hAnsi="Times New Roman"/>
          <w:sz w:val="24"/>
          <w:szCs w:val="24"/>
          <w:u w:val="single"/>
        </w:rPr>
        <w:lastRenderedPageBreak/>
        <w:t>s odlišnými znaky</w:t>
      </w:r>
      <w:r w:rsidRPr="005832DD">
        <w:rPr>
          <w:rFonts w:ascii="Times New Roman" w:hAnsi="Times New Roman"/>
          <w:sz w:val="24"/>
          <w:szCs w:val="24"/>
        </w:rPr>
        <w:t xml:space="preserve">, které jsou </w:t>
      </w:r>
      <w:r w:rsidRPr="005832DD">
        <w:rPr>
          <w:rFonts w:ascii="Times New Roman" w:hAnsi="Times New Roman"/>
          <w:sz w:val="24"/>
          <w:szCs w:val="24"/>
          <w:u w:val="single"/>
        </w:rPr>
        <w:t xml:space="preserve">vydávány za totožné se stejným výrobkem uváděným na trh v jiných členských státech. </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Návrh směrnice mění směrnici o nekalých obchodních praktikách tak, že </w:t>
      </w:r>
      <w:r w:rsidRPr="005832DD">
        <w:rPr>
          <w:rFonts w:ascii="Times New Roman" w:hAnsi="Times New Roman"/>
          <w:sz w:val="24"/>
          <w:szCs w:val="24"/>
          <w:u w:val="single"/>
        </w:rPr>
        <w:t>uvádění na trh zboží dvojí kvality zařazuje do výčtu praktik, které jsou považovány za klamavé</w:t>
      </w:r>
      <w:r w:rsidRPr="005832DD">
        <w:rPr>
          <w:rFonts w:ascii="Times New Roman" w:hAnsi="Times New Roman"/>
          <w:sz w:val="24"/>
          <w:szCs w:val="24"/>
        </w:rPr>
        <w:t xml:space="preserve">, pokud s přihlédnutím ke všem okolnostem a věcným souvislostem mohou vést spotřebitele k rozhodnutí o obchodní transakci (tedy o koupi zboží), které by jinak neučinil. </w:t>
      </w:r>
    </w:p>
    <w:p w:rsidR="005832DD" w:rsidRPr="005832DD" w:rsidRDefault="005832DD" w:rsidP="005832DD">
      <w:pPr>
        <w:pStyle w:val="Odstavecseseznamem"/>
        <w:keepNext/>
        <w:keepLines/>
        <w:numPr>
          <w:ilvl w:val="0"/>
          <w:numId w:val="21"/>
        </w:numPr>
        <w:suppressAutoHyphens/>
        <w:autoSpaceDN w:val="0"/>
        <w:spacing w:after="120" w:line="252" w:lineRule="auto"/>
        <w:contextualSpacing w:val="0"/>
        <w:jc w:val="both"/>
        <w:rPr>
          <w:rFonts w:ascii="Times New Roman" w:hAnsi="Times New Roman"/>
          <w:b/>
          <w:i/>
          <w:sz w:val="24"/>
          <w:szCs w:val="24"/>
        </w:rPr>
      </w:pPr>
      <w:r w:rsidRPr="005832DD">
        <w:rPr>
          <w:rFonts w:ascii="Times New Roman" w:hAnsi="Times New Roman"/>
          <w:b/>
          <w:i/>
          <w:sz w:val="24"/>
          <w:szCs w:val="24"/>
        </w:rPr>
        <w:t>Návrh směrnice o zástupných žalobách na ochranu kolektivních zájmů spotřebitelů</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u w:val="single"/>
        </w:rPr>
        <w:t>Návrhem směrnice se modernizuje a nahrazuje směrnice Evropského parlamentu a Rady 2009/22/ES ze dne 23. dubna 2009 o žalobách na zdržení se jednání v oblasti ochrany zájmů spotřebitelů.</w:t>
      </w:r>
      <w:r w:rsidRPr="005832DD">
        <w:rPr>
          <w:rFonts w:ascii="Times New Roman" w:hAnsi="Times New Roman"/>
          <w:sz w:val="24"/>
          <w:szCs w:val="24"/>
        </w:rPr>
        <w:t xml:space="preserve"> Tato směrnice některým subjektům určenými členskými státy (např. spotřebitelským organizacím nebo nezávislým veřejným orgánům) již umožňovala, aby na ochranu zájmů spotřebitelů podaly zástupnou žalobu za účelem docílení zákazu nebo zastavení porušování relevantních právních předpisů EU.</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 xml:space="preserve">Z hodnocení </w:t>
      </w:r>
      <w:r w:rsidRPr="005832DD">
        <w:rPr>
          <w:rFonts w:ascii="Times New Roman" w:hAnsi="Times New Roman"/>
          <w:sz w:val="24"/>
          <w:szCs w:val="24"/>
          <w:u w:val="single"/>
        </w:rPr>
        <w:t>směrnice o žalobách na zdržení se jednání v oblasti ochrany zájmů spotřebitelů</w:t>
      </w:r>
      <w:r w:rsidRPr="005832DD">
        <w:rPr>
          <w:rFonts w:ascii="Times New Roman" w:hAnsi="Times New Roman"/>
          <w:sz w:val="24"/>
          <w:szCs w:val="24"/>
        </w:rPr>
        <w:t xml:space="preserve"> provedeného v rámci programu REFIT však vyplynulo, že směrnice </w:t>
      </w:r>
      <w:r w:rsidRPr="005832DD">
        <w:rPr>
          <w:rFonts w:ascii="Times New Roman" w:hAnsi="Times New Roman"/>
          <w:sz w:val="24"/>
          <w:szCs w:val="24"/>
          <w:u w:val="single"/>
        </w:rPr>
        <w:t>má některé nedostatky</w:t>
      </w:r>
      <w:r w:rsidRPr="005832DD">
        <w:rPr>
          <w:rFonts w:ascii="Times New Roman" w:hAnsi="Times New Roman"/>
          <w:sz w:val="24"/>
          <w:szCs w:val="24"/>
        </w:rPr>
        <w:t xml:space="preserve">. Konkrétně se jedná o </w:t>
      </w:r>
      <w:r w:rsidRPr="005832DD">
        <w:rPr>
          <w:rFonts w:ascii="Times New Roman" w:hAnsi="Times New Roman"/>
          <w:sz w:val="24"/>
          <w:szCs w:val="24"/>
          <w:u w:val="single"/>
        </w:rPr>
        <w:t>úzký rozsah působnosti směrnice, vysoké náklady řízení, přílišnou délku trvání soudního řízení a omezené praktické dopady rozsudků zakazujících protiprávní jednání při odškodňování poškozených spotřebitelů.</w:t>
      </w:r>
    </w:p>
    <w:p w:rsidR="005832DD" w:rsidRPr="005832DD" w:rsidRDefault="005832DD" w:rsidP="005832DD">
      <w:pPr>
        <w:spacing w:after="120"/>
        <w:jc w:val="both"/>
        <w:rPr>
          <w:rFonts w:ascii="Times New Roman" w:hAnsi="Times New Roman"/>
          <w:i/>
          <w:sz w:val="24"/>
          <w:szCs w:val="24"/>
          <w:u w:val="single"/>
        </w:rPr>
      </w:pPr>
      <w:r w:rsidRPr="005832DD">
        <w:rPr>
          <w:rFonts w:ascii="Times New Roman" w:hAnsi="Times New Roman"/>
          <w:i/>
          <w:sz w:val="24"/>
          <w:szCs w:val="24"/>
          <w:u w:val="single"/>
        </w:rPr>
        <w:t>Oblast působnosti návrhu směrnice</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 xml:space="preserve">Oproti stávající směrnici o žalobách na zdržení se jednání má návrh směrnice širší působnost zahrnující horizontální a sektorové nástroje EU vztahující se ke kolektivní ochraně práv spotřebitelů napříč hospodářskými odvětvími, včetně např. </w:t>
      </w:r>
      <w:r w:rsidRPr="005832DD">
        <w:rPr>
          <w:rFonts w:ascii="Times New Roman" w:hAnsi="Times New Roman"/>
          <w:bCs/>
          <w:sz w:val="24"/>
          <w:szCs w:val="24"/>
        </w:rPr>
        <w:t>finančních služeb, energetiky, zdravotnictví, životního prostředí, cestování, turismu a telekomunikací.</w:t>
      </w:r>
      <w:r w:rsidRPr="005832DD">
        <w:rPr>
          <w:rFonts w:ascii="Times New Roman" w:hAnsi="Times New Roman"/>
          <w:sz w:val="24"/>
          <w:szCs w:val="24"/>
        </w:rPr>
        <w:t xml:space="preserve"> </w:t>
      </w:r>
      <w:r w:rsidRPr="005832DD">
        <w:rPr>
          <w:rFonts w:ascii="Times New Roman" w:hAnsi="Times New Roman"/>
          <w:sz w:val="24"/>
          <w:szCs w:val="24"/>
          <w:u w:val="single"/>
        </w:rPr>
        <w:t>Oblast působnosti</w:t>
      </w:r>
      <w:r w:rsidRPr="005832DD">
        <w:rPr>
          <w:rFonts w:ascii="Times New Roman" w:hAnsi="Times New Roman"/>
          <w:sz w:val="24"/>
          <w:szCs w:val="24"/>
        </w:rPr>
        <w:t xml:space="preserve"> se tudíž vztahuje na </w:t>
      </w:r>
      <w:r w:rsidRPr="005832DD">
        <w:rPr>
          <w:rFonts w:ascii="Times New Roman" w:hAnsi="Times New Roman"/>
          <w:sz w:val="24"/>
          <w:szCs w:val="24"/>
          <w:u w:val="single"/>
        </w:rPr>
        <w:t>všechny případy porušení relevantních právních předpisů EU uvedených v příloze I návrhu směrnice, pokud může porušit zájmy spotřebitelů</w:t>
      </w:r>
      <w:r w:rsidRPr="005832DD">
        <w:rPr>
          <w:rFonts w:ascii="Times New Roman" w:hAnsi="Times New Roman"/>
          <w:sz w:val="24"/>
          <w:szCs w:val="24"/>
        </w:rPr>
        <w:t xml:space="preserve">. Výše uvedené platí bez ohledu na to, zda jsou spotřebitelé v příslušném právním předpise označeni jako „spotřebitelé“ nebo jinak, např. cestující, retailoví zákazníci, neprofesionální zákazníci apod. </w:t>
      </w:r>
    </w:p>
    <w:p w:rsidR="005832DD" w:rsidRPr="005832DD" w:rsidRDefault="005832DD" w:rsidP="005832DD">
      <w:pPr>
        <w:spacing w:after="120"/>
        <w:jc w:val="both"/>
        <w:rPr>
          <w:rFonts w:ascii="Times New Roman" w:hAnsi="Times New Roman"/>
          <w:sz w:val="24"/>
          <w:szCs w:val="24"/>
          <w:u w:val="single"/>
        </w:rPr>
      </w:pPr>
      <w:r w:rsidRPr="005832DD">
        <w:rPr>
          <w:rFonts w:ascii="Times New Roman" w:hAnsi="Times New Roman"/>
          <w:sz w:val="24"/>
          <w:szCs w:val="24"/>
          <w:u w:val="single"/>
        </w:rPr>
        <w:t>Návrh směrnice zároveň členským státům nebrání, aby</w:t>
      </w:r>
      <w:r w:rsidRPr="005832DD">
        <w:rPr>
          <w:rFonts w:ascii="Times New Roman" w:hAnsi="Times New Roman"/>
          <w:sz w:val="24"/>
          <w:szCs w:val="24"/>
        </w:rPr>
        <w:t xml:space="preserve"> na vnitrostátní úrovni </w:t>
      </w:r>
      <w:r w:rsidRPr="005832DD">
        <w:rPr>
          <w:rFonts w:ascii="Times New Roman" w:hAnsi="Times New Roman"/>
          <w:sz w:val="24"/>
          <w:szCs w:val="24"/>
          <w:u w:val="single"/>
        </w:rPr>
        <w:t>ponechaly v platnosti nebo</w:t>
      </w:r>
      <w:r w:rsidRPr="005832DD">
        <w:rPr>
          <w:rFonts w:ascii="Times New Roman" w:hAnsi="Times New Roman"/>
          <w:sz w:val="24"/>
          <w:szCs w:val="24"/>
        </w:rPr>
        <w:t xml:space="preserve"> i v budoucnu </w:t>
      </w:r>
      <w:r w:rsidRPr="005832DD">
        <w:rPr>
          <w:rFonts w:ascii="Times New Roman" w:hAnsi="Times New Roman"/>
          <w:sz w:val="24"/>
          <w:szCs w:val="24"/>
          <w:u w:val="single"/>
        </w:rPr>
        <w:t>zavedly další mechanismy kolektivní ochrany práv spotřebitelů (např. hromadnou žalobu).</w:t>
      </w:r>
      <w:r w:rsidRPr="005832DD">
        <w:rPr>
          <w:rFonts w:ascii="Times New Roman" w:hAnsi="Times New Roman"/>
          <w:sz w:val="24"/>
          <w:szCs w:val="24"/>
        </w:rPr>
        <w:t xml:space="preserve"> Zástupnou žalobu upravenou návrhem směrnice mohou tedy členské státy zavést buď jako součást svých stávajících nebo budoucích mechanismů kolektivní právní ochrany, nebo ji ponechat jako další alternativu existující vedle těchto mechanismů. </w:t>
      </w:r>
    </w:p>
    <w:p w:rsidR="005832DD" w:rsidRPr="005832DD" w:rsidRDefault="005832DD" w:rsidP="005832DD">
      <w:pPr>
        <w:spacing w:after="120"/>
        <w:jc w:val="both"/>
        <w:rPr>
          <w:rFonts w:ascii="Times New Roman" w:hAnsi="Times New Roman"/>
          <w:i/>
          <w:sz w:val="24"/>
          <w:szCs w:val="24"/>
          <w:u w:val="single"/>
        </w:rPr>
      </w:pPr>
      <w:r w:rsidRPr="005832DD">
        <w:rPr>
          <w:rFonts w:ascii="Times New Roman" w:hAnsi="Times New Roman"/>
          <w:i/>
          <w:sz w:val="24"/>
          <w:szCs w:val="24"/>
          <w:u w:val="single"/>
        </w:rPr>
        <w:t>Kvalifikované subjekty oprávněné podat zástupnou žalobu</w:t>
      </w:r>
    </w:p>
    <w:p w:rsidR="005832DD" w:rsidRPr="005832DD" w:rsidRDefault="005832DD" w:rsidP="005832DD">
      <w:pPr>
        <w:spacing w:after="120"/>
        <w:jc w:val="both"/>
        <w:rPr>
          <w:rFonts w:ascii="Times New Roman" w:hAnsi="Times New Roman"/>
          <w:sz w:val="24"/>
          <w:szCs w:val="24"/>
          <w:u w:val="single"/>
        </w:rPr>
      </w:pPr>
      <w:r w:rsidRPr="005832DD">
        <w:rPr>
          <w:rFonts w:ascii="Times New Roman" w:hAnsi="Times New Roman"/>
          <w:sz w:val="24"/>
          <w:szCs w:val="24"/>
        </w:rPr>
        <w:t xml:space="preserve">Právní úprava návrhu směrnice v zásadě vychází z přístupu stávající </w:t>
      </w:r>
      <w:r w:rsidRPr="005832DD">
        <w:rPr>
          <w:rFonts w:ascii="Times New Roman" w:hAnsi="Times New Roman"/>
          <w:bCs/>
          <w:sz w:val="24"/>
          <w:szCs w:val="24"/>
        </w:rPr>
        <w:t xml:space="preserve">směrnice o žalobách na zdržení se jednání, když </w:t>
      </w:r>
      <w:r w:rsidRPr="005832DD">
        <w:rPr>
          <w:rFonts w:ascii="Times New Roman" w:hAnsi="Times New Roman"/>
          <w:bCs/>
          <w:sz w:val="24"/>
          <w:szCs w:val="24"/>
          <w:u w:val="single"/>
        </w:rPr>
        <w:t xml:space="preserve">umožňuje „kvalifikovaným subjektům“ vybraným členskými státy na základě kritérií stanovených v návrhu směrnice </w:t>
      </w:r>
      <w:r w:rsidRPr="005832DD">
        <w:rPr>
          <w:rFonts w:ascii="Times New Roman" w:hAnsi="Times New Roman"/>
          <w:sz w:val="24"/>
          <w:szCs w:val="24"/>
        </w:rPr>
        <w:t>(např. sdružení na ochranu spotřebitele nebo nezávislé veřejné subjekty)</w:t>
      </w:r>
      <w:r w:rsidRPr="005832DD">
        <w:rPr>
          <w:rFonts w:ascii="Times New Roman" w:hAnsi="Times New Roman"/>
          <w:sz w:val="24"/>
          <w:szCs w:val="24"/>
          <w:u w:val="single"/>
        </w:rPr>
        <w:t xml:space="preserve"> podat za poškozené spotřebitele zástupnou žalobu. </w:t>
      </w:r>
      <w:r w:rsidRPr="005832DD">
        <w:rPr>
          <w:rFonts w:ascii="Times New Roman" w:hAnsi="Times New Roman"/>
          <w:sz w:val="24"/>
          <w:szCs w:val="24"/>
        </w:rPr>
        <w:t>Kritéria, která návrh směrnice stanoví pro „kvalifikované subjekty“, oprávněné podat zástupnou žalobu,</w:t>
      </w:r>
      <w:r w:rsidRPr="005832DD">
        <w:rPr>
          <w:rFonts w:ascii="Times New Roman" w:hAnsi="Times New Roman"/>
          <w:sz w:val="24"/>
          <w:szCs w:val="24"/>
          <w:u w:val="single"/>
        </w:rPr>
        <w:t xml:space="preserve"> zahrnují:</w:t>
      </w:r>
    </w:p>
    <w:p w:rsidR="005832DD" w:rsidRPr="005832DD" w:rsidRDefault="005832DD" w:rsidP="005832DD">
      <w:pPr>
        <w:numPr>
          <w:ilvl w:val="0"/>
          <w:numId w:val="23"/>
        </w:numPr>
        <w:spacing w:after="120" w:line="240" w:lineRule="auto"/>
        <w:jc w:val="both"/>
        <w:rPr>
          <w:rFonts w:ascii="Times New Roman" w:hAnsi="Times New Roman"/>
          <w:sz w:val="24"/>
          <w:szCs w:val="24"/>
        </w:rPr>
      </w:pPr>
      <w:r w:rsidRPr="005832DD">
        <w:rPr>
          <w:rFonts w:ascii="Times New Roman" w:hAnsi="Times New Roman"/>
          <w:sz w:val="24"/>
          <w:szCs w:val="24"/>
          <w:u w:val="single"/>
        </w:rPr>
        <w:t>Založení v souladu se zákony členského státu</w:t>
      </w:r>
      <w:r w:rsidRPr="005832DD">
        <w:rPr>
          <w:rFonts w:ascii="Times New Roman" w:hAnsi="Times New Roman"/>
          <w:sz w:val="24"/>
          <w:szCs w:val="24"/>
        </w:rPr>
        <w:t>, v němž kvalifikovaný subjekt působí – tento požadavek může zahrnovat např. transparentnost vnitřní struktury, určitou míru stálosti nebo minimální počet členů;</w:t>
      </w:r>
    </w:p>
    <w:p w:rsidR="005832DD" w:rsidRPr="005832DD" w:rsidRDefault="005832DD" w:rsidP="005832DD">
      <w:pPr>
        <w:numPr>
          <w:ilvl w:val="0"/>
          <w:numId w:val="23"/>
        </w:numPr>
        <w:spacing w:after="120" w:line="240" w:lineRule="auto"/>
        <w:jc w:val="both"/>
        <w:rPr>
          <w:rFonts w:ascii="Times New Roman" w:hAnsi="Times New Roman"/>
          <w:sz w:val="24"/>
          <w:szCs w:val="24"/>
        </w:rPr>
      </w:pPr>
      <w:r w:rsidRPr="005832DD">
        <w:rPr>
          <w:rFonts w:ascii="Times New Roman" w:hAnsi="Times New Roman"/>
          <w:sz w:val="24"/>
          <w:szCs w:val="24"/>
          <w:u w:val="single"/>
        </w:rPr>
        <w:t xml:space="preserve">Neziskovost </w:t>
      </w:r>
      <w:r w:rsidRPr="005832DD">
        <w:rPr>
          <w:rFonts w:ascii="Times New Roman" w:hAnsi="Times New Roman"/>
          <w:sz w:val="24"/>
          <w:szCs w:val="24"/>
        </w:rPr>
        <w:t>– účelem činnosti kvalifikovaného subjektu nesmí být zisk;</w:t>
      </w:r>
    </w:p>
    <w:p w:rsidR="005832DD" w:rsidRPr="005832DD" w:rsidRDefault="005832DD" w:rsidP="005832DD">
      <w:pPr>
        <w:numPr>
          <w:ilvl w:val="0"/>
          <w:numId w:val="23"/>
        </w:numPr>
        <w:spacing w:after="120" w:line="240" w:lineRule="auto"/>
        <w:jc w:val="both"/>
        <w:rPr>
          <w:rFonts w:ascii="Times New Roman" w:hAnsi="Times New Roman"/>
          <w:sz w:val="24"/>
          <w:szCs w:val="24"/>
        </w:rPr>
      </w:pPr>
      <w:r w:rsidRPr="005832DD">
        <w:rPr>
          <w:rFonts w:ascii="Times New Roman" w:hAnsi="Times New Roman"/>
          <w:sz w:val="24"/>
          <w:szCs w:val="24"/>
          <w:u w:val="single"/>
        </w:rPr>
        <w:lastRenderedPageBreak/>
        <w:t>Legitimní zájem na tom, aby byly dodržovány právní předpisy EU, na něž se vztahuje návrh směrnice</w:t>
      </w:r>
      <w:r w:rsidRPr="005832DD">
        <w:rPr>
          <w:rFonts w:ascii="Times New Roman" w:hAnsi="Times New Roman"/>
          <w:sz w:val="24"/>
          <w:szCs w:val="24"/>
        </w:rPr>
        <w:t xml:space="preserve"> – tento oprávněný zájem by měl být dán především předmětem činnosti kvalifikovaného subjektu.</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 xml:space="preserve">Kritéria stanovená pro kvalifikované subjekty mají sloužit mimo jiné i jako </w:t>
      </w:r>
      <w:r w:rsidRPr="005832DD">
        <w:rPr>
          <w:rFonts w:ascii="Times New Roman" w:hAnsi="Times New Roman"/>
          <w:sz w:val="24"/>
          <w:szCs w:val="24"/>
          <w:u w:val="single"/>
        </w:rPr>
        <w:t xml:space="preserve">pojistka proti neopodstatněným žalobám podaným např. v rámci konkurenčního boje. </w:t>
      </w:r>
      <w:r w:rsidRPr="005832DD">
        <w:rPr>
          <w:rFonts w:ascii="Times New Roman" w:hAnsi="Times New Roman"/>
          <w:sz w:val="24"/>
          <w:szCs w:val="24"/>
        </w:rPr>
        <w:t>Kvalifikované subjekty mohou působit na stálém základě, nebo mohou být určeny členským státem i ad hoc pro účely podání konkrétní zástupné žaloby. Po celou dobu svého působení však musí splňovat výše uvedená kritéria.</w:t>
      </w:r>
    </w:p>
    <w:p w:rsidR="005832DD" w:rsidRPr="005832DD" w:rsidRDefault="005832DD" w:rsidP="005832DD">
      <w:pPr>
        <w:spacing w:after="120"/>
        <w:jc w:val="both"/>
        <w:rPr>
          <w:rFonts w:ascii="Times New Roman" w:hAnsi="Times New Roman"/>
          <w:i/>
          <w:sz w:val="24"/>
          <w:szCs w:val="24"/>
          <w:u w:val="single"/>
        </w:rPr>
      </w:pPr>
      <w:r w:rsidRPr="005832DD">
        <w:rPr>
          <w:rFonts w:ascii="Times New Roman" w:hAnsi="Times New Roman"/>
          <w:i/>
          <w:sz w:val="24"/>
          <w:szCs w:val="24"/>
          <w:u w:val="single"/>
        </w:rPr>
        <w:t>Opatření, jejichž vydání lze požadovat zástupnou žalobou</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u w:val="single"/>
        </w:rPr>
        <w:t>Návrh směrnice ponechává na členských státech</w:t>
      </w:r>
      <w:r w:rsidRPr="005832DD">
        <w:rPr>
          <w:rFonts w:ascii="Times New Roman" w:hAnsi="Times New Roman"/>
          <w:sz w:val="24"/>
          <w:szCs w:val="24"/>
        </w:rPr>
        <w:t xml:space="preserve">, zda umožní </w:t>
      </w:r>
      <w:r w:rsidRPr="005832DD">
        <w:rPr>
          <w:rFonts w:ascii="Times New Roman" w:hAnsi="Times New Roman"/>
          <w:sz w:val="24"/>
          <w:szCs w:val="24"/>
          <w:u w:val="single"/>
        </w:rPr>
        <w:t>podání zástupné žaloby v soudním nebo správním řízení, případně v obou typech řízení podle dané oblasti práva či hospodářského odvětví.</w:t>
      </w:r>
      <w:r w:rsidRPr="005832DD">
        <w:rPr>
          <w:rFonts w:ascii="Times New Roman" w:hAnsi="Times New Roman"/>
          <w:sz w:val="24"/>
          <w:szCs w:val="24"/>
        </w:rPr>
        <w:t xml:space="preserve"> Zde návrh směrnice vychází ze zásady, že ochranu kolektivních zájmů spotřebitelů lze účinně zajistit v soudním i správním řízení. </w:t>
      </w:r>
    </w:p>
    <w:p w:rsidR="005832DD" w:rsidRPr="005832DD" w:rsidRDefault="005832DD" w:rsidP="005832DD">
      <w:pPr>
        <w:spacing w:after="120"/>
        <w:jc w:val="both"/>
        <w:rPr>
          <w:rFonts w:ascii="Times New Roman" w:hAnsi="Times New Roman"/>
          <w:sz w:val="24"/>
          <w:szCs w:val="24"/>
          <w:u w:val="single"/>
        </w:rPr>
      </w:pPr>
      <w:r w:rsidRPr="005832DD">
        <w:rPr>
          <w:rFonts w:ascii="Times New Roman" w:hAnsi="Times New Roman"/>
          <w:sz w:val="24"/>
          <w:szCs w:val="24"/>
          <w:u w:val="single"/>
        </w:rPr>
        <w:t>Zástupnou žalobou se</w:t>
      </w:r>
      <w:r w:rsidRPr="005832DD">
        <w:rPr>
          <w:rFonts w:ascii="Times New Roman" w:hAnsi="Times New Roman"/>
          <w:sz w:val="24"/>
          <w:szCs w:val="24"/>
        </w:rPr>
        <w:t xml:space="preserve"> podle okolností konkrétního případu lze domáhat vydání různých opatření, jejichž cílem je </w:t>
      </w:r>
      <w:r w:rsidRPr="005832DD">
        <w:rPr>
          <w:rFonts w:ascii="Times New Roman" w:hAnsi="Times New Roman"/>
          <w:sz w:val="24"/>
          <w:szCs w:val="24"/>
          <w:u w:val="single"/>
        </w:rPr>
        <w:t>zastavit nebo zakázat nezákonnou činnost obchodníka a odstranit přetrvávající účinky porušení práva způsobeného obchodníkem.</w:t>
      </w:r>
      <w:r w:rsidRPr="005832DD">
        <w:rPr>
          <w:rFonts w:ascii="Times New Roman" w:hAnsi="Times New Roman"/>
          <w:sz w:val="24"/>
          <w:szCs w:val="24"/>
        </w:rPr>
        <w:t xml:space="preserve"> Tato opatření tedy zahrnují:</w:t>
      </w:r>
    </w:p>
    <w:p w:rsidR="005832DD" w:rsidRPr="005832DD" w:rsidRDefault="005832DD" w:rsidP="005832DD">
      <w:pPr>
        <w:numPr>
          <w:ilvl w:val="0"/>
          <w:numId w:val="24"/>
        </w:numPr>
        <w:spacing w:after="120" w:line="240" w:lineRule="auto"/>
        <w:jc w:val="both"/>
        <w:rPr>
          <w:rFonts w:ascii="Times New Roman" w:hAnsi="Times New Roman"/>
          <w:sz w:val="24"/>
          <w:szCs w:val="24"/>
          <w:u w:val="single"/>
        </w:rPr>
      </w:pPr>
      <w:r w:rsidRPr="005832DD">
        <w:rPr>
          <w:rFonts w:ascii="Times New Roman" w:hAnsi="Times New Roman"/>
          <w:sz w:val="24"/>
          <w:szCs w:val="24"/>
          <w:u w:val="single"/>
        </w:rPr>
        <w:t>Vydání příkazu ke zdržení se protiprávního jednání jako předběžného opatření;</w:t>
      </w:r>
    </w:p>
    <w:p w:rsidR="005832DD" w:rsidRPr="005832DD" w:rsidRDefault="005832DD" w:rsidP="005832DD">
      <w:pPr>
        <w:numPr>
          <w:ilvl w:val="0"/>
          <w:numId w:val="24"/>
        </w:numPr>
        <w:spacing w:after="120" w:line="240" w:lineRule="auto"/>
        <w:jc w:val="both"/>
        <w:rPr>
          <w:rFonts w:ascii="Times New Roman" w:hAnsi="Times New Roman"/>
          <w:sz w:val="24"/>
          <w:szCs w:val="24"/>
          <w:u w:val="single"/>
        </w:rPr>
      </w:pPr>
      <w:r w:rsidRPr="005832DD">
        <w:rPr>
          <w:rFonts w:ascii="Times New Roman" w:hAnsi="Times New Roman"/>
          <w:sz w:val="24"/>
          <w:szCs w:val="24"/>
          <w:u w:val="single"/>
        </w:rPr>
        <w:t>Vydání příkazu ke zdržení se protiprávního jednání za účelem zastavení nebo zákazu nezákonné praktiky;</w:t>
      </w:r>
    </w:p>
    <w:p w:rsidR="005832DD" w:rsidRPr="005832DD" w:rsidRDefault="005832DD" w:rsidP="005832DD">
      <w:pPr>
        <w:numPr>
          <w:ilvl w:val="0"/>
          <w:numId w:val="24"/>
        </w:numPr>
        <w:spacing w:after="120" w:line="240" w:lineRule="auto"/>
        <w:jc w:val="both"/>
        <w:rPr>
          <w:rFonts w:ascii="Times New Roman" w:hAnsi="Times New Roman"/>
          <w:sz w:val="24"/>
          <w:szCs w:val="24"/>
          <w:u w:val="single"/>
        </w:rPr>
      </w:pPr>
      <w:r w:rsidRPr="005832DD">
        <w:rPr>
          <w:rFonts w:ascii="Times New Roman" w:hAnsi="Times New Roman"/>
          <w:sz w:val="24"/>
          <w:szCs w:val="24"/>
          <w:u w:val="single"/>
        </w:rPr>
        <w:t>Vydání opatření na odstranění přetrvávajících účinků porušení předpisů</w:t>
      </w:r>
      <w:r w:rsidRPr="005832DD">
        <w:rPr>
          <w:rFonts w:ascii="Times New Roman" w:hAnsi="Times New Roman"/>
          <w:sz w:val="24"/>
          <w:szCs w:val="24"/>
        </w:rPr>
        <w:t xml:space="preserve">, k nimž patří </w:t>
      </w:r>
      <w:r w:rsidRPr="005832DD">
        <w:rPr>
          <w:rFonts w:ascii="Times New Roman" w:hAnsi="Times New Roman"/>
          <w:sz w:val="24"/>
          <w:szCs w:val="24"/>
          <w:u w:val="single"/>
        </w:rPr>
        <w:t>příkazy k odškodnění</w:t>
      </w:r>
      <w:r w:rsidRPr="005832DD">
        <w:rPr>
          <w:rFonts w:ascii="Times New Roman" w:hAnsi="Times New Roman"/>
          <w:sz w:val="24"/>
          <w:szCs w:val="24"/>
        </w:rPr>
        <w:t>.</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u w:val="single"/>
        </w:rPr>
        <w:t>V rámci jedné zástupné žaloby</w:t>
      </w:r>
      <w:r w:rsidRPr="005832DD">
        <w:rPr>
          <w:rFonts w:ascii="Times New Roman" w:hAnsi="Times New Roman"/>
          <w:sz w:val="24"/>
          <w:szCs w:val="24"/>
        </w:rPr>
        <w:t xml:space="preserve"> se lze domáhat </w:t>
      </w:r>
      <w:r w:rsidRPr="005832DD">
        <w:rPr>
          <w:rFonts w:ascii="Times New Roman" w:hAnsi="Times New Roman"/>
          <w:sz w:val="24"/>
          <w:szCs w:val="24"/>
          <w:u w:val="single"/>
        </w:rPr>
        <w:t>i vydání více těchto opatření</w:t>
      </w:r>
      <w:r w:rsidRPr="005832DD">
        <w:rPr>
          <w:rFonts w:ascii="Times New Roman" w:hAnsi="Times New Roman"/>
          <w:sz w:val="24"/>
          <w:szCs w:val="24"/>
        </w:rPr>
        <w:t>. Členské státy mohou určit více kvalifikovaných subjektů, z nichž některé budou moci požadovat vydání všech výše uvedených opatření a některé pouze jednoho či více z nich.</w:t>
      </w:r>
    </w:p>
    <w:p w:rsidR="005832DD" w:rsidRPr="005832DD" w:rsidRDefault="005832DD" w:rsidP="005832DD">
      <w:pPr>
        <w:spacing w:after="120"/>
        <w:jc w:val="both"/>
        <w:rPr>
          <w:rFonts w:ascii="Times New Roman" w:hAnsi="Times New Roman"/>
          <w:i/>
          <w:sz w:val="24"/>
          <w:szCs w:val="24"/>
          <w:u w:val="single"/>
        </w:rPr>
      </w:pPr>
      <w:r w:rsidRPr="005832DD">
        <w:rPr>
          <w:rFonts w:ascii="Times New Roman" w:hAnsi="Times New Roman"/>
          <w:i/>
          <w:sz w:val="24"/>
          <w:szCs w:val="24"/>
          <w:u w:val="single"/>
        </w:rPr>
        <w:t>Opatření pro odškodnění spotřebitelů</w:t>
      </w:r>
    </w:p>
    <w:p w:rsidR="005832DD" w:rsidRPr="005832DD" w:rsidRDefault="005832DD" w:rsidP="005832DD">
      <w:pPr>
        <w:spacing w:after="120"/>
        <w:jc w:val="both"/>
        <w:rPr>
          <w:rFonts w:ascii="Times New Roman" w:hAnsi="Times New Roman"/>
          <w:bCs/>
          <w:sz w:val="24"/>
          <w:szCs w:val="24"/>
          <w:u w:val="single"/>
        </w:rPr>
      </w:pPr>
      <w:r w:rsidRPr="005832DD">
        <w:rPr>
          <w:rFonts w:ascii="Times New Roman" w:hAnsi="Times New Roman"/>
          <w:bCs/>
          <w:sz w:val="24"/>
          <w:szCs w:val="24"/>
        </w:rPr>
        <w:t xml:space="preserve">Za účelem zajištění odškodnění spotřebitelů předpokládá návrh směrnice možnost vydání tzv. příkazu k odškodnění. </w:t>
      </w:r>
      <w:r w:rsidRPr="005832DD">
        <w:rPr>
          <w:rFonts w:ascii="Times New Roman" w:hAnsi="Times New Roman"/>
          <w:bCs/>
          <w:sz w:val="24"/>
          <w:szCs w:val="24"/>
          <w:u w:val="single"/>
        </w:rPr>
        <w:t>Příkazem k odškodnění</w:t>
      </w:r>
      <w:r w:rsidRPr="005832DD">
        <w:rPr>
          <w:rFonts w:ascii="Times New Roman" w:hAnsi="Times New Roman"/>
          <w:bCs/>
          <w:sz w:val="24"/>
          <w:szCs w:val="24"/>
        </w:rPr>
        <w:t xml:space="preserve"> lze v závislosti na situaci </w:t>
      </w:r>
      <w:r w:rsidRPr="005832DD">
        <w:rPr>
          <w:rFonts w:ascii="Times New Roman" w:hAnsi="Times New Roman"/>
          <w:bCs/>
          <w:sz w:val="24"/>
          <w:szCs w:val="24"/>
          <w:u w:val="single"/>
        </w:rPr>
        <w:t>obchodníkovi uložit povinnost zboží opravit nebo vyměnit, poskytnout přiměřenou slevu z kupní ceny, vrátit zaplacenou kupní cenu nebo umožnit ukončení smlouvy.</w:t>
      </w:r>
    </w:p>
    <w:p w:rsidR="005832DD" w:rsidRPr="005832DD" w:rsidRDefault="005832DD" w:rsidP="005832DD">
      <w:pPr>
        <w:spacing w:after="120"/>
        <w:jc w:val="both"/>
        <w:rPr>
          <w:rFonts w:ascii="Times New Roman" w:hAnsi="Times New Roman"/>
          <w:bCs/>
          <w:sz w:val="24"/>
          <w:szCs w:val="24"/>
        </w:rPr>
      </w:pPr>
      <w:r w:rsidRPr="005832DD">
        <w:rPr>
          <w:rFonts w:ascii="Times New Roman" w:hAnsi="Times New Roman"/>
          <w:bCs/>
          <w:sz w:val="24"/>
          <w:szCs w:val="24"/>
        </w:rPr>
        <w:t xml:space="preserve">Návrh směrnice však zároveň členským státům poskytuje flexibilitu v tom, že </w:t>
      </w:r>
      <w:r w:rsidRPr="005832DD">
        <w:rPr>
          <w:rFonts w:ascii="Times New Roman" w:hAnsi="Times New Roman"/>
          <w:bCs/>
          <w:sz w:val="24"/>
          <w:szCs w:val="24"/>
          <w:u w:val="single"/>
        </w:rPr>
        <w:t>ve výjimečných případech</w:t>
      </w:r>
      <w:r w:rsidRPr="005832DD">
        <w:rPr>
          <w:rFonts w:ascii="Times New Roman" w:hAnsi="Times New Roman"/>
          <w:bCs/>
          <w:sz w:val="24"/>
          <w:szCs w:val="24"/>
        </w:rPr>
        <w:t xml:space="preserve"> může soud namísto příkazu k odškodnění </w:t>
      </w:r>
      <w:r w:rsidRPr="005832DD">
        <w:rPr>
          <w:rFonts w:ascii="Times New Roman" w:hAnsi="Times New Roman"/>
          <w:bCs/>
          <w:sz w:val="24"/>
          <w:szCs w:val="24"/>
          <w:u w:val="single"/>
        </w:rPr>
        <w:t>vydat deklaratorní rozhodnutí o porušení práva obchodníkem a jeho odpovědnosti vůči poškozeným spotřebitelům</w:t>
      </w:r>
      <w:r w:rsidRPr="005832DD">
        <w:rPr>
          <w:rFonts w:ascii="Times New Roman" w:hAnsi="Times New Roman"/>
          <w:bCs/>
          <w:sz w:val="24"/>
          <w:szCs w:val="24"/>
        </w:rPr>
        <w:t xml:space="preserve">. Na základě tohoto deklaratorního rozhodnutí se pak spotřebitelé budou moci domáhat nápravy (např. náhrady škody) v dalším řízení, přičemž pokud se bude jednat o soudní nebo správní rozhodnutí téhož členského státu, bude právní posouzení obsažené v deklaratorním rozhodnutí v dalším řízení závazné (jako nevyvratitelný důkaz). V případě, že se bude jednat o rozhodnutí z jiného členského státu, bude toto právní posouzení vyvratitelnou domněnkou. Návrh směrnice možnost vydání deklaratorního rozhodnutí předpokládá pro případy, kdy je vyčíslení kolektivní újmy způsobené spotřebitelům příliš komplexní, neboť individuální újma způsobená jednotlivým spotřebiteli může mít zvláštní charakteristiky. </w:t>
      </w:r>
    </w:p>
    <w:p w:rsidR="005832DD" w:rsidRPr="005832DD" w:rsidRDefault="005832DD" w:rsidP="005832DD">
      <w:pPr>
        <w:spacing w:after="120"/>
        <w:jc w:val="both"/>
        <w:rPr>
          <w:rFonts w:ascii="Times New Roman" w:hAnsi="Times New Roman"/>
          <w:bCs/>
          <w:sz w:val="24"/>
          <w:szCs w:val="24"/>
        </w:rPr>
      </w:pPr>
      <w:r w:rsidRPr="005832DD">
        <w:rPr>
          <w:rFonts w:ascii="Times New Roman" w:hAnsi="Times New Roman"/>
          <w:bCs/>
          <w:sz w:val="24"/>
          <w:szCs w:val="24"/>
        </w:rPr>
        <w:t xml:space="preserve">Návrh směrnice však zároveň stanoví </w:t>
      </w:r>
      <w:r w:rsidRPr="005832DD">
        <w:rPr>
          <w:rFonts w:ascii="Times New Roman" w:hAnsi="Times New Roman"/>
          <w:bCs/>
          <w:sz w:val="24"/>
          <w:szCs w:val="24"/>
          <w:u w:val="single"/>
        </w:rPr>
        <w:t>dva případy, v nichž deklaratorní rozhodnutí namísto příkazu k odškodnění vydat nelze.</w:t>
      </w:r>
      <w:r w:rsidRPr="005832DD">
        <w:rPr>
          <w:rFonts w:ascii="Times New Roman" w:hAnsi="Times New Roman"/>
          <w:bCs/>
          <w:sz w:val="24"/>
          <w:szCs w:val="24"/>
        </w:rPr>
        <w:t xml:space="preserve"> Jedná se o případ, kdy </w:t>
      </w:r>
      <w:r w:rsidRPr="005832DD">
        <w:rPr>
          <w:rFonts w:ascii="Times New Roman" w:hAnsi="Times New Roman"/>
          <w:bCs/>
          <w:sz w:val="24"/>
          <w:szCs w:val="24"/>
          <w:u w:val="single"/>
        </w:rPr>
        <w:t xml:space="preserve">poškozené spotřebitele lze identifikovat a tito spotřebitelé utrpěli srovnatelnou škodu ve vztahu k určitému časovému </w:t>
      </w:r>
      <w:r w:rsidRPr="005832DD">
        <w:rPr>
          <w:rFonts w:ascii="Times New Roman" w:hAnsi="Times New Roman"/>
          <w:bCs/>
          <w:sz w:val="24"/>
          <w:szCs w:val="24"/>
          <w:u w:val="single"/>
        </w:rPr>
        <w:lastRenderedPageBreak/>
        <w:t>období nebo určitému nákupu</w:t>
      </w:r>
      <w:r w:rsidRPr="005832DD">
        <w:rPr>
          <w:rFonts w:ascii="Times New Roman" w:hAnsi="Times New Roman"/>
          <w:bCs/>
          <w:sz w:val="24"/>
          <w:szCs w:val="24"/>
        </w:rPr>
        <w:t xml:space="preserve"> (např. u dlouhodobých spotřebitelských smluv).  Druhý případ zahrnuje situace, kdy </w:t>
      </w:r>
      <w:r w:rsidRPr="005832DD">
        <w:rPr>
          <w:rFonts w:ascii="Times New Roman" w:hAnsi="Times New Roman"/>
          <w:bCs/>
          <w:sz w:val="24"/>
          <w:szCs w:val="24"/>
          <w:u w:val="single"/>
        </w:rPr>
        <w:t>několik spotřebitelů utrpělo tak malou ztrátu</w:t>
      </w:r>
      <w:r w:rsidRPr="005832DD">
        <w:rPr>
          <w:rFonts w:ascii="Times New Roman" w:hAnsi="Times New Roman"/>
          <w:bCs/>
          <w:sz w:val="24"/>
          <w:szCs w:val="24"/>
        </w:rPr>
        <w:t xml:space="preserve">, že by bylo </w:t>
      </w:r>
      <w:r w:rsidRPr="005832DD">
        <w:rPr>
          <w:rFonts w:ascii="Times New Roman" w:hAnsi="Times New Roman"/>
          <w:bCs/>
          <w:sz w:val="24"/>
          <w:szCs w:val="24"/>
          <w:u w:val="single"/>
        </w:rPr>
        <w:t>neúčinné jim rozdělovat</w:t>
      </w:r>
      <w:r w:rsidRPr="005832DD">
        <w:rPr>
          <w:rFonts w:ascii="Times New Roman" w:hAnsi="Times New Roman"/>
          <w:bCs/>
          <w:sz w:val="24"/>
          <w:szCs w:val="24"/>
        </w:rPr>
        <w:t xml:space="preserve"> přiznaný nárok na </w:t>
      </w:r>
      <w:r w:rsidRPr="005832DD">
        <w:rPr>
          <w:rFonts w:ascii="Times New Roman" w:hAnsi="Times New Roman"/>
          <w:bCs/>
          <w:sz w:val="24"/>
          <w:szCs w:val="24"/>
          <w:u w:val="single"/>
        </w:rPr>
        <w:t>náhradu škody.</w:t>
      </w:r>
      <w:r w:rsidRPr="005832DD">
        <w:rPr>
          <w:rFonts w:ascii="Times New Roman" w:hAnsi="Times New Roman"/>
          <w:bCs/>
          <w:sz w:val="24"/>
          <w:szCs w:val="24"/>
        </w:rPr>
        <w:t xml:space="preserve"> V tomto případě se vymožené odškodnění použije na činnosti realizované v zájmu ochrany spotřebitelů (např. na osvětové kampaně). </w:t>
      </w:r>
    </w:p>
    <w:p w:rsidR="005832DD" w:rsidRPr="005832DD" w:rsidRDefault="005832DD" w:rsidP="005832DD">
      <w:pPr>
        <w:spacing w:after="120"/>
        <w:jc w:val="both"/>
        <w:rPr>
          <w:rFonts w:ascii="Times New Roman" w:hAnsi="Times New Roman"/>
          <w:bCs/>
          <w:i/>
          <w:sz w:val="24"/>
          <w:szCs w:val="24"/>
          <w:u w:val="single"/>
        </w:rPr>
      </w:pPr>
      <w:r w:rsidRPr="005832DD">
        <w:rPr>
          <w:rFonts w:ascii="Times New Roman" w:hAnsi="Times New Roman"/>
          <w:bCs/>
          <w:i/>
          <w:sz w:val="24"/>
          <w:szCs w:val="24"/>
          <w:u w:val="single"/>
        </w:rPr>
        <w:t>Financování činnosti kvalifikovaného subjektu a zástupné žaloby</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 xml:space="preserve">V případě, že </w:t>
      </w:r>
      <w:r w:rsidRPr="005832DD">
        <w:rPr>
          <w:rFonts w:ascii="Times New Roman" w:hAnsi="Times New Roman"/>
          <w:sz w:val="24"/>
          <w:szCs w:val="24"/>
          <w:u w:val="single"/>
        </w:rPr>
        <w:t>kvalifikovaný subjekt z členského státu požaduje vydání příkazu k odškodnění</w:t>
      </w:r>
      <w:r w:rsidRPr="005832DD">
        <w:rPr>
          <w:rFonts w:ascii="Times New Roman" w:hAnsi="Times New Roman"/>
          <w:sz w:val="24"/>
          <w:szCs w:val="24"/>
        </w:rPr>
        <w:t xml:space="preserve">, musí být </w:t>
      </w:r>
      <w:r w:rsidRPr="005832DD">
        <w:rPr>
          <w:rFonts w:ascii="Times New Roman" w:hAnsi="Times New Roman"/>
          <w:sz w:val="24"/>
          <w:szCs w:val="24"/>
          <w:u w:val="single"/>
        </w:rPr>
        <w:t>transparentní v oblasti financování</w:t>
      </w:r>
      <w:r w:rsidRPr="005832DD">
        <w:rPr>
          <w:rFonts w:ascii="Times New Roman" w:hAnsi="Times New Roman"/>
          <w:sz w:val="24"/>
          <w:szCs w:val="24"/>
        </w:rPr>
        <w:t xml:space="preserve">. Tento požadavek na transparentnost se vztahuje </w:t>
      </w:r>
      <w:r w:rsidRPr="005832DD">
        <w:rPr>
          <w:rFonts w:ascii="Times New Roman" w:hAnsi="Times New Roman"/>
          <w:sz w:val="24"/>
          <w:szCs w:val="24"/>
          <w:u w:val="single"/>
        </w:rPr>
        <w:t>k činnosti kvalifikovaného subjektu jak obecně</w:t>
      </w:r>
      <w:r w:rsidRPr="005832DD">
        <w:rPr>
          <w:rFonts w:ascii="Times New Roman" w:hAnsi="Times New Roman"/>
          <w:sz w:val="24"/>
          <w:szCs w:val="24"/>
        </w:rPr>
        <w:t xml:space="preserve">, tak </w:t>
      </w:r>
      <w:r w:rsidRPr="005832DD">
        <w:rPr>
          <w:rFonts w:ascii="Times New Roman" w:hAnsi="Times New Roman"/>
          <w:sz w:val="24"/>
          <w:szCs w:val="24"/>
          <w:u w:val="single"/>
        </w:rPr>
        <w:t>ve vztahu ke konkrétní zástupné žalobě</w:t>
      </w:r>
      <w:r w:rsidRPr="005832DD">
        <w:rPr>
          <w:rFonts w:ascii="Times New Roman" w:hAnsi="Times New Roman"/>
          <w:sz w:val="24"/>
          <w:szCs w:val="24"/>
        </w:rPr>
        <w:t xml:space="preserve"> požadující odškodnění spotřebitelů. Návrh směrnice tímto požadavkem sleduje mimo jiné </w:t>
      </w:r>
      <w:r w:rsidRPr="005832DD">
        <w:rPr>
          <w:rFonts w:ascii="Times New Roman" w:hAnsi="Times New Roman"/>
          <w:sz w:val="24"/>
          <w:szCs w:val="24"/>
          <w:u w:val="single"/>
        </w:rPr>
        <w:t>zamezení střetu zájmů a snížení rizik zneužití institutu zástupné žaloby.</w:t>
      </w:r>
      <w:r w:rsidRPr="005832DD">
        <w:rPr>
          <w:rFonts w:ascii="Times New Roman" w:hAnsi="Times New Roman"/>
          <w:sz w:val="24"/>
          <w:szCs w:val="24"/>
        </w:rPr>
        <w:t xml:space="preserve"> </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 xml:space="preserve">Kvalifikované subjekty musí </w:t>
      </w:r>
      <w:r w:rsidRPr="005832DD">
        <w:rPr>
          <w:rFonts w:ascii="Times New Roman" w:hAnsi="Times New Roman"/>
          <w:sz w:val="24"/>
          <w:szCs w:val="24"/>
          <w:u w:val="single"/>
        </w:rPr>
        <w:t>u žalob na kolektivní náhradu škody soudům nebo správním orgánům prokázat</w:t>
      </w:r>
      <w:r w:rsidRPr="005832DD">
        <w:rPr>
          <w:rFonts w:ascii="Times New Roman" w:hAnsi="Times New Roman"/>
          <w:sz w:val="24"/>
          <w:szCs w:val="24"/>
        </w:rPr>
        <w:t xml:space="preserve">, že jsou </w:t>
      </w:r>
      <w:r w:rsidRPr="005832DD">
        <w:rPr>
          <w:rFonts w:ascii="Times New Roman" w:hAnsi="Times New Roman"/>
          <w:sz w:val="24"/>
          <w:szCs w:val="24"/>
          <w:u w:val="single"/>
        </w:rPr>
        <w:t>způsobilé zajistit financování</w:t>
      </w:r>
      <w:r w:rsidRPr="005832DD">
        <w:rPr>
          <w:rFonts w:ascii="Times New Roman" w:hAnsi="Times New Roman"/>
          <w:sz w:val="24"/>
          <w:szCs w:val="24"/>
        </w:rPr>
        <w:t xml:space="preserve"> zástupné žaloby, a také prokázat, jaký je </w:t>
      </w:r>
      <w:r w:rsidRPr="005832DD">
        <w:rPr>
          <w:rFonts w:ascii="Times New Roman" w:hAnsi="Times New Roman"/>
          <w:sz w:val="24"/>
          <w:szCs w:val="24"/>
          <w:u w:val="single"/>
        </w:rPr>
        <w:t>původ finančních prostředků</w:t>
      </w:r>
      <w:r w:rsidRPr="005832DD">
        <w:rPr>
          <w:rFonts w:ascii="Times New Roman" w:hAnsi="Times New Roman"/>
          <w:sz w:val="24"/>
          <w:szCs w:val="24"/>
        </w:rPr>
        <w:t xml:space="preserve">, které mají být za tímto účelem využity. </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 xml:space="preserve">Úkolem </w:t>
      </w:r>
      <w:r w:rsidRPr="005832DD">
        <w:rPr>
          <w:rFonts w:ascii="Times New Roman" w:hAnsi="Times New Roman"/>
          <w:sz w:val="24"/>
          <w:szCs w:val="24"/>
          <w:u w:val="single"/>
        </w:rPr>
        <w:t>soudů a správních orgánů</w:t>
      </w:r>
      <w:r w:rsidRPr="005832DD">
        <w:rPr>
          <w:rFonts w:ascii="Times New Roman" w:hAnsi="Times New Roman"/>
          <w:sz w:val="24"/>
          <w:szCs w:val="24"/>
        </w:rPr>
        <w:t xml:space="preserve"> je také posoudit </w:t>
      </w:r>
      <w:r w:rsidRPr="005832DD">
        <w:rPr>
          <w:rFonts w:ascii="Times New Roman" w:hAnsi="Times New Roman"/>
          <w:sz w:val="24"/>
          <w:szCs w:val="24"/>
          <w:u w:val="single"/>
        </w:rPr>
        <w:t>přípravy financování zástupné žaloby</w:t>
      </w:r>
      <w:r w:rsidRPr="005832DD">
        <w:rPr>
          <w:rFonts w:ascii="Times New Roman" w:hAnsi="Times New Roman"/>
          <w:sz w:val="24"/>
          <w:szCs w:val="24"/>
        </w:rPr>
        <w:t xml:space="preserve"> třetím subjektem s tím, že </w:t>
      </w:r>
      <w:r w:rsidRPr="005832DD">
        <w:rPr>
          <w:rFonts w:ascii="Times New Roman" w:hAnsi="Times New Roman"/>
          <w:sz w:val="24"/>
          <w:szCs w:val="24"/>
          <w:u w:val="single"/>
        </w:rPr>
        <w:t>třetí straně financující zástupnou žalobu</w:t>
      </w:r>
      <w:r w:rsidRPr="005832DD">
        <w:rPr>
          <w:rFonts w:ascii="Times New Roman" w:hAnsi="Times New Roman"/>
          <w:sz w:val="24"/>
          <w:szCs w:val="24"/>
        </w:rPr>
        <w:t xml:space="preserve"> je podle návrhu směrnice </w:t>
      </w:r>
      <w:r w:rsidRPr="005832DD">
        <w:rPr>
          <w:rFonts w:ascii="Times New Roman" w:hAnsi="Times New Roman"/>
          <w:sz w:val="24"/>
          <w:szCs w:val="24"/>
          <w:u w:val="single"/>
        </w:rPr>
        <w:t>zakázáno</w:t>
      </w:r>
      <w:r w:rsidRPr="005832DD">
        <w:rPr>
          <w:rFonts w:ascii="Times New Roman" w:hAnsi="Times New Roman"/>
          <w:sz w:val="24"/>
          <w:szCs w:val="24"/>
        </w:rPr>
        <w:t>:</w:t>
      </w:r>
    </w:p>
    <w:p w:rsidR="005832DD" w:rsidRPr="005832DD" w:rsidRDefault="005832DD" w:rsidP="005832DD">
      <w:pPr>
        <w:numPr>
          <w:ilvl w:val="0"/>
          <w:numId w:val="25"/>
        </w:numPr>
        <w:spacing w:after="120" w:line="240" w:lineRule="auto"/>
        <w:jc w:val="both"/>
        <w:rPr>
          <w:rFonts w:ascii="Times New Roman" w:hAnsi="Times New Roman"/>
          <w:sz w:val="24"/>
          <w:szCs w:val="24"/>
        </w:rPr>
      </w:pPr>
      <w:r w:rsidRPr="005832DD">
        <w:rPr>
          <w:rFonts w:ascii="Times New Roman" w:hAnsi="Times New Roman"/>
          <w:sz w:val="24"/>
          <w:szCs w:val="24"/>
          <w:u w:val="single"/>
        </w:rPr>
        <w:t>Ovlivňovat procesní rozhodnutí kvalifikovaného subjektu</w:t>
      </w:r>
      <w:r w:rsidRPr="005832DD">
        <w:rPr>
          <w:rFonts w:ascii="Times New Roman" w:hAnsi="Times New Roman"/>
          <w:sz w:val="24"/>
          <w:szCs w:val="24"/>
        </w:rPr>
        <w:t xml:space="preserve"> včetně otázek vyrovnání; </w:t>
      </w:r>
    </w:p>
    <w:p w:rsidR="005832DD" w:rsidRPr="005832DD" w:rsidRDefault="005832DD" w:rsidP="005832DD">
      <w:pPr>
        <w:numPr>
          <w:ilvl w:val="0"/>
          <w:numId w:val="25"/>
        </w:numPr>
        <w:spacing w:after="120" w:line="240" w:lineRule="auto"/>
        <w:jc w:val="both"/>
        <w:rPr>
          <w:rFonts w:ascii="Times New Roman" w:hAnsi="Times New Roman"/>
          <w:sz w:val="24"/>
          <w:szCs w:val="24"/>
          <w:u w:val="single"/>
        </w:rPr>
      </w:pPr>
      <w:r w:rsidRPr="005832DD">
        <w:rPr>
          <w:rFonts w:ascii="Times New Roman" w:hAnsi="Times New Roman"/>
          <w:sz w:val="24"/>
          <w:szCs w:val="24"/>
          <w:u w:val="single"/>
        </w:rPr>
        <w:t>Financovat kolektivní žalobu proti konkurentovi nebo subjektu, který je na této třetí straně finančně závislý.</w:t>
      </w:r>
    </w:p>
    <w:p w:rsidR="005832DD" w:rsidRPr="005832DD" w:rsidRDefault="005832DD" w:rsidP="005832DD">
      <w:pPr>
        <w:spacing w:after="120"/>
        <w:jc w:val="both"/>
        <w:rPr>
          <w:rFonts w:ascii="Times New Roman" w:hAnsi="Times New Roman"/>
          <w:i/>
          <w:sz w:val="24"/>
          <w:szCs w:val="24"/>
          <w:u w:val="single"/>
        </w:rPr>
      </w:pPr>
      <w:r w:rsidRPr="005832DD">
        <w:rPr>
          <w:rFonts w:ascii="Times New Roman" w:hAnsi="Times New Roman"/>
          <w:i/>
          <w:sz w:val="24"/>
          <w:szCs w:val="24"/>
          <w:u w:val="single"/>
        </w:rPr>
        <w:t>Mimosoudní vyrovnání</w:t>
      </w:r>
    </w:p>
    <w:p w:rsidR="005832DD" w:rsidRPr="005832DD" w:rsidRDefault="005832DD" w:rsidP="005832DD">
      <w:pPr>
        <w:spacing w:after="120"/>
        <w:jc w:val="both"/>
        <w:rPr>
          <w:rFonts w:ascii="Times New Roman" w:hAnsi="Times New Roman"/>
          <w:bCs/>
          <w:sz w:val="24"/>
          <w:szCs w:val="24"/>
        </w:rPr>
      </w:pPr>
      <w:r w:rsidRPr="005832DD">
        <w:rPr>
          <w:rFonts w:ascii="Times New Roman" w:hAnsi="Times New Roman"/>
          <w:bCs/>
          <w:sz w:val="24"/>
          <w:szCs w:val="24"/>
        </w:rPr>
        <w:t xml:space="preserve">Návrh směrnice stanoví, že kolektivní </w:t>
      </w:r>
      <w:r w:rsidRPr="005832DD">
        <w:rPr>
          <w:rFonts w:ascii="Times New Roman" w:hAnsi="Times New Roman"/>
          <w:bCs/>
          <w:sz w:val="24"/>
          <w:szCs w:val="24"/>
          <w:u w:val="single"/>
        </w:rPr>
        <w:t>mimosoudní vyrovnání podléhá kontrole soudu nebo správního orgánu.</w:t>
      </w:r>
      <w:r w:rsidRPr="005832DD">
        <w:rPr>
          <w:rFonts w:ascii="Times New Roman" w:hAnsi="Times New Roman"/>
          <w:bCs/>
          <w:sz w:val="24"/>
          <w:szCs w:val="24"/>
        </w:rPr>
        <w:t xml:space="preserve"> Pokud tedy zástupná žaloba skončí vyrovnáním, příslušný soudní nebo správní orgán přezkoumá jeho legalitu a přiměřenost s přihlédnutím k právům všech zúčastněných stran. </w:t>
      </w:r>
      <w:r w:rsidRPr="005832DD">
        <w:rPr>
          <w:rFonts w:ascii="Times New Roman" w:hAnsi="Times New Roman"/>
          <w:bCs/>
          <w:sz w:val="24"/>
          <w:szCs w:val="24"/>
          <w:u w:val="single"/>
        </w:rPr>
        <w:t>Jednotlivým spotřebitelům</w:t>
      </w:r>
      <w:r w:rsidRPr="005832DD">
        <w:rPr>
          <w:rFonts w:ascii="Times New Roman" w:hAnsi="Times New Roman"/>
          <w:bCs/>
          <w:sz w:val="24"/>
          <w:szCs w:val="24"/>
        </w:rPr>
        <w:t xml:space="preserve"> je současně zajištěno </w:t>
      </w:r>
      <w:r w:rsidRPr="005832DD">
        <w:rPr>
          <w:rFonts w:ascii="Times New Roman" w:hAnsi="Times New Roman"/>
          <w:bCs/>
          <w:sz w:val="24"/>
          <w:szCs w:val="24"/>
          <w:u w:val="single"/>
        </w:rPr>
        <w:t>právo se rozhodnout, zda se jejich nároky budou přijatou dohodou o mimosoudním vyrovnání řídit, či nikoli</w:t>
      </w:r>
      <w:r w:rsidRPr="005832DD">
        <w:rPr>
          <w:rFonts w:ascii="Times New Roman" w:hAnsi="Times New Roman"/>
          <w:bCs/>
          <w:sz w:val="24"/>
          <w:szCs w:val="24"/>
        </w:rPr>
        <w:t>.</w:t>
      </w:r>
    </w:p>
    <w:p w:rsidR="005832DD" w:rsidRPr="005832DD" w:rsidRDefault="005832DD" w:rsidP="005832DD">
      <w:pPr>
        <w:spacing w:after="120"/>
        <w:jc w:val="both"/>
        <w:rPr>
          <w:rFonts w:ascii="Times New Roman" w:hAnsi="Times New Roman"/>
          <w:i/>
          <w:sz w:val="24"/>
          <w:szCs w:val="24"/>
          <w:u w:val="single"/>
        </w:rPr>
      </w:pPr>
      <w:r w:rsidRPr="005832DD">
        <w:rPr>
          <w:rFonts w:ascii="Times New Roman" w:hAnsi="Times New Roman"/>
          <w:i/>
          <w:sz w:val="24"/>
          <w:szCs w:val="24"/>
          <w:u w:val="single"/>
        </w:rPr>
        <w:t>Pozastavení promlčecí lhůty</w:t>
      </w:r>
    </w:p>
    <w:p w:rsidR="005832DD" w:rsidRPr="005832DD" w:rsidRDefault="005832DD" w:rsidP="005832DD">
      <w:pPr>
        <w:spacing w:after="120"/>
        <w:jc w:val="both"/>
        <w:rPr>
          <w:rFonts w:ascii="Times New Roman" w:hAnsi="Times New Roman"/>
          <w:bCs/>
          <w:sz w:val="24"/>
          <w:szCs w:val="24"/>
        </w:rPr>
      </w:pPr>
      <w:r w:rsidRPr="005832DD">
        <w:rPr>
          <w:rFonts w:ascii="Times New Roman" w:hAnsi="Times New Roman"/>
          <w:bCs/>
          <w:sz w:val="24"/>
          <w:szCs w:val="24"/>
        </w:rPr>
        <w:t xml:space="preserve">Podle návrhu směrnice </w:t>
      </w:r>
      <w:r w:rsidRPr="005832DD">
        <w:rPr>
          <w:rFonts w:ascii="Times New Roman" w:hAnsi="Times New Roman"/>
          <w:bCs/>
          <w:sz w:val="24"/>
          <w:szCs w:val="24"/>
          <w:u w:val="single"/>
        </w:rPr>
        <w:t>se podáním zástupné žaloby staví nebo přerušují promlčecí lhůty</w:t>
      </w:r>
      <w:r w:rsidRPr="005832DD">
        <w:rPr>
          <w:rFonts w:ascii="Times New Roman" w:hAnsi="Times New Roman"/>
          <w:bCs/>
          <w:sz w:val="24"/>
          <w:szCs w:val="24"/>
        </w:rPr>
        <w:t xml:space="preserve"> ve vztahu k žalobám na náhradu škody.</w:t>
      </w:r>
    </w:p>
    <w:p w:rsidR="005832DD" w:rsidRPr="005832DD" w:rsidRDefault="005832DD" w:rsidP="005832DD">
      <w:pPr>
        <w:spacing w:after="120"/>
        <w:jc w:val="both"/>
        <w:rPr>
          <w:rFonts w:ascii="Times New Roman" w:hAnsi="Times New Roman"/>
          <w:bCs/>
          <w:i/>
          <w:sz w:val="24"/>
          <w:szCs w:val="24"/>
          <w:u w:val="single"/>
        </w:rPr>
      </w:pPr>
      <w:r w:rsidRPr="005832DD">
        <w:rPr>
          <w:rFonts w:ascii="Times New Roman" w:hAnsi="Times New Roman"/>
          <w:bCs/>
          <w:i/>
          <w:sz w:val="24"/>
          <w:szCs w:val="24"/>
          <w:u w:val="single"/>
        </w:rPr>
        <w:t>Důkazní prostředky v držení žalovaného</w:t>
      </w:r>
    </w:p>
    <w:p w:rsidR="005832DD" w:rsidRPr="005832DD" w:rsidRDefault="005832DD" w:rsidP="005832DD">
      <w:pPr>
        <w:spacing w:after="120"/>
        <w:jc w:val="both"/>
        <w:rPr>
          <w:rFonts w:ascii="Times New Roman" w:hAnsi="Times New Roman"/>
          <w:bCs/>
          <w:sz w:val="24"/>
          <w:szCs w:val="24"/>
        </w:rPr>
      </w:pPr>
      <w:r w:rsidRPr="005832DD">
        <w:rPr>
          <w:rFonts w:ascii="Times New Roman" w:hAnsi="Times New Roman"/>
          <w:bCs/>
          <w:sz w:val="24"/>
          <w:szCs w:val="24"/>
        </w:rPr>
        <w:t xml:space="preserve">Návrh směrnice dává </w:t>
      </w:r>
      <w:r w:rsidRPr="005832DD">
        <w:rPr>
          <w:rFonts w:ascii="Times New Roman" w:hAnsi="Times New Roman"/>
          <w:bCs/>
          <w:sz w:val="24"/>
          <w:szCs w:val="24"/>
          <w:u w:val="single"/>
        </w:rPr>
        <w:t>kvalifikovaným subjektům právo požádat příslušný soud nebo správní orgán</w:t>
      </w:r>
      <w:r w:rsidRPr="005832DD">
        <w:rPr>
          <w:rFonts w:ascii="Times New Roman" w:hAnsi="Times New Roman"/>
          <w:bCs/>
          <w:sz w:val="24"/>
          <w:szCs w:val="24"/>
        </w:rPr>
        <w:t xml:space="preserve">, aby žalované straně uložil </w:t>
      </w:r>
      <w:r w:rsidRPr="005832DD">
        <w:rPr>
          <w:rFonts w:ascii="Times New Roman" w:hAnsi="Times New Roman"/>
          <w:bCs/>
          <w:sz w:val="24"/>
          <w:szCs w:val="24"/>
          <w:u w:val="single"/>
        </w:rPr>
        <w:t>povinnost předložit důkazní prostředky vztahující se k porušení práva</w:t>
      </w:r>
      <w:r w:rsidRPr="005832DD">
        <w:rPr>
          <w:rFonts w:ascii="Times New Roman" w:hAnsi="Times New Roman"/>
          <w:bCs/>
          <w:sz w:val="24"/>
          <w:szCs w:val="24"/>
        </w:rPr>
        <w:t xml:space="preserve">, které jsou </w:t>
      </w:r>
      <w:r w:rsidRPr="005832DD">
        <w:rPr>
          <w:rFonts w:ascii="Times New Roman" w:hAnsi="Times New Roman"/>
          <w:bCs/>
          <w:sz w:val="24"/>
          <w:szCs w:val="24"/>
          <w:u w:val="single"/>
        </w:rPr>
        <w:t>v jejím držení.</w:t>
      </w:r>
      <w:r w:rsidRPr="005832DD">
        <w:rPr>
          <w:rFonts w:ascii="Times New Roman" w:hAnsi="Times New Roman"/>
          <w:bCs/>
          <w:sz w:val="24"/>
          <w:szCs w:val="24"/>
        </w:rPr>
        <w:t xml:space="preserve"> Za tímto účelem musí kvalifikovaný subjekt předložit přiměřeně dostupné skutečnosti a důkazy na podporu zástupné žaloby. Důkazy by měly být žalovaným předloženy v souladu s pravidly důvěrnosti EU. Posouzení přiměřenosti je úkolem příslušného soudu nebo správního orgánu.</w:t>
      </w:r>
    </w:p>
    <w:p w:rsidR="005832DD" w:rsidRPr="005832DD" w:rsidRDefault="005832DD" w:rsidP="005832DD">
      <w:pPr>
        <w:spacing w:after="120"/>
        <w:jc w:val="both"/>
        <w:rPr>
          <w:rFonts w:ascii="Times New Roman" w:hAnsi="Times New Roman"/>
          <w:bCs/>
          <w:i/>
          <w:sz w:val="24"/>
          <w:szCs w:val="24"/>
          <w:u w:val="single"/>
        </w:rPr>
      </w:pPr>
      <w:r w:rsidRPr="005832DD">
        <w:rPr>
          <w:rFonts w:ascii="Times New Roman" w:hAnsi="Times New Roman"/>
          <w:bCs/>
          <w:i/>
          <w:sz w:val="24"/>
          <w:szCs w:val="24"/>
          <w:u w:val="single"/>
        </w:rPr>
        <w:t>Sankce</w:t>
      </w:r>
    </w:p>
    <w:p w:rsidR="005832DD" w:rsidRPr="005832DD" w:rsidRDefault="005832DD" w:rsidP="005832DD">
      <w:pPr>
        <w:spacing w:after="120"/>
        <w:jc w:val="both"/>
        <w:rPr>
          <w:rFonts w:ascii="Times New Roman" w:hAnsi="Times New Roman"/>
          <w:bCs/>
          <w:sz w:val="24"/>
          <w:szCs w:val="24"/>
          <w:u w:val="single"/>
        </w:rPr>
      </w:pPr>
      <w:r w:rsidRPr="005832DD">
        <w:rPr>
          <w:rFonts w:ascii="Times New Roman" w:hAnsi="Times New Roman"/>
          <w:bCs/>
          <w:sz w:val="24"/>
          <w:szCs w:val="24"/>
        </w:rPr>
        <w:t xml:space="preserve">Návrh směrnice členským státům ukládá zajistit, aby </w:t>
      </w:r>
      <w:r w:rsidRPr="005832DD">
        <w:rPr>
          <w:rFonts w:ascii="Times New Roman" w:hAnsi="Times New Roman"/>
          <w:bCs/>
          <w:sz w:val="24"/>
          <w:szCs w:val="24"/>
          <w:u w:val="single"/>
        </w:rPr>
        <w:t>obchodníkům za nedodržení konečného rozhodnutí vydaného na základě zástupné žaloby</w:t>
      </w:r>
      <w:r w:rsidRPr="005832DD">
        <w:rPr>
          <w:rFonts w:ascii="Times New Roman" w:hAnsi="Times New Roman"/>
          <w:bCs/>
          <w:sz w:val="24"/>
          <w:szCs w:val="24"/>
        </w:rPr>
        <w:t xml:space="preserve"> hrozily </w:t>
      </w:r>
      <w:r w:rsidRPr="005832DD">
        <w:rPr>
          <w:rFonts w:ascii="Times New Roman" w:hAnsi="Times New Roman"/>
          <w:bCs/>
          <w:sz w:val="24"/>
          <w:szCs w:val="24"/>
          <w:u w:val="single"/>
        </w:rPr>
        <w:t>účinné, odrazující a přiměřené sankce včetně pokut.</w:t>
      </w:r>
    </w:p>
    <w:p w:rsidR="005832DD" w:rsidRPr="005832DD" w:rsidRDefault="005832DD" w:rsidP="005832DD">
      <w:pPr>
        <w:spacing w:after="120"/>
        <w:jc w:val="both"/>
        <w:rPr>
          <w:rFonts w:ascii="Times New Roman" w:hAnsi="Times New Roman"/>
          <w:bCs/>
          <w:i/>
          <w:sz w:val="24"/>
          <w:szCs w:val="24"/>
          <w:u w:val="single"/>
        </w:rPr>
      </w:pPr>
      <w:r w:rsidRPr="005832DD">
        <w:rPr>
          <w:rFonts w:ascii="Times New Roman" w:hAnsi="Times New Roman"/>
          <w:bCs/>
          <w:i/>
          <w:sz w:val="24"/>
          <w:szCs w:val="24"/>
          <w:u w:val="single"/>
        </w:rPr>
        <w:t>Asistence kvalifikovaným subjektům</w:t>
      </w:r>
    </w:p>
    <w:p w:rsidR="005832DD" w:rsidRPr="005832DD" w:rsidRDefault="005832DD" w:rsidP="005832DD">
      <w:pPr>
        <w:spacing w:after="120"/>
        <w:jc w:val="both"/>
        <w:rPr>
          <w:rFonts w:ascii="Times New Roman" w:hAnsi="Times New Roman"/>
          <w:bCs/>
          <w:sz w:val="24"/>
          <w:szCs w:val="24"/>
        </w:rPr>
      </w:pPr>
      <w:r w:rsidRPr="005832DD">
        <w:rPr>
          <w:rFonts w:ascii="Times New Roman" w:hAnsi="Times New Roman"/>
          <w:bCs/>
          <w:sz w:val="24"/>
          <w:szCs w:val="24"/>
        </w:rPr>
        <w:t xml:space="preserve">Podle návrhu směrnice by </w:t>
      </w:r>
      <w:r w:rsidRPr="005832DD">
        <w:rPr>
          <w:rFonts w:ascii="Times New Roman" w:hAnsi="Times New Roman"/>
          <w:bCs/>
          <w:sz w:val="24"/>
          <w:szCs w:val="24"/>
          <w:u w:val="single"/>
        </w:rPr>
        <w:t>podání zástupné žaloby ze strany kvalifikovaných subjektů</w:t>
      </w:r>
      <w:r w:rsidRPr="005832DD">
        <w:rPr>
          <w:rFonts w:ascii="Times New Roman" w:hAnsi="Times New Roman"/>
          <w:bCs/>
          <w:sz w:val="24"/>
          <w:szCs w:val="24"/>
        </w:rPr>
        <w:t xml:space="preserve"> a vedení řízení o ní </w:t>
      </w:r>
      <w:r w:rsidRPr="005832DD">
        <w:rPr>
          <w:rFonts w:ascii="Times New Roman" w:hAnsi="Times New Roman"/>
          <w:bCs/>
          <w:sz w:val="24"/>
          <w:szCs w:val="24"/>
          <w:u w:val="single"/>
        </w:rPr>
        <w:t>neměly bránit vysoké finanční náklady</w:t>
      </w:r>
      <w:r w:rsidRPr="005832DD">
        <w:rPr>
          <w:rFonts w:ascii="Times New Roman" w:hAnsi="Times New Roman"/>
          <w:bCs/>
          <w:sz w:val="24"/>
          <w:szCs w:val="24"/>
        </w:rPr>
        <w:t xml:space="preserve">. V této souvislosti je kvalifikovaným </w:t>
      </w:r>
      <w:r w:rsidRPr="005832DD">
        <w:rPr>
          <w:rFonts w:ascii="Times New Roman" w:hAnsi="Times New Roman"/>
          <w:bCs/>
          <w:sz w:val="24"/>
          <w:szCs w:val="24"/>
        </w:rPr>
        <w:lastRenderedPageBreak/>
        <w:t xml:space="preserve">subjektům také zaručeno právo </w:t>
      </w:r>
      <w:r w:rsidRPr="005832DD">
        <w:rPr>
          <w:rFonts w:ascii="Times New Roman" w:hAnsi="Times New Roman"/>
          <w:bCs/>
          <w:sz w:val="24"/>
          <w:szCs w:val="24"/>
          <w:u w:val="single"/>
        </w:rPr>
        <w:t>na navrácení nákladů vynaložených na informování spotřebitelů</w:t>
      </w:r>
      <w:r w:rsidRPr="005832DD">
        <w:rPr>
          <w:rFonts w:ascii="Times New Roman" w:hAnsi="Times New Roman"/>
          <w:bCs/>
          <w:sz w:val="24"/>
          <w:szCs w:val="24"/>
        </w:rPr>
        <w:t xml:space="preserve"> o probíhající zástupné žalobě </w:t>
      </w:r>
      <w:r w:rsidRPr="005832DD">
        <w:rPr>
          <w:rFonts w:ascii="Times New Roman" w:hAnsi="Times New Roman"/>
          <w:bCs/>
          <w:sz w:val="24"/>
          <w:szCs w:val="24"/>
          <w:u w:val="single"/>
        </w:rPr>
        <w:t>od obchodníka</w:t>
      </w:r>
      <w:r w:rsidRPr="005832DD">
        <w:rPr>
          <w:rFonts w:ascii="Times New Roman" w:hAnsi="Times New Roman"/>
          <w:bCs/>
          <w:sz w:val="24"/>
          <w:szCs w:val="24"/>
        </w:rPr>
        <w:t>, který se dopustil porušení práva.</w:t>
      </w:r>
    </w:p>
    <w:p w:rsidR="005832DD" w:rsidRPr="005832DD" w:rsidRDefault="005832DD" w:rsidP="005832DD">
      <w:pPr>
        <w:spacing w:after="120"/>
        <w:jc w:val="both"/>
        <w:rPr>
          <w:rFonts w:ascii="Times New Roman" w:hAnsi="Times New Roman"/>
          <w:i/>
          <w:sz w:val="24"/>
          <w:szCs w:val="24"/>
          <w:u w:val="single"/>
        </w:rPr>
      </w:pPr>
      <w:r w:rsidRPr="005832DD">
        <w:rPr>
          <w:rFonts w:ascii="Times New Roman" w:hAnsi="Times New Roman"/>
          <w:i/>
          <w:sz w:val="24"/>
          <w:szCs w:val="24"/>
          <w:u w:val="single"/>
        </w:rPr>
        <w:t>Spolupráce mezi kvalifikovanými subjekty členských států</w:t>
      </w:r>
    </w:p>
    <w:p w:rsidR="005832DD" w:rsidRPr="005832DD" w:rsidRDefault="005832DD" w:rsidP="005832DD">
      <w:pPr>
        <w:spacing w:after="120"/>
        <w:jc w:val="both"/>
        <w:rPr>
          <w:rFonts w:ascii="Times New Roman" w:hAnsi="Times New Roman"/>
          <w:bCs/>
          <w:sz w:val="24"/>
          <w:szCs w:val="24"/>
        </w:rPr>
      </w:pPr>
      <w:r w:rsidRPr="005832DD">
        <w:rPr>
          <w:rFonts w:ascii="Times New Roman" w:hAnsi="Times New Roman"/>
          <w:bCs/>
          <w:sz w:val="24"/>
          <w:szCs w:val="24"/>
        </w:rPr>
        <w:t xml:space="preserve">Pro účely přeshraničních zástupných žalob v případech, kdy došlo nebo by mohlo dojít k poškození zájmů spotřebitelů z různých členských států, předpokládá návrh směrnice možnost </w:t>
      </w:r>
      <w:r w:rsidRPr="005832DD">
        <w:rPr>
          <w:rFonts w:ascii="Times New Roman" w:hAnsi="Times New Roman"/>
          <w:bCs/>
          <w:sz w:val="24"/>
          <w:szCs w:val="24"/>
          <w:u w:val="single"/>
        </w:rPr>
        <w:t>podání zástupné žaloby</w:t>
      </w:r>
      <w:r w:rsidRPr="005832DD">
        <w:rPr>
          <w:rFonts w:ascii="Times New Roman" w:hAnsi="Times New Roman"/>
          <w:bCs/>
          <w:sz w:val="24"/>
          <w:szCs w:val="24"/>
        </w:rPr>
        <w:t xml:space="preserve"> u příslušného soudu nebo správního orgánu </w:t>
      </w:r>
      <w:r w:rsidRPr="005832DD">
        <w:rPr>
          <w:rFonts w:ascii="Times New Roman" w:hAnsi="Times New Roman"/>
          <w:bCs/>
          <w:sz w:val="24"/>
          <w:szCs w:val="24"/>
          <w:u w:val="single"/>
        </w:rPr>
        <w:t>několika kvalifikovanými subjekty z různých členských států EU jednajícími společně nebo zastoupenými jedním kvalifikovaným subjektem.</w:t>
      </w:r>
      <w:r w:rsidRPr="005832DD">
        <w:rPr>
          <w:rFonts w:ascii="Times New Roman" w:hAnsi="Times New Roman"/>
          <w:bCs/>
          <w:sz w:val="24"/>
          <w:szCs w:val="24"/>
        </w:rPr>
        <w:t xml:space="preserve"> </w:t>
      </w:r>
    </w:p>
    <w:p w:rsidR="005832DD" w:rsidRPr="005832DD" w:rsidRDefault="005832DD" w:rsidP="005832DD">
      <w:pPr>
        <w:jc w:val="both"/>
        <w:rPr>
          <w:rFonts w:ascii="Times New Roman" w:hAnsi="Times New Roman"/>
          <w:bCs/>
          <w:sz w:val="24"/>
          <w:szCs w:val="24"/>
        </w:rPr>
      </w:pPr>
      <w:r w:rsidRPr="005832DD">
        <w:rPr>
          <w:rFonts w:ascii="Times New Roman" w:hAnsi="Times New Roman"/>
          <w:bCs/>
          <w:sz w:val="24"/>
          <w:szCs w:val="24"/>
        </w:rPr>
        <w:t xml:space="preserve">Komise bude mít od členských států k dispozici </w:t>
      </w:r>
      <w:r w:rsidRPr="005832DD">
        <w:rPr>
          <w:rFonts w:ascii="Times New Roman" w:hAnsi="Times New Roman"/>
          <w:bCs/>
          <w:sz w:val="24"/>
          <w:szCs w:val="24"/>
          <w:u w:val="single"/>
        </w:rPr>
        <w:t>seznam</w:t>
      </w:r>
      <w:r w:rsidRPr="005832DD">
        <w:rPr>
          <w:rFonts w:ascii="Times New Roman" w:hAnsi="Times New Roman"/>
          <w:bCs/>
          <w:sz w:val="24"/>
          <w:szCs w:val="24"/>
        </w:rPr>
        <w:t xml:space="preserve"> jimi </w:t>
      </w:r>
      <w:r w:rsidRPr="005832DD">
        <w:rPr>
          <w:rFonts w:ascii="Times New Roman" w:hAnsi="Times New Roman"/>
          <w:bCs/>
          <w:sz w:val="24"/>
          <w:szCs w:val="24"/>
          <w:u w:val="single"/>
        </w:rPr>
        <w:t>určených kvalifikovaných subjektů</w:t>
      </w:r>
      <w:r w:rsidRPr="005832DD">
        <w:rPr>
          <w:rFonts w:ascii="Times New Roman" w:hAnsi="Times New Roman"/>
          <w:bCs/>
          <w:sz w:val="24"/>
          <w:szCs w:val="24"/>
        </w:rPr>
        <w:t xml:space="preserve">, který bude </w:t>
      </w:r>
      <w:r w:rsidRPr="005832DD">
        <w:rPr>
          <w:rFonts w:ascii="Times New Roman" w:hAnsi="Times New Roman"/>
          <w:bCs/>
          <w:sz w:val="24"/>
          <w:szCs w:val="24"/>
          <w:u w:val="single"/>
        </w:rPr>
        <w:t>zveřejněn a pravidelně aktualizován</w:t>
      </w:r>
      <w:r w:rsidRPr="005832DD">
        <w:rPr>
          <w:rFonts w:ascii="Times New Roman" w:hAnsi="Times New Roman"/>
          <w:bCs/>
          <w:sz w:val="24"/>
          <w:szCs w:val="24"/>
        </w:rPr>
        <w:t xml:space="preserve">. Jiný členský stát nebo Komise přitom mohou vyjádřit své námitky ve věci (ne)splnění kritérií stanovených pro kvalifikovaný subjekt návrhem směrnice. Členský stát, který určil kvalifikovaný subjekt, u něhož vyvstaly pochybnosti, záležitost prověří a případně daný subjekt zruší. </w:t>
      </w:r>
    </w:p>
    <w:p w:rsidR="005832DD" w:rsidRPr="005832DD" w:rsidRDefault="005832DD" w:rsidP="005832DD">
      <w:pPr>
        <w:pStyle w:val="Nadpis1"/>
        <w:rPr>
          <w:rFonts w:ascii="Times New Roman" w:hAnsi="Times New Roman"/>
          <w:szCs w:val="24"/>
        </w:rPr>
      </w:pPr>
      <w:bookmarkStart w:id="12" w:name="_Toc448302191"/>
      <w:bookmarkStart w:id="13" w:name="_Toc445380612"/>
      <w:r w:rsidRPr="005832DD">
        <w:rPr>
          <w:rFonts w:ascii="Times New Roman" w:hAnsi="Times New Roman"/>
          <w:szCs w:val="24"/>
        </w:rPr>
        <w:t>Stanovisko vlády ČR:</w:t>
      </w:r>
      <w:bookmarkEnd w:id="12"/>
      <w:bookmarkEnd w:id="13"/>
    </w:p>
    <w:p w:rsidR="005832DD" w:rsidRPr="005832DD" w:rsidRDefault="005832DD" w:rsidP="005832DD">
      <w:pPr>
        <w:pStyle w:val="Odstavecseseznamem"/>
        <w:keepNext/>
        <w:keepLines/>
        <w:numPr>
          <w:ilvl w:val="0"/>
          <w:numId w:val="26"/>
        </w:numPr>
        <w:suppressAutoHyphens/>
        <w:autoSpaceDN w:val="0"/>
        <w:spacing w:after="120" w:line="252" w:lineRule="auto"/>
        <w:contextualSpacing w:val="0"/>
        <w:jc w:val="both"/>
        <w:rPr>
          <w:rFonts w:ascii="Times New Roman" w:hAnsi="Times New Roman"/>
          <w:b/>
          <w:i/>
          <w:sz w:val="24"/>
          <w:szCs w:val="24"/>
        </w:rPr>
      </w:pPr>
      <w:r w:rsidRPr="005832DD">
        <w:rPr>
          <w:rFonts w:ascii="Times New Roman" w:hAnsi="Times New Roman"/>
          <w:b/>
          <w:i/>
          <w:sz w:val="24"/>
          <w:szCs w:val="24"/>
        </w:rPr>
        <w:t>Sdělení Komise Evropskému parlamentu, Radě a Evropskému hospodářskému a sociálnímu výboru - Nová politika pro spotřebitele</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Vláda ČR oceňuje záměr Komise modernizovat spotřebitelské právo zejména ve vztahu k vývoji trhu a rozvoji moderních technologií. Souhlasí s potřebou rozvoje mezinárodní spolupráce. Stejně tak souhlasí se vzděláváním spotřebitelů vzhledem ke stále nízkému povědomí českých spotřebitelů o jejich právech. Vláda ČR také podporuje přístup spotřebitelů k rychlému a účinnému systému řešení sporů včetně mechanismů alternativního řešení sporů. Také bezpečnost výrobků patří k dlouhodobým prioritám vlády ČR, proto podporuje snahy Komise o zefektivňování fungování systému rychlé výměny informací o nebezpečných výrobcích (RAPEX). Vláda ČR si také uvědomuje potřebu v budoucnu reagovat na nové výzvy v oblasti ochrany spotřebitele, jako je umělá inteligence, internet věcí, udržitelná spotřeba a ochrana životního prostředí.</w:t>
      </w:r>
    </w:p>
    <w:p w:rsidR="005832DD" w:rsidRPr="005832DD" w:rsidRDefault="005832DD" w:rsidP="005832DD">
      <w:pPr>
        <w:jc w:val="both"/>
        <w:rPr>
          <w:rFonts w:ascii="Times New Roman" w:hAnsi="Times New Roman"/>
          <w:i/>
          <w:sz w:val="24"/>
          <w:szCs w:val="24"/>
          <w:u w:val="single"/>
        </w:rPr>
      </w:pPr>
      <w:r w:rsidRPr="005832DD">
        <w:rPr>
          <w:rFonts w:ascii="Times New Roman" w:hAnsi="Times New Roman"/>
          <w:i/>
          <w:sz w:val="24"/>
          <w:szCs w:val="24"/>
          <w:u w:val="single"/>
        </w:rPr>
        <w:t>Dopad na státní rozpočet a právní řád ČR:</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Sdělení je nelegislativní akt, proto jako takové nemá přímý dopad na rozpočet a právní řád.</w:t>
      </w:r>
    </w:p>
    <w:p w:rsidR="005832DD" w:rsidRPr="005832DD" w:rsidRDefault="005832DD" w:rsidP="005832DD">
      <w:pPr>
        <w:pStyle w:val="Odstavecseseznamem"/>
        <w:keepNext/>
        <w:keepLines/>
        <w:numPr>
          <w:ilvl w:val="0"/>
          <w:numId w:val="26"/>
        </w:numPr>
        <w:suppressAutoHyphens/>
        <w:autoSpaceDN w:val="0"/>
        <w:spacing w:after="120" w:line="252" w:lineRule="auto"/>
        <w:contextualSpacing w:val="0"/>
        <w:jc w:val="both"/>
        <w:rPr>
          <w:rFonts w:ascii="Times New Roman" w:hAnsi="Times New Roman"/>
          <w:b/>
          <w:i/>
          <w:sz w:val="24"/>
          <w:szCs w:val="24"/>
        </w:rPr>
      </w:pPr>
      <w:r w:rsidRPr="005832DD">
        <w:rPr>
          <w:rFonts w:ascii="Times New Roman" w:hAnsi="Times New Roman"/>
          <w:b/>
          <w:i/>
          <w:sz w:val="24"/>
          <w:szCs w:val="24"/>
        </w:rPr>
        <w:t>Návrh směrnice k lepšímu vymáhání a modernizaci právních předpisů na ochranu spotřebitele</w:t>
      </w:r>
    </w:p>
    <w:p w:rsidR="005832DD" w:rsidRPr="005832DD" w:rsidRDefault="005832DD" w:rsidP="005832DD">
      <w:pPr>
        <w:jc w:val="both"/>
        <w:rPr>
          <w:rFonts w:ascii="Times New Roman" w:hAnsi="Times New Roman"/>
          <w:sz w:val="24"/>
          <w:szCs w:val="24"/>
        </w:rPr>
      </w:pPr>
      <w:r w:rsidRPr="005832DD">
        <w:rPr>
          <w:rFonts w:ascii="Times New Roman" w:hAnsi="Times New Roman"/>
          <w:sz w:val="24"/>
          <w:szCs w:val="24"/>
        </w:rPr>
        <w:t xml:space="preserve">Vláda ČR oceňuje záměr Komise modernizovat spotřebitelské právo zejména ve vztahu k vývoji trhu a rozvoji moderních technologií. Právní úprava ochrany spotřebitele by měla být vyvážená a šetřit oprávněné zájmy spotřebitelů i obchodníků. </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Vláda ČR v návrhu směrnice vítá především výslovné označení dvojí kvality potravin jako klamavé obchodní praktiky. Pozitivně vnímá i zakotvení nových informačních povinností pro internetová tržiště. Stejně tak vítá výslovné zakotvení možnosti členského státu regulovat nevyžádaný podomní prodej nebo organizované prodejní akce včetně případného zákazu. Vláda ČR naopak nesouhlasí s navrženou harmonizací správních sankcí a stanovením minimální hranice pro maximální výši sankce. Rezervovaně se staví i k omezení práva spotřebitele na odstoupení od smlouvy, pokud zboží použil ve větší míře, než je nezbytné k jeho vyzkoušení.</w:t>
      </w:r>
    </w:p>
    <w:p w:rsidR="005832DD" w:rsidRPr="005832DD" w:rsidRDefault="005832DD" w:rsidP="005832DD">
      <w:pPr>
        <w:jc w:val="both"/>
        <w:rPr>
          <w:rFonts w:ascii="Times New Roman" w:hAnsi="Times New Roman"/>
          <w:i/>
          <w:sz w:val="24"/>
          <w:szCs w:val="24"/>
          <w:u w:val="single"/>
        </w:rPr>
      </w:pPr>
      <w:r w:rsidRPr="005832DD">
        <w:rPr>
          <w:rFonts w:ascii="Times New Roman" w:hAnsi="Times New Roman"/>
          <w:i/>
          <w:sz w:val="24"/>
          <w:szCs w:val="24"/>
          <w:u w:val="single"/>
        </w:rPr>
        <w:t>Dopad na státní rozpočet a právní řád ČR:</w:t>
      </w:r>
    </w:p>
    <w:p w:rsidR="005832DD" w:rsidRPr="005832DD" w:rsidRDefault="005832DD" w:rsidP="005832DD">
      <w:pPr>
        <w:spacing w:after="120"/>
        <w:jc w:val="both"/>
        <w:rPr>
          <w:rFonts w:ascii="Times New Roman" w:eastAsia="Times New Roman" w:hAnsi="Times New Roman"/>
          <w:sz w:val="24"/>
          <w:szCs w:val="24"/>
          <w:lang w:eastAsia="cs-CZ"/>
        </w:rPr>
      </w:pPr>
      <w:r w:rsidRPr="005832DD">
        <w:rPr>
          <w:rFonts w:ascii="Times New Roman" w:hAnsi="Times New Roman"/>
          <w:sz w:val="24"/>
          <w:szCs w:val="24"/>
        </w:rPr>
        <w:lastRenderedPageBreak/>
        <w:t>Podle stanoviska vlády lze očekávat dopad na státní rozpočet, zejména bude-li schválena harmonizace správních sankcí v navržené podobě. Tyto náklady by souvisely s potřebou navýšení personálních kapacit dozorových orgánů v souvislosti s jejich novými pravomocemi. V současné době však ještě nelze konkrétní dopady na státní rozpočet podrobně vyčíslit. V případě přijetí návrhu směrnice bude nezbytné změnit zákon č. 634/1992 Sb., o ochraně spotřebitele, ve znění pozdějších předpisů, zákon č. 89/2012 Sb., občanský zákoník, ve znění pozdějších předpisů a zákon č. 526/1990 Sb., o cenách, ve znění pozdějších předpisů. Nelze vyloučit ani potřebu změny obecných předpisů upravujících správní trestání, jako je především zákon č. 250/2016 Sb., o odpovědnosti za přestupky a řízení o nich.</w:t>
      </w:r>
    </w:p>
    <w:p w:rsidR="005832DD" w:rsidRPr="005832DD" w:rsidRDefault="005832DD" w:rsidP="005832DD">
      <w:pPr>
        <w:pStyle w:val="Odstavecseseznamem"/>
        <w:keepNext/>
        <w:keepLines/>
        <w:numPr>
          <w:ilvl w:val="0"/>
          <w:numId w:val="26"/>
        </w:numPr>
        <w:suppressAutoHyphens/>
        <w:autoSpaceDN w:val="0"/>
        <w:spacing w:after="120" w:line="252" w:lineRule="auto"/>
        <w:contextualSpacing w:val="0"/>
        <w:jc w:val="both"/>
        <w:rPr>
          <w:rFonts w:ascii="Times New Roman" w:hAnsi="Times New Roman"/>
          <w:b/>
          <w:i/>
          <w:sz w:val="24"/>
          <w:szCs w:val="24"/>
        </w:rPr>
      </w:pPr>
      <w:r w:rsidRPr="005832DD">
        <w:rPr>
          <w:rFonts w:ascii="Times New Roman" w:hAnsi="Times New Roman"/>
          <w:b/>
          <w:i/>
          <w:sz w:val="24"/>
          <w:szCs w:val="24"/>
        </w:rPr>
        <w:t>Návrh směrnice o zástupných žalobách na ochranu kolektivních zájmů spotřebitelů</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Vláda ČR vítá zahájení diskuze o kolektivní ochraně práv spotřebitelů na unijní úrovni. Oceňuje posun Komise v názoru, který spočívá v tom, že kolektivní právní ochrana nově nemusí být založena pouze na režimu vyžadujícím aktivní vstup člena skupiny do řízení.</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 xml:space="preserve">Vláda ČR má však za to, že by měl být respektován účel hromadné žaloby jakožto nástroje k vymáhání soukromoprávních nároků a respektovány odlišnosti a tradice jednotlivých členských států. </w:t>
      </w:r>
    </w:p>
    <w:p w:rsidR="005832DD" w:rsidRPr="005832DD" w:rsidRDefault="005832DD" w:rsidP="005832DD">
      <w:pPr>
        <w:jc w:val="both"/>
        <w:rPr>
          <w:rFonts w:ascii="Times New Roman" w:hAnsi="Times New Roman"/>
          <w:i/>
          <w:sz w:val="24"/>
          <w:szCs w:val="24"/>
          <w:u w:val="single"/>
        </w:rPr>
      </w:pPr>
      <w:r w:rsidRPr="005832DD">
        <w:rPr>
          <w:rFonts w:ascii="Times New Roman" w:hAnsi="Times New Roman"/>
          <w:i/>
          <w:sz w:val="24"/>
          <w:szCs w:val="24"/>
          <w:u w:val="single"/>
        </w:rPr>
        <w:t>Dopad na státní rozpočet a právní řád ČR:</w:t>
      </w:r>
    </w:p>
    <w:p w:rsidR="005832DD" w:rsidRPr="005832DD" w:rsidRDefault="005832DD" w:rsidP="005832DD">
      <w:pPr>
        <w:jc w:val="both"/>
        <w:rPr>
          <w:rFonts w:ascii="Times New Roman" w:eastAsia="Times New Roman" w:hAnsi="Times New Roman"/>
          <w:sz w:val="24"/>
          <w:szCs w:val="24"/>
          <w:lang w:eastAsia="cs-CZ"/>
        </w:rPr>
      </w:pPr>
      <w:r w:rsidRPr="005832DD">
        <w:rPr>
          <w:rFonts w:ascii="Times New Roman" w:hAnsi="Times New Roman"/>
          <w:sz w:val="24"/>
          <w:szCs w:val="24"/>
        </w:rPr>
        <w:t>Podle stanoviska vlády bude mít návrh směrnice dopad na právní řád, nicméně vzhledem k tomu, že je návrh prozatím v mnoha ohledech nejasný, nelze s jistotou uvést, které právní předpisy by v důsledku přijetí návrhu musely být změněny. Změny se pravděpodobně dotknou především zákona č. 634/1992 Sb., o ochraně spotřebitele, ve znění pozdějších předpisů, zákona č. 99/1963 Sb., občanský soudní řád, ve znění pozdějších předpisů a v budoucnu případně i připravovaného zákona o hromadných žalobách, bude-li schválen. Očekávají se i určité dopady na státní rozpočet související s financováním zástupných žalob a činnosti soudů, v tuto chvíli však nelze dopady na státní rozpočet přesně vyčíslit.</w:t>
      </w:r>
    </w:p>
    <w:p w:rsidR="005832DD" w:rsidRPr="005832DD" w:rsidRDefault="005832DD" w:rsidP="005832DD">
      <w:pPr>
        <w:pStyle w:val="Nadpis1"/>
        <w:rPr>
          <w:rFonts w:ascii="Times New Roman" w:hAnsi="Times New Roman"/>
          <w:szCs w:val="24"/>
        </w:rPr>
      </w:pPr>
      <w:bookmarkStart w:id="14" w:name="_Toc448302192"/>
      <w:bookmarkStart w:id="15" w:name="_Toc445380613"/>
      <w:r w:rsidRPr="005832DD">
        <w:rPr>
          <w:rFonts w:ascii="Times New Roman" w:hAnsi="Times New Roman"/>
          <w:szCs w:val="24"/>
        </w:rPr>
        <w:t>Předpokládaný harmonogram projednávání v orgánech EU:</w:t>
      </w:r>
      <w:bookmarkEnd w:id="14"/>
      <w:bookmarkEnd w:id="15"/>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Ke Sdělení Komise Evropskému parlamentu, Radě a Evropskému hospodářskému a sociálními výboru - Nová politika pro spotřebitele je v Evropském parlamentu gesčním výborem výbor pro vnitřní trh a ochranu spotřebitelů (IMCO). Vyjádření se očekává také od výboru pro hospodářství a měnu (ECON) a výboru pro právní záležitosti (JURI). Projednávání sdělení v Evropském parlamentu je v současné době v přípravné fázi.</w:t>
      </w:r>
    </w:p>
    <w:p w:rsidR="005832DD" w:rsidRP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K návrhu směrnice k lepšímu vymáhání a modernizaci právních předpisů na ochranu spotřebitele je v Evropském parlamentu gesčním výborem výbor pro vnitřní trh a ochranu spotřebitelů (IMCO). Vyjádření se očekává také od výboru pro hospodářství a měnu (ECON), výboru pro životní prostředí, veřejné zdraví a bezpečnost potravin (ENVI) a výboru pro právní záležitosti (JURI). Poslední dva zmiňované výbory se již usnesly vyjádření neposkytnout. V Radě EU se návrhem směrnice zabývá Pracovní skupina pro ochranu a informování spotřebitele (G23), přičemž diskuze k jednotlivým článkům návrhu směrnice byla zařazena na program jejího zasedání konaného ve dnech 23. a 24. května 2018.</w:t>
      </w:r>
    </w:p>
    <w:p w:rsidR="005832DD" w:rsidRDefault="005832DD" w:rsidP="005832DD">
      <w:pPr>
        <w:spacing w:after="120"/>
        <w:jc w:val="both"/>
        <w:rPr>
          <w:rFonts w:ascii="Times New Roman" w:hAnsi="Times New Roman"/>
          <w:sz w:val="24"/>
          <w:szCs w:val="24"/>
        </w:rPr>
      </w:pPr>
      <w:r w:rsidRPr="005832DD">
        <w:rPr>
          <w:rFonts w:ascii="Times New Roman" w:hAnsi="Times New Roman"/>
          <w:sz w:val="24"/>
          <w:szCs w:val="24"/>
        </w:rPr>
        <w:t xml:space="preserve">K návrhu směrnice o zástupných žalobách na ochranu kolektivních zájmů spotřebitelů je v Evropském parlamentu gesčním výborem výbor pro právní záležitosti (JURI). Vyjádření se očekává také od výboru pro vnitřní trh a ochranu spotřebitelů (IMCO) a výboru pro dopravu a cestovní ruch (TRAN). V Radě EU se návrhem směrnice zabývá Pracovní skupina pro ochranu </w:t>
      </w:r>
      <w:r w:rsidRPr="005832DD">
        <w:rPr>
          <w:rFonts w:ascii="Times New Roman" w:hAnsi="Times New Roman"/>
          <w:sz w:val="24"/>
          <w:szCs w:val="24"/>
        </w:rPr>
        <w:lastRenderedPageBreak/>
        <w:t>a informování spotřebitele (G23), přičemž diskuze k jednotlivým článkům návrhu směrnice byla zařazena na program jejího zasedání konaného ve dnech 23. a 24. května 2018.</w:t>
      </w:r>
    </w:p>
    <w:p w:rsidR="00C61BF7" w:rsidRPr="005832DD" w:rsidRDefault="00C61BF7" w:rsidP="005832DD">
      <w:pPr>
        <w:spacing w:after="120"/>
        <w:jc w:val="both"/>
        <w:rPr>
          <w:rFonts w:ascii="Times New Roman" w:hAnsi="Times New Roman"/>
          <w:sz w:val="24"/>
          <w:szCs w:val="24"/>
        </w:rPr>
      </w:pPr>
    </w:p>
    <w:p w:rsidR="006D769E" w:rsidRDefault="006D769E" w:rsidP="006D769E">
      <w:pPr>
        <w:pStyle w:val="Odstavecseseznamem"/>
        <w:numPr>
          <w:ilvl w:val="0"/>
          <w:numId w:val="14"/>
        </w:numPr>
        <w:spacing w:before="240" w:after="0" w:line="240" w:lineRule="auto"/>
        <w:ind w:left="0"/>
        <w:outlineLvl w:val="0"/>
        <w:rPr>
          <w:rFonts w:ascii="Times New Roman" w:eastAsia="Times New Roman" w:hAnsi="Times New Roman"/>
          <w:b/>
          <w:sz w:val="24"/>
          <w:szCs w:val="20"/>
          <w:lang w:eastAsia="cs-CZ"/>
        </w:rPr>
      </w:pPr>
      <w:bookmarkStart w:id="16" w:name="_Toc448302193"/>
      <w:bookmarkStart w:id="17" w:name="_Toc445380614"/>
      <w:r>
        <w:rPr>
          <w:rFonts w:ascii="Times New Roman" w:eastAsia="Times New Roman" w:hAnsi="Times New Roman"/>
          <w:b/>
          <w:sz w:val="24"/>
          <w:szCs w:val="20"/>
          <w:lang w:eastAsia="cs-CZ"/>
        </w:rPr>
        <w:t>Závěr:</w:t>
      </w:r>
      <w:bookmarkEnd w:id="16"/>
      <w:bookmarkEnd w:id="17"/>
      <w:r>
        <w:rPr>
          <w:rFonts w:ascii="Times New Roman" w:eastAsia="Times New Roman" w:hAnsi="Times New Roman"/>
          <w:b/>
          <w:sz w:val="24"/>
          <w:szCs w:val="20"/>
          <w:lang w:eastAsia="cs-CZ"/>
        </w:rPr>
        <w:t xml:space="preserve"> </w:t>
      </w:r>
    </w:p>
    <w:p w:rsidR="006D769E" w:rsidRDefault="006D769E" w:rsidP="006D769E">
      <w:pPr>
        <w:spacing w:after="0" w:line="240" w:lineRule="auto"/>
        <w:jc w:val="both"/>
        <w:rPr>
          <w:rFonts w:ascii="Times New Roman" w:hAnsi="Times New Roman"/>
          <w:sz w:val="24"/>
        </w:rPr>
      </w:pPr>
    </w:p>
    <w:p w:rsidR="006D769E" w:rsidRDefault="006D769E" w:rsidP="006D769E">
      <w:pPr>
        <w:spacing w:after="0" w:line="240" w:lineRule="auto"/>
        <w:rPr>
          <w:rFonts w:ascii="Times New Roman" w:eastAsia="Times New Roman" w:hAnsi="Times New Roman"/>
          <w:iCs/>
          <w:sz w:val="24"/>
          <w:szCs w:val="20"/>
          <w:lang w:eastAsia="cs-CZ"/>
        </w:rPr>
      </w:pPr>
      <w:r>
        <w:rPr>
          <w:rFonts w:ascii="Times New Roman" w:eastAsia="Times New Roman" w:hAnsi="Times New Roman"/>
          <w:iCs/>
          <w:sz w:val="24"/>
          <w:szCs w:val="20"/>
          <w:lang w:eastAsia="cs-CZ"/>
        </w:rPr>
        <w:t>Výbor pro evropské záležitosti</w:t>
      </w:r>
    </w:p>
    <w:p w:rsidR="006D769E" w:rsidRDefault="006D769E" w:rsidP="006D769E">
      <w:pPr>
        <w:spacing w:after="0" w:line="240" w:lineRule="auto"/>
        <w:rPr>
          <w:rFonts w:ascii="Times New Roman" w:eastAsia="Times New Roman" w:hAnsi="Times New Roman"/>
          <w:i/>
          <w:iCs/>
          <w:sz w:val="24"/>
          <w:szCs w:val="20"/>
          <w:lang w:eastAsia="cs-CZ"/>
        </w:rPr>
      </w:pPr>
    </w:p>
    <w:p w:rsidR="00DB5B71" w:rsidRDefault="00DB5B71" w:rsidP="00DB5B71">
      <w:pPr>
        <w:numPr>
          <w:ilvl w:val="0"/>
          <w:numId w:val="28"/>
        </w:numPr>
        <w:spacing w:line="256" w:lineRule="auto"/>
        <w:jc w:val="both"/>
        <w:rPr>
          <w:rFonts w:ascii="Times New Roman" w:eastAsiaTheme="minorHAnsi" w:hAnsi="Times New Roman"/>
          <w:b/>
          <w:spacing w:val="40"/>
          <w:sz w:val="24"/>
          <w:szCs w:val="24"/>
        </w:rPr>
      </w:pPr>
      <w:r>
        <w:rPr>
          <w:rFonts w:ascii="Times New Roman" w:eastAsiaTheme="minorHAnsi" w:hAnsi="Times New Roman"/>
          <w:b/>
          <w:spacing w:val="40"/>
          <w:sz w:val="24"/>
          <w:szCs w:val="24"/>
        </w:rPr>
        <w:t xml:space="preserve">bere na vědomí </w:t>
      </w:r>
      <w:r>
        <w:rPr>
          <w:rFonts w:ascii="Times New Roman" w:hAnsi="Times New Roman"/>
          <w:sz w:val="24"/>
        </w:rPr>
        <w:t>sdělení Komise Evropskému parlamentu, Radě a Evropskému hospodářskému a sociálními výboru – Nová politika pro spotřebitele</w:t>
      </w:r>
      <w:r>
        <w:rPr>
          <w:rFonts w:ascii="Times New Roman" w:eastAsiaTheme="minorHAnsi" w:hAnsi="Times New Roman"/>
          <w:b/>
          <w:spacing w:val="40"/>
          <w:sz w:val="24"/>
          <w:szCs w:val="24"/>
        </w:rPr>
        <w:t xml:space="preserve">, </w:t>
      </w:r>
      <w:r>
        <w:rPr>
          <w:rFonts w:ascii="Times New Roman" w:hAnsi="Times New Roman"/>
          <w:sz w:val="24"/>
        </w:rPr>
        <w:t>KOM(2018) 183 v konečném znění, kód Rady 7875/18;</w:t>
      </w:r>
    </w:p>
    <w:p w:rsidR="00DB5B71" w:rsidRDefault="00DB5B71" w:rsidP="00DB5B71">
      <w:pPr>
        <w:numPr>
          <w:ilvl w:val="0"/>
          <w:numId w:val="28"/>
        </w:numPr>
        <w:spacing w:line="256" w:lineRule="auto"/>
        <w:jc w:val="both"/>
        <w:rPr>
          <w:rFonts w:ascii="Times New Roman" w:eastAsiaTheme="minorHAnsi" w:hAnsi="Times New Roman"/>
          <w:b/>
          <w:spacing w:val="40"/>
          <w:sz w:val="24"/>
          <w:szCs w:val="24"/>
        </w:rPr>
      </w:pPr>
      <w:r>
        <w:rPr>
          <w:rFonts w:ascii="Times New Roman" w:eastAsiaTheme="minorHAnsi" w:hAnsi="Times New Roman"/>
          <w:b/>
          <w:spacing w:val="40"/>
          <w:sz w:val="24"/>
          <w:szCs w:val="24"/>
        </w:rPr>
        <w:t>podporuje</w:t>
      </w:r>
      <w:r>
        <w:rPr>
          <w:rFonts w:ascii="Times New Roman" w:eastAsiaTheme="minorHAnsi" w:hAnsi="Times New Roman"/>
          <w:sz w:val="24"/>
          <w:szCs w:val="24"/>
        </w:rPr>
        <w:t xml:space="preserve"> rámcovou pozici vlády ČR ke sdělení Komise Evropskému parlamentu, Radě a Evropskému hos</w:t>
      </w:r>
      <w:r w:rsidR="00C61BF7">
        <w:rPr>
          <w:rFonts w:ascii="Times New Roman" w:eastAsiaTheme="minorHAnsi" w:hAnsi="Times New Roman"/>
          <w:sz w:val="24"/>
          <w:szCs w:val="24"/>
        </w:rPr>
        <w:t>podářskému a sociálními výboru –</w:t>
      </w:r>
      <w:r>
        <w:rPr>
          <w:rFonts w:ascii="Times New Roman" w:eastAsiaTheme="minorHAnsi" w:hAnsi="Times New Roman"/>
          <w:sz w:val="24"/>
          <w:szCs w:val="24"/>
        </w:rPr>
        <w:t xml:space="preserve"> Nová politika pro spotřebitele</w:t>
      </w:r>
      <w:r>
        <w:rPr>
          <w:rFonts w:ascii="Times New Roman" w:eastAsiaTheme="minorHAnsi" w:hAnsi="Times New Roman"/>
          <w:b/>
          <w:sz w:val="24"/>
          <w:szCs w:val="24"/>
        </w:rPr>
        <w:t xml:space="preserve">, </w:t>
      </w:r>
      <w:r>
        <w:rPr>
          <w:rFonts w:ascii="Times New Roman" w:eastAsiaTheme="minorHAnsi" w:hAnsi="Times New Roman"/>
          <w:sz w:val="24"/>
          <w:szCs w:val="24"/>
        </w:rPr>
        <w:t>KOM (2018)183 v konečném znění, kód Rady 7875/18;</w:t>
      </w:r>
    </w:p>
    <w:p w:rsidR="00DB5B71" w:rsidRDefault="00DB5B71" w:rsidP="00DB5B71">
      <w:pPr>
        <w:numPr>
          <w:ilvl w:val="0"/>
          <w:numId w:val="28"/>
        </w:numPr>
        <w:spacing w:line="256" w:lineRule="auto"/>
        <w:jc w:val="both"/>
        <w:rPr>
          <w:rFonts w:ascii="Times New Roman" w:hAnsi="Times New Roman"/>
          <w:sz w:val="24"/>
        </w:rPr>
      </w:pPr>
      <w:r>
        <w:rPr>
          <w:rFonts w:ascii="Times New Roman" w:eastAsiaTheme="minorHAnsi" w:hAnsi="Times New Roman"/>
          <w:b/>
          <w:spacing w:val="40"/>
          <w:sz w:val="24"/>
          <w:szCs w:val="24"/>
        </w:rPr>
        <w:t>bere na vědomí</w:t>
      </w:r>
      <w:r>
        <w:rPr>
          <w:rFonts w:asciiTheme="majorHAnsi" w:hAnsiTheme="majorHAnsi"/>
          <w:color w:val="1F4E79" w:themeColor="accent1" w:themeShade="80"/>
          <w:sz w:val="28"/>
          <w:szCs w:val="28"/>
        </w:rPr>
        <w:t xml:space="preserve"> </w:t>
      </w:r>
      <w:r>
        <w:rPr>
          <w:rFonts w:ascii="Times New Roman" w:hAnsi="Times New Roman"/>
          <w:sz w:val="24"/>
        </w:rPr>
        <w:t>návrh směrnice Evropského parlamentu a Rady, kterou se mění směrnice Rady 93/13/EHS ze dne 5. dubna 1993, směrnice Evropského parlamentu a Rady 98/6/ES, směrnice Evropského parlamentu a Rady 2005/29/ES a směrnice Evropského parlamentu a Rady 2011/83/EU, pokud jde o lepší vymáhání a modernizaci právních předpisů EU na ochranu spotřebitele, KOM (2018)185 v konečném znění, kód Rady 7876/18;</w:t>
      </w:r>
    </w:p>
    <w:p w:rsidR="00DB5B71" w:rsidRDefault="00DB5B71" w:rsidP="00DB5B71">
      <w:pPr>
        <w:numPr>
          <w:ilvl w:val="0"/>
          <w:numId w:val="28"/>
        </w:numPr>
        <w:spacing w:line="256" w:lineRule="auto"/>
        <w:jc w:val="both"/>
        <w:rPr>
          <w:rFonts w:ascii="Times New Roman" w:hAnsi="Times New Roman"/>
          <w:sz w:val="24"/>
        </w:rPr>
      </w:pPr>
      <w:r>
        <w:rPr>
          <w:rFonts w:ascii="Times New Roman" w:eastAsiaTheme="minorHAnsi" w:hAnsi="Times New Roman"/>
          <w:b/>
          <w:spacing w:val="40"/>
          <w:sz w:val="24"/>
          <w:szCs w:val="24"/>
        </w:rPr>
        <w:t>podporuje</w:t>
      </w:r>
      <w:r>
        <w:rPr>
          <w:rFonts w:ascii="Times New Roman" w:eastAsiaTheme="minorHAnsi" w:hAnsi="Times New Roman"/>
          <w:sz w:val="24"/>
          <w:szCs w:val="24"/>
        </w:rPr>
        <w:t xml:space="preserve"> rámcovou pozici vlády ČR k návrhu směrnice Evropského parlamentu a Rady, kterou se mění směrnice Rady 93/13/EHS ze dne 5. dubna 1993, směrnice Evropského parlamentu a Rady 98/6/ES, směrnice Evropského parlamentu a Rady 2005/29/ES a směrnice Evropského parlamentu a Rady 2011/83/EU, pokud jde o lepší vymáhání a modernizaci právních předpisů EU na ochranu spotřebitele, KOM (2018)185 v konečném znění, kód Rady 7876/18;</w:t>
      </w:r>
    </w:p>
    <w:p w:rsidR="00DB5B71" w:rsidRDefault="00DB5B71" w:rsidP="00DB5B71">
      <w:pPr>
        <w:numPr>
          <w:ilvl w:val="0"/>
          <w:numId w:val="28"/>
        </w:numPr>
        <w:spacing w:line="256" w:lineRule="auto"/>
        <w:jc w:val="both"/>
        <w:rPr>
          <w:rFonts w:ascii="Times New Roman" w:hAnsi="Times New Roman"/>
          <w:sz w:val="24"/>
        </w:rPr>
      </w:pPr>
      <w:r>
        <w:rPr>
          <w:rFonts w:ascii="Times New Roman" w:eastAsiaTheme="minorHAnsi" w:hAnsi="Times New Roman"/>
          <w:b/>
          <w:spacing w:val="40"/>
          <w:sz w:val="24"/>
          <w:szCs w:val="24"/>
        </w:rPr>
        <w:t>má výhrady</w:t>
      </w:r>
      <w:r>
        <w:rPr>
          <w:rFonts w:ascii="Times New Roman" w:eastAsiaTheme="minorHAnsi" w:hAnsi="Times New Roman"/>
          <w:sz w:val="24"/>
          <w:szCs w:val="24"/>
        </w:rPr>
        <w:t xml:space="preserve"> k harmonizaci správních sankcí u rozsáhlých případů porušení práva, neboť v oblasti správní spolupráce je dána pouze podpůrná, koordinační a doplňková pravomoc ve smyslu čl. 6 SFEU;</w:t>
      </w:r>
    </w:p>
    <w:p w:rsidR="00DB5B71" w:rsidRDefault="00DB5B71" w:rsidP="00DB5B71">
      <w:pPr>
        <w:numPr>
          <w:ilvl w:val="0"/>
          <w:numId w:val="28"/>
        </w:numPr>
        <w:spacing w:line="256" w:lineRule="auto"/>
        <w:jc w:val="both"/>
        <w:rPr>
          <w:rFonts w:ascii="Times New Roman" w:hAnsi="Times New Roman"/>
          <w:sz w:val="24"/>
        </w:rPr>
      </w:pPr>
      <w:r>
        <w:rPr>
          <w:rFonts w:ascii="Times New Roman" w:eastAsiaTheme="minorHAnsi" w:hAnsi="Times New Roman"/>
          <w:b/>
          <w:spacing w:val="40"/>
          <w:sz w:val="24"/>
          <w:szCs w:val="24"/>
        </w:rPr>
        <w:t>vítá</w:t>
      </w:r>
      <w:r>
        <w:rPr>
          <w:rFonts w:ascii="Times New Roman" w:eastAsiaTheme="minorHAnsi" w:hAnsi="Times New Roman"/>
          <w:sz w:val="24"/>
          <w:szCs w:val="24"/>
        </w:rPr>
        <w:t xml:space="preserve"> zavedení možnosti sankcionovat dvojí kvalitu potravin jako nekalou obchodní praktiku;</w:t>
      </w:r>
    </w:p>
    <w:p w:rsidR="00DB5B71" w:rsidRDefault="00DB5B71" w:rsidP="00DB5B71">
      <w:pPr>
        <w:numPr>
          <w:ilvl w:val="0"/>
          <w:numId w:val="28"/>
        </w:numPr>
        <w:spacing w:line="256" w:lineRule="auto"/>
        <w:jc w:val="both"/>
        <w:rPr>
          <w:rFonts w:ascii="Times New Roman" w:hAnsi="Times New Roman"/>
          <w:sz w:val="24"/>
        </w:rPr>
      </w:pPr>
      <w:r>
        <w:rPr>
          <w:rFonts w:ascii="Times New Roman" w:eastAsiaTheme="minorHAnsi" w:hAnsi="Times New Roman"/>
          <w:b/>
          <w:spacing w:val="40"/>
          <w:sz w:val="24"/>
          <w:szCs w:val="24"/>
        </w:rPr>
        <w:t xml:space="preserve">bere na vědomí </w:t>
      </w:r>
      <w:r>
        <w:rPr>
          <w:rFonts w:ascii="Times New Roman" w:hAnsi="Times New Roman"/>
          <w:sz w:val="24"/>
        </w:rPr>
        <w:t>návrh směrnice Evropského parlamentu a Rady o zástupných žalobách na ochranu kolektivních zájmů spotřebitelů a o zrušení směrnice 2009/22/ES KOM (2018)184 v konečném znění, kód Rady 7877/18;</w:t>
      </w:r>
    </w:p>
    <w:p w:rsidR="00DB5B71" w:rsidRDefault="00DB5B71" w:rsidP="00DB5B71">
      <w:pPr>
        <w:numPr>
          <w:ilvl w:val="0"/>
          <w:numId w:val="28"/>
        </w:numPr>
        <w:spacing w:line="256" w:lineRule="auto"/>
        <w:jc w:val="both"/>
        <w:rPr>
          <w:rFonts w:ascii="Times New Roman" w:hAnsi="Times New Roman"/>
          <w:sz w:val="24"/>
        </w:rPr>
      </w:pPr>
      <w:r>
        <w:rPr>
          <w:rFonts w:ascii="Times New Roman" w:eastAsiaTheme="minorHAnsi" w:hAnsi="Times New Roman"/>
          <w:b/>
          <w:spacing w:val="40"/>
          <w:sz w:val="24"/>
          <w:szCs w:val="24"/>
        </w:rPr>
        <w:t>podporuje</w:t>
      </w:r>
      <w:r>
        <w:rPr>
          <w:rFonts w:ascii="Times New Roman" w:eastAsiaTheme="minorHAnsi" w:hAnsi="Times New Roman"/>
          <w:sz w:val="24"/>
          <w:szCs w:val="24"/>
        </w:rPr>
        <w:t xml:space="preserve"> rámcovou pozici vlády ČR k </w:t>
      </w:r>
      <w:r>
        <w:rPr>
          <w:rFonts w:ascii="Times New Roman" w:hAnsi="Times New Roman"/>
          <w:sz w:val="24"/>
        </w:rPr>
        <w:t>návrhu směrnice Evropského parlamentu a Rady o zástupných žalobách na ochranu kolektivních zájmů spotřebitelů a o zrušení směrnice 2009/22/ES KOM (2018)184 v konečném znění, kód Rady 7877/18;</w:t>
      </w:r>
    </w:p>
    <w:p w:rsidR="00DB5B71" w:rsidRDefault="00DB5B71" w:rsidP="00C61BF7">
      <w:pPr>
        <w:numPr>
          <w:ilvl w:val="0"/>
          <w:numId w:val="28"/>
        </w:numPr>
        <w:spacing w:before="100" w:beforeAutospacing="1" w:line="240" w:lineRule="auto"/>
        <w:jc w:val="both"/>
        <w:rPr>
          <w:rFonts w:ascii="Times New Roman" w:eastAsia="Times New Roman" w:hAnsi="Times New Roman"/>
          <w:sz w:val="24"/>
          <w:szCs w:val="24"/>
          <w:lang w:eastAsia="cs-CZ"/>
        </w:rPr>
      </w:pPr>
      <w:r>
        <w:rPr>
          <w:rFonts w:ascii="Times New Roman" w:eastAsiaTheme="minorHAnsi" w:hAnsi="Times New Roman"/>
          <w:b/>
          <w:spacing w:val="40"/>
          <w:sz w:val="24"/>
          <w:szCs w:val="24"/>
        </w:rPr>
        <w:t>považuje za důležité</w:t>
      </w:r>
      <w:r>
        <w:rPr>
          <w:rFonts w:ascii="Times New Roman" w:eastAsia="Times New Roman" w:hAnsi="Times New Roman"/>
          <w:sz w:val="24"/>
          <w:szCs w:val="24"/>
          <w:lang w:eastAsia="cs-CZ"/>
        </w:rPr>
        <w:t>,</w:t>
      </w:r>
      <w:r w:rsidR="00C61BF7">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aby členským státům zůstalo zachováno právo přijmout nebo ponechat v platnosti vlastní právní režimy kolektivních žalob, které se v některých aspektech odchylují od právní úpravy obsažené v návrhu směrnice;</w:t>
      </w:r>
    </w:p>
    <w:p w:rsidR="00C61BF7" w:rsidRDefault="00C61BF7" w:rsidP="00C61BF7">
      <w:pPr>
        <w:spacing w:before="100" w:beforeAutospacing="1" w:line="240" w:lineRule="auto"/>
        <w:jc w:val="both"/>
        <w:rPr>
          <w:rFonts w:ascii="Times New Roman" w:eastAsia="Times New Roman" w:hAnsi="Times New Roman"/>
          <w:sz w:val="24"/>
          <w:szCs w:val="24"/>
          <w:lang w:eastAsia="cs-CZ"/>
        </w:rPr>
      </w:pPr>
    </w:p>
    <w:p w:rsidR="00DB5B71" w:rsidRDefault="00DB5B71" w:rsidP="00DB5B71">
      <w:pPr>
        <w:numPr>
          <w:ilvl w:val="0"/>
          <w:numId w:val="28"/>
        </w:numPr>
        <w:spacing w:before="100" w:beforeAutospacing="1" w:after="0" w:line="240" w:lineRule="auto"/>
        <w:jc w:val="both"/>
        <w:rPr>
          <w:rFonts w:ascii="Times New Roman" w:eastAsia="Times New Roman" w:hAnsi="Times New Roman"/>
          <w:sz w:val="24"/>
          <w:szCs w:val="24"/>
          <w:lang w:eastAsia="cs-CZ"/>
        </w:rPr>
      </w:pPr>
      <w:r>
        <w:rPr>
          <w:rFonts w:ascii="Times New Roman" w:eastAsiaTheme="minorHAnsi" w:hAnsi="Times New Roman"/>
          <w:b/>
          <w:spacing w:val="40"/>
          <w:sz w:val="24"/>
          <w:szCs w:val="24"/>
        </w:rPr>
        <w:lastRenderedPageBreak/>
        <w:t>pověřuje</w:t>
      </w:r>
      <w:r>
        <w:rPr>
          <w:rFonts w:ascii="Times New Roman" w:eastAsia="Times New Roman" w:hAnsi="Times New Roman"/>
          <w:sz w:val="24"/>
          <w:szCs w:val="24"/>
          <w:lang w:eastAsia="cs-CZ"/>
        </w:rPr>
        <w:t xml:space="preserve"> předsedu výboru pro evropské záležitosti, aby v rámci politického dialogu postoupil toto usnesení předsedovi Evropské komise.</w:t>
      </w:r>
    </w:p>
    <w:p w:rsidR="00B4108A" w:rsidRDefault="00B4108A" w:rsidP="00D066DF">
      <w:pPr>
        <w:spacing w:after="0" w:line="240" w:lineRule="auto"/>
        <w:rPr>
          <w:rFonts w:ascii="Times New Roman" w:hAnsi="Times New Roman"/>
          <w:sz w:val="24"/>
        </w:rPr>
      </w:pPr>
    </w:p>
    <w:p w:rsidR="005832DD" w:rsidRDefault="005832DD" w:rsidP="00D066DF">
      <w:pPr>
        <w:spacing w:after="0" w:line="240" w:lineRule="auto"/>
        <w:rPr>
          <w:rFonts w:ascii="Times New Roman" w:hAnsi="Times New Roman"/>
          <w:sz w:val="24"/>
        </w:rPr>
      </w:pPr>
    </w:p>
    <w:p w:rsidR="005832DD" w:rsidRDefault="005832DD"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C61BF7" w:rsidRDefault="00C61BF7" w:rsidP="00D066DF">
      <w:pPr>
        <w:spacing w:after="0" w:line="240" w:lineRule="auto"/>
        <w:rPr>
          <w:rFonts w:ascii="Times New Roman" w:hAnsi="Times New Roman"/>
          <w:sz w:val="24"/>
        </w:rPr>
      </w:pPr>
    </w:p>
    <w:p w:rsidR="005832DD" w:rsidRPr="00106842" w:rsidRDefault="005832DD" w:rsidP="005832DD">
      <w:pPr>
        <w:keepNext/>
        <w:tabs>
          <w:tab w:val="center" w:pos="1701"/>
          <w:tab w:val="center" w:pos="4536"/>
          <w:tab w:val="center" w:pos="7371"/>
        </w:tabs>
        <w:spacing w:before="1000" w:after="0" w:line="240" w:lineRule="auto"/>
        <w:rPr>
          <w:rFonts w:ascii="Times New Roman" w:hAnsi="Times New Roman"/>
          <w:sz w:val="24"/>
        </w:rPr>
      </w:pPr>
      <w:r w:rsidRPr="00106842">
        <w:rPr>
          <w:rFonts w:ascii="Times New Roman" w:hAnsi="Times New Roman"/>
          <w:sz w:val="24"/>
        </w:rPr>
        <w:tab/>
      </w:r>
      <w:r w:rsidR="002C349A">
        <w:rPr>
          <w:rFonts w:ascii="Times New Roman" w:hAnsi="Times New Roman"/>
          <w:sz w:val="24"/>
        </w:rPr>
        <w:t>Jan Zahradník</w:t>
      </w:r>
      <w:r w:rsidRPr="00106842">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Andrea Babišová </w:t>
      </w:r>
    </w:p>
    <w:p w:rsidR="005832DD" w:rsidRPr="00106842" w:rsidRDefault="005832DD" w:rsidP="005832DD">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r>
        <w:rPr>
          <w:rFonts w:ascii="Times New Roman" w:hAnsi="Times New Roman"/>
          <w:sz w:val="24"/>
        </w:rPr>
        <w:t>ka</w:t>
      </w:r>
    </w:p>
    <w:p w:rsidR="005832DD" w:rsidRPr="00254049" w:rsidRDefault="005832DD" w:rsidP="005832DD">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Pr>
          <w:rFonts w:ascii="Times New Roman" w:hAnsi="Times New Roman"/>
          <w:sz w:val="24"/>
        </w:rPr>
        <w:t>Mikuláš Peksa</w:t>
      </w:r>
      <w:r w:rsidRPr="00106842">
        <w:rPr>
          <w:rFonts w:ascii="Times New Roman" w:hAnsi="Times New Roman"/>
          <w:sz w:val="24"/>
        </w:rPr>
        <w:t xml:space="preserve"> </w:t>
      </w:r>
    </w:p>
    <w:p w:rsidR="005832DD" w:rsidRDefault="005832DD" w:rsidP="005832DD">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Pr>
          <w:rFonts w:ascii="Times New Roman" w:hAnsi="Times New Roman"/>
          <w:sz w:val="24"/>
        </w:rPr>
        <w:t>místop</w:t>
      </w:r>
      <w:r w:rsidRPr="00106842">
        <w:rPr>
          <w:rFonts w:ascii="Times New Roman" w:hAnsi="Times New Roman"/>
          <w:sz w:val="24"/>
        </w:rPr>
        <w:t>ředseda</w:t>
      </w:r>
    </w:p>
    <w:p w:rsidR="005832DD" w:rsidRDefault="005832DD" w:rsidP="00D066DF">
      <w:pPr>
        <w:spacing w:after="0" w:line="240" w:lineRule="auto"/>
        <w:rPr>
          <w:rFonts w:ascii="Times New Roman" w:hAnsi="Times New Roman"/>
          <w:sz w:val="24"/>
        </w:rPr>
      </w:pPr>
    </w:p>
    <w:sectPr w:rsidR="005832DD" w:rsidSect="00563B5A">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5A" w:rsidRDefault="00563B5A" w:rsidP="00563B5A">
      <w:pPr>
        <w:spacing w:after="0" w:line="240" w:lineRule="auto"/>
      </w:pPr>
      <w:r>
        <w:separator/>
      </w:r>
    </w:p>
  </w:endnote>
  <w:endnote w:type="continuationSeparator" w:id="0">
    <w:p w:rsidR="00563B5A" w:rsidRDefault="00563B5A" w:rsidP="0056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52567428"/>
      <w:docPartObj>
        <w:docPartGallery w:val="Page Numbers (Bottom of Page)"/>
        <w:docPartUnique/>
      </w:docPartObj>
    </w:sdtPr>
    <w:sdtEndPr/>
    <w:sdtContent>
      <w:p w:rsidR="00563B5A" w:rsidRPr="00563B5A" w:rsidRDefault="00563B5A">
        <w:pPr>
          <w:pStyle w:val="Zpat"/>
          <w:jc w:val="center"/>
          <w:rPr>
            <w:rFonts w:ascii="Times New Roman" w:hAnsi="Times New Roman"/>
            <w:sz w:val="24"/>
            <w:szCs w:val="24"/>
          </w:rPr>
        </w:pPr>
        <w:r w:rsidRPr="00563B5A">
          <w:rPr>
            <w:rFonts w:ascii="Times New Roman" w:hAnsi="Times New Roman"/>
            <w:sz w:val="24"/>
            <w:szCs w:val="24"/>
          </w:rPr>
          <w:fldChar w:fldCharType="begin"/>
        </w:r>
        <w:r w:rsidRPr="00563B5A">
          <w:rPr>
            <w:rFonts w:ascii="Times New Roman" w:hAnsi="Times New Roman"/>
            <w:sz w:val="24"/>
            <w:szCs w:val="24"/>
          </w:rPr>
          <w:instrText>PAGE   \* MERGEFORMAT</w:instrText>
        </w:r>
        <w:r w:rsidRPr="00563B5A">
          <w:rPr>
            <w:rFonts w:ascii="Times New Roman" w:hAnsi="Times New Roman"/>
            <w:sz w:val="24"/>
            <w:szCs w:val="24"/>
          </w:rPr>
          <w:fldChar w:fldCharType="separate"/>
        </w:r>
        <w:r w:rsidR="00FE3D90">
          <w:rPr>
            <w:rFonts w:ascii="Times New Roman" w:hAnsi="Times New Roman"/>
            <w:noProof/>
            <w:sz w:val="24"/>
            <w:szCs w:val="24"/>
          </w:rPr>
          <w:t>1</w:t>
        </w:r>
        <w:r w:rsidRPr="00563B5A">
          <w:rPr>
            <w:rFonts w:ascii="Times New Roman" w:hAnsi="Times New Roman"/>
            <w:sz w:val="24"/>
            <w:szCs w:val="24"/>
          </w:rPr>
          <w:fldChar w:fldCharType="end"/>
        </w:r>
      </w:p>
    </w:sdtContent>
  </w:sdt>
  <w:p w:rsidR="00563B5A" w:rsidRDefault="00563B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5A" w:rsidRDefault="00563B5A" w:rsidP="00563B5A">
      <w:pPr>
        <w:spacing w:after="0" w:line="240" w:lineRule="auto"/>
      </w:pPr>
      <w:r>
        <w:separator/>
      </w:r>
    </w:p>
  </w:footnote>
  <w:footnote w:type="continuationSeparator" w:id="0">
    <w:p w:rsidR="00563B5A" w:rsidRDefault="00563B5A" w:rsidP="00563B5A">
      <w:pPr>
        <w:spacing w:after="0" w:line="240" w:lineRule="auto"/>
      </w:pPr>
      <w:r>
        <w:continuationSeparator/>
      </w:r>
    </w:p>
  </w:footnote>
  <w:footnote w:id="1">
    <w:p w:rsidR="005832DD" w:rsidRPr="005C1DEC" w:rsidRDefault="005832DD" w:rsidP="005832DD">
      <w:pPr>
        <w:pStyle w:val="Textpoznpodarou"/>
        <w:jc w:val="both"/>
        <w:rPr>
          <w:rFonts w:ascii="Times New Roman" w:hAnsi="Times New Roman"/>
        </w:rPr>
      </w:pPr>
      <w:r w:rsidRPr="005C1DEC">
        <w:rPr>
          <w:rStyle w:val="Znakapoznpodarou"/>
          <w:rFonts w:ascii="Times New Roman" w:hAnsi="Times New Roman"/>
        </w:rPr>
        <w:footnoteRef/>
      </w:r>
      <w:r w:rsidRPr="005C1DEC">
        <w:rPr>
          <w:rFonts w:ascii="Times New Roman" w:hAnsi="Times New Roman"/>
        </w:rPr>
        <w:t xml:space="preserve"> COMMISSION STAFF WORKING DOCUMENT IMPACT ASSESSMENT Accompanying the document Proposals for DIRECTIVES OF THE EUROPEAN PARLIAMENT AND OF THE COUNCIL (1) amending Council Directive 93/13/EEC, Directive 98/6/EC of the European Parliament and of the Council, Directive 2005/29/EC of the European Parliament and of the Council and Directive 2011/83/EU of the European Parliament and of the Council as regards better enforcement and modernisation of the EU consumer protection rules and (2) on representative actions for teh protection of the collective interests of consumers, and repealing Directive 2009/22/EC, SWD(2018) 96 final PART 2/3, ze dne 12. dubna 2018, strana 10, dostupný na (pouze v AJ): </w:t>
      </w:r>
      <w:hyperlink r:id="rId1" w:history="1">
        <w:r w:rsidRPr="005C1DEC">
          <w:rPr>
            <w:rStyle w:val="Hypertextovodkaz"/>
            <w:rFonts w:ascii="Times New Roman" w:hAnsi="Times New Roman"/>
          </w:rPr>
          <w:t>https://eur-lex.europa.eu/legal-content/EN/TXT/?uri=CELEX%3A52018SC0096</w:t>
        </w:r>
      </w:hyperlink>
    </w:p>
  </w:footnote>
  <w:footnote w:id="2">
    <w:p w:rsidR="005832DD" w:rsidRPr="005C1DEC" w:rsidRDefault="005832DD" w:rsidP="005832DD">
      <w:pPr>
        <w:pStyle w:val="Textpoznpodarou"/>
        <w:rPr>
          <w:rFonts w:ascii="Times New Roman" w:hAnsi="Times New Roman"/>
        </w:rPr>
      </w:pPr>
      <w:r w:rsidRPr="005C1DEC">
        <w:rPr>
          <w:rStyle w:val="Znakapoznpodarou"/>
          <w:rFonts w:ascii="Times New Roman" w:hAnsi="Times New Roman"/>
        </w:rPr>
        <w:footnoteRef/>
      </w:r>
      <w:r w:rsidRPr="005C1DEC">
        <w:rPr>
          <w:rFonts w:ascii="Times New Roman" w:hAnsi="Times New Roman"/>
        </w:rPr>
        <w:t xml:space="preserve"> Podle čl. 3 nařízení (EU) 2017/2394 se „rozsáhlým protiprávním jednáním“ rozumí:</w:t>
      </w:r>
    </w:p>
    <w:p w:rsidR="005832DD" w:rsidRPr="005C1DEC" w:rsidRDefault="005832DD" w:rsidP="005832DD">
      <w:pPr>
        <w:pStyle w:val="Textpoznpodarou"/>
        <w:numPr>
          <w:ilvl w:val="0"/>
          <w:numId w:val="27"/>
        </w:numPr>
        <w:jc w:val="both"/>
        <w:rPr>
          <w:rFonts w:ascii="Times New Roman" w:hAnsi="Times New Roman"/>
        </w:rPr>
      </w:pPr>
      <w:r w:rsidRPr="005C1DEC">
        <w:rPr>
          <w:rFonts w:ascii="Times New Roman" w:hAnsi="Times New Roman"/>
        </w:rPr>
        <w:t xml:space="preserve">Jakékoli jednání nebo opomenutí, které je v rozporu s právními předpisy Unie na ochranu zájmů spotřebitelů a které poškodilo, </w:t>
      </w:r>
      <w:r w:rsidRPr="005C1DEC">
        <w:rPr>
          <w:rFonts w:ascii="Times New Roman" w:hAnsi="Times New Roman"/>
          <w:u w:val="single"/>
        </w:rPr>
        <w:t>poškozuje nebo může poškodit společné zájmy spotřebitelů s bydlištěm v nejméně dvou členských státech jiných, než je členský stát</w:t>
      </w:r>
      <w:r w:rsidRPr="005C1DEC">
        <w:rPr>
          <w:rFonts w:ascii="Times New Roman" w:hAnsi="Times New Roman"/>
        </w:rPr>
        <w:t>, v němž:</w:t>
      </w:r>
    </w:p>
    <w:p w:rsidR="005832DD" w:rsidRPr="005C1DEC" w:rsidRDefault="005832DD" w:rsidP="005832DD">
      <w:pPr>
        <w:pStyle w:val="Textpoznpodarou"/>
        <w:numPr>
          <w:ilvl w:val="1"/>
          <w:numId w:val="27"/>
        </w:numPr>
        <w:jc w:val="both"/>
        <w:rPr>
          <w:rFonts w:ascii="Times New Roman" w:hAnsi="Times New Roman"/>
        </w:rPr>
      </w:pPr>
      <w:r w:rsidRPr="005C1DEC">
        <w:rPr>
          <w:rFonts w:ascii="Times New Roman" w:hAnsi="Times New Roman"/>
        </w:rPr>
        <w:t>má předmětné jednání nebo opomenutí původ nebo v němž k němu došlo;</w:t>
      </w:r>
    </w:p>
    <w:p w:rsidR="005832DD" w:rsidRPr="005C1DEC" w:rsidRDefault="005832DD" w:rsidP="005832DD">
      <w:pPr>
        <w:pStyle w:val="Textpoznpodarou"/>
        <w:numPr>
          <w:ilvl w:val="1"/>
          <w:numId w:val="27"/>
        </w:numPr>
        <w:jc w:val="both"/>
        <w:rPr>
          <w:rFonts w:ascii="Times New Roman" w:hAnsi="Times New Roman"/>
        </w:rPr>
      </w:pPr>
      <w:r w:rsidRPr="005C1DEC">
        <w:rPr>
          <w:rFonts w:ascii="Times New Roman" w:hAnsi="Times New Roman"/>
        </w:rPr>
        <w:t>je usazen obchodník odpovědný za předmětné jednání nebo opomenutí; nebo</w:t>
      </w:r>
    </w:p>
    <w:p w:rsidR="005832DD" w:rsidRPr="005C1DEC" w:rsidRDefault="005832DD" w:rsidP="005832DD">
      <w:pPr>
        <w:pStyle w:val="Textpoznpodarou"/>
        <w:numPr>
          <w:ilvl w:val="1"/>
          <w:numId w:val="27"/>
        </w:numPr>
        <w:jc w:val="both"/>
        <w:rPr>
          <w:rFonts w:ascii="Times New Roman" w:hAnsi="Times New Roman"/>
        </w:rPr>
      </w:pPr>
      <w:r w:rsidRPr="005C1DEC">
        <w:rPr>
          <w:rFonts w:ascii="Times New Roman" w:hAnsi="Times New Roman"/>
        </w:rPr>
        <w:t>se nacházejí důkazy nebo majetek tohoto obchodníka týkající se předmětného jednání nebo opomenutí; nebo</w:t>
      </w:r>
    </w:p>
    <w:p w:rsidR="005832DD" w:rsidRPr="005C1DEC" w:rsidRDefault="005832DD" w:rsidP="005832DD">
      <w:pPr>
        <w:pStyle w:val="Textpoznpodarou"/>
        <w:numPr>
          <w:ilvl w:val="0"/>
          <w:numId w:val="27"/>
        </w:numPr>
        <w:jc w:val="both"/>
        <w:rPr>
          <w:rFonts w:ascii="Times New Roman" w:hAnsi="Times New Roman"/>
        </w:rPr>
      </w:pPr>
      <w:r w:rsidRPr="005C1DEC">
        <w:rPr>
          <w:rFonts w:ascii="Times New Roman" w:hAnsi="Times New Roman"/>
        </w:rPr>
        <w:t xml:space="preserve">Jakákoli jednání nebo opomenutí, která jsou v rozporu s právními předpisy Unie na ochranu zájmů spotřebitelů, která poškodila, poškozují nebo mohou poškodit společné zájmy spotřebitelů a mají společné rysy, včetně použití stejné nezákonné praktiky a poškození stejného zájmu, a jichž </w:t>
      </w:r>
      <w:r w:rsidRPr="005C1DEC">
        <w:rPr>
          <w:rFonts w:ascii="Times New Roman" w:hAnsi="Times New Roman"/>
          <w:u w:val="single"/>
        </w:rPr>
        <w:t>se souběžně dopustil</w:t>
      </w:r>
      <w:r w:rsidRPr="005C1DEC">
        <w:rPr>
          <w:rFonts w:ascii="Times New Roman" w:hAnsi="Times New Roman"/>
        </w:rPr>
        <w:t xml:space="preserve"> tentýž </w:t>
      </w:r>
      <w:r w:rsidRPr="005C1DEC">
        <w:rPr>
          <w:rFonts w:ascii="Times New Roman" w:hAnsi="Times New Roman"/>
          <w:u w:val="single"/>
        </w:rPr>
        <w:t>obchodník alespoň ve třech členských státech</w:t>
      </w:r>
      <w:r w:rsidRPr="005C1DEC">
        <w:rPr>
          <w:rFonts w:ascii="Times New Roman" w:hAnsi="Times New Roman"/>
        </w:rPr>
        <w:t>.</w:t>
      </w:r>
    </w:p>
  </w:footnote>
  <w:footnote w:id="3">
    <w:p w:rsidR="005832DD" w:rsidRPr="005C1DEC" w:rsidRDefault="005832DD" w:rsidP="005832DD">
      <w:pPr>
        <w:pStyle w:val="Textpoznpodarou"/>
        <w:jc w:val="both"/>
        <w:rPr>
          <w:rFonts w:ascii="Times New Roman" w:hAnsi="Times New Roman"/>
        </w:rPr>
      </w:pPr>
      <w:r w:rsidRPr="005C1DEC">
        <w:rPr>
          <w:rStyle w:val="Znakapoznpodarou"/>
          <w:rFonts w:ascii="Times New Roman" w:hAnsi="Times New Roman"/>
        </w:rPr>
        <w:footnoteRef/>
      </w:r>
      <w:r w:rsidRPr="005C1DEC">
        <w:rPr>
          <w:rFonts w:ascii="Times New Roman" w:hAnsi="Times New Roman"/>
        </w:rPr>
        <w:t xml:space="preserve"> Podle čl. 3 nařízení (EU) 2017/2394 se „rozsáhlým protiprávním jednáním s unijním rozměrem“ rozumí rozsáhlé protiprávní jednání, které </w:t>
      </w:r>
      <w:r w:rsidRPr="005C1DEC">
        <w:rPr>
          <w:rFonts w:ascii="Times New Roman" w:hAnsi="Times New Roman"/>
          <w:u w:val="single"/>
        </w:rPr>
        <w:t>poškodilo, poškozuje nebo může poškodit společné zájmy spotřebitelů alespoň ve dvou třetinách členských států představujících společně alespoň dvě třetiny celkového počtu obyvatel Unie</w:t>
      </w:r>
      <w:r w:rsidRPr="005C1DEC">
        <w:rPr>
          <w:rFonts w:ascii="Times New Roman" w:hAnsi="Times New Roman"/>
        </w:rPr>
        <w:t>.</w:t>
      </w:r>
    </w:p>
  </w:footnote>
  <w:footnote w:id="4">
    <w:p w:rsidR="005832DD" w:rsidRPr="005C1DEC" w:rsidRDefault="005832DD" w:rsidP="005832DD">
      <w:pPr>
        <w:pStyle w:val="Textpoznpodarou"/>
        <w:rPr>
          <w:rFonts w:ascii="Times New Roman" w:hAnsi="Times New Roman"/>
          <w:bCs/>
        </w:rPr>
      </w:pPr>
      <w:r w:rsidRPr="005C1DEC">
        <w:rPr>
          <w:rStyle w:val="Znakapoznpodarou"/>
          <w:rFonts w:ascii="Times New Roman" w:hAnsi="Times New Roman"/>
        </w:rPr>
        <w:footnoteRef/>
      </w:r>
      <w:r w:rsidRPr="005C1DEC">
        <w:rPr>
          <w:rFonts w:ascii="Times New Roman" w:hAnsi="Times New Roman"/>
        </w:rPr>
        <w:t xml:space="preserve"> </w:t>
      </w:r>
      <w:r w:rsidRPr="005C1DEC">
        <w:rPr>
          <w:rFonts w:ascii="Times New Roman" w:hAnsi="Times New Roman"/>
          <w:bCs/>
        </w:rPr>
        <w:t xml:space="preserve">Návrh směrnice Evropského parlamentu a Rady o některých aspektech smluv o poskytování digitálního obsahu, ze dne 9. prosince 2015, KOM (2015)634, je dostupný na: </w:t>
      </w:r>
      <w:hyperlink r:id="rId2" w:history="1">
        <w:r w:rsidRPr="005C1DEC">
          <w:rPr>
            <w:rStyle w:val="Hypertextovodkaz"/>
            <w:rFonts w:ascii="Times New Roman" w:hAnsi="Times New Roman"/>
            <w:bCs/>
          </w:rPr>
          <w:t>https://eur-lex.europa.eu/legal-content/CS/TXT/?uri=CELEX%3A52015PC0634</w:t>
        </w:r>
      </w:hyperlink>
    </w:p>
    <w:p w:rsidR="005832DD" w:rsidRDefault="005832DD" w:rsidP="005832DD">
      <w:pPr>
        <w:pStyle w:val="Textpoznpodarou"/>
        <w:rPr>
          <w:vanish/>
        </w:rPr>
      </w:pPr>
      <w:r>
        <w:rPr>
          <w:bCs/>
          <w:vanish/>
        </w:rPr>
        <w:t>Návrh SMĚRNICE EVROPSKÉHO PARLAMENTU A RADY o některých aspektech smluv o poskytování digitálního obsahu</w:t>
      </w:r>
    </w:p>
    <w:p w:rsidR="005832DD" w:rsidRDefault="005832DD" w:rsidP="005832DD">
      <w:pPr>
        <w:pStyle w:val="Textpoznpodarou"/>
      </w:pPr>
      <w: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8225F2"/>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61FA405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3208CFE2"/>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6BA8939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757C99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02C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3AC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0E82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4BEA8"/>
    <w:lvl w:ilvl="0">
      <w:start w:val="1"/>
      <w:numFmt w:val="upperRoman"/>
      <w:pStyle w:val="slovanseznam"/>
      <w:lvlText w:val="%1."/>
      <w:lvlJc w:val="left"/>
      <w:pPr>
        <w:ind w:left="360" w:hanging="360"/>
      </w:pPr>
      <w:rPr>
        <w:rFonts w:hint="default"/>
      </w:rPr>
    </w:lvl>
  </w:abstractNum>
  <w:abstractNum w:abstractNumId="9">
    <w:nsid w:val="FFFFFF89"/>
    <w:multiLevelType w:val="singleLevel"/>
    <w:tmpl w:val="1F2AE5AE"/>
    <w:lvl w:ilvl="0">
      <w:start w:val="1"/>
      <w:numFmt w:val="bullet"/>
      <w:lvlText w:val=""/>
      <w:lvlJc w:val="left"/>
      <w:pPr>
        <w:tabs>
          <w:tab w:val="num" w:pos="360"/>
        </w:tabs>
        <w:ind w:left="360" w:hanging="360"/>
      </w:pPr>
      <w:rPr>
        <w:rFonts w:ascii="Symbol" w:hAnsi="Symbol" w:hint="default"/>
      </w:rPr>
    </w:lvl>
  </w:abstractNum>
  <w:abstractNum w:abstractNumId="10">
    <w:nsid w:val="07A14B8C"/>
    <w:multiLevelType w:val="hybridMultilevel"/>
    <w:tmpl w:val="146CBBA6"/>
    <w:lvl w:ilvl="0" w:tplc="A7DC4C5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8AC4C39"/>
    <w:multiLevelType w:val="hybridMultilevel"/>
    <w:tmpl w:val="C76E5B0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0B5D2086"/>
    <w:multiLevelType w:val="hybridMultilevel"/>
    <w:tmpl w:val="EDDEF50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1517748"/>
    <w:multiLevelType w:val="hybridMultilevel"/>
    <w:tmpl w:val="989413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12DC291F"/>
    <w:multiLevelType w:val="hybridMultilevel"/>
    <w:tmpl w:val="FA2C1C2C"/>
    <w:lvl w:ilvl="0" w:tplc="04050017">
      <w:start w:val="1"/>
      <w:numFmt w:val="lowerLetter"/>
      <w:lvlText w:val="%1)"/>
      <w:lvlJc w:val="left"/>
      <w:pPr>
        <w:ind w:left="720" w:hanging="360"/>
      </w:pPr>
    </w:lvl>
    <w:lvl w:ilvl="1" w:tplc="D61A64B0">
      <w:start w:val="1"/>
      <w:numFmt w:val="lowerRoman"/>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3F658F2"/>
    <w:multiLevelType w:val="hybridMultilevel"/>
    <w:tmpl w:val="9D601508"/>
    <w:lvl w:ilvl="0" w:tplc="A7DC4C58">
      <w:start w:val="1"/>
      <w:numFmt w:val="upperRoman"/>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nsid w:val="2B8B29A9"/>
    <w:multiLevelType w:val="hybridMultilevel"/>
    <w:tmpl w:val="DA64B6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316A5FF0"/>
    <w:multiLevelType w:val="hybridMultilevel"/>
    <w:tmpl w:val="A43ADBCA"/>
    <w:lvl w:ilvl="0" w:tplc="5A0CF2E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3B4E6877"/>
    <w:multiLevelType w:val="hybridMultilevel"/>
    <w:tmpl w:val="7C74D018"/>
    <w:lvl w:ilvl="0" w:tplc="AAB6B2BC">
      <w:start w:val="1"/>
      <w:numFmt w:val="upperRoman"/>
      <w:pStyle w:val="PS-slovanseznam"/>
      <w:lvlText w:val="%1."/>
      <w:lvlJc w:val="left"/>
      <w:pPr>
        <w:ind w:left="4046"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9">
    <w:nsid w:val="43223D7D"/>
    <w:multiLevelType w:val="hybridMultilevel"/>
    <w:tmpl w:val="E4F66E2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52C60E0"/>
    <w:multiLevelType w:val="hybridMultilevel"/>
    <w:tmpl w:val="7688DAD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1">
    <w:nsid w:val="4AB431D6"/>
    <w:multiLevelType w:val="hybridMultilevel"/>
    <w:tmpl w:val="842A9E2A"/>
    <w:lvl w:ilvl="0" w:tplc="2032779C">
      <w:start w:val="1"/>
      <w:numFmt w:val="bullet"/>
      <w:pStyle w:val="Nadpis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4D591FFA"/>
    <w:multiLevelType w:val="hybridMultilevel"/>
    <w:tmpl w:val="55EA865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nsid w:val="56B80BB0"/>
    <w:multiLevelType w:val="hybridMultilevel"/>
    <w:tmpl w:val="13261A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5778683E"/>
    <w:multiLevelType w:val="hybridMultilevel"/>
    <w:tmpl w:val="54C209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00376BA"/>
    <w:multiLevelType w:val="hybridMultilevel"/>
    <w:tmpl w:val="5DAA95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762C39D0"/>
    <w:multiLevelType w:val="hybridMultilevel"/>
    <w:tmpl w:val="DE588056"/>
    <w:lvl w:ilvl="0" w:tplc="FDCAD4F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7B9566FE"/>
    <w:multiLevelType w:val="hybridMultilevel"/>
    <w:tmpl w:val="07188B2E"/>
    <w:lvl w:ilvl="0" w:tplc="D7488604">
      <w:numFmt w:val="bullet"/>
      <w:lvlText w:val="-"/>
      <w:lvlJc w:val="left"/>
      <w:pPr>
        <w:ind w:left="644" w:hanging="360"/>
      </w:pPr>
      <w:rPr>
        <w:rFonts w:ascii="Calibri Light" w:eastAsia="Calibri" w:hAnsi="Calibri Light"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8"/>
  </w:num>
  <w:num w:numId="7">
    <w:abstractNumId w:val="15"/>
  </w:num>
  <w:num w:numId="8">
    <w:abstractNumId w:val="10"/>
  </w:num>
  <w:num w:numId="9">
    <w:abstractNumId w:val="4"/>
  </w:num>
  <w:num w:numId="10">
    <w:abstractNumId w:val="5"/>
  </w:num>
  <w:num w:numId="11">
    <w:abstractNumId w:val="6"/>
  </w:num>
  <w:num w:numId="12">
    <w:abstractNumId w:val="7"/>
  </w:num>
  <w:num w:numId="13">
    <w:abstractNumId w:val="9"/>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20"/>
    <w:rsid w:val="000476E4"/>
    <w:rsid w:val="000C5278"/>
    <w:rsid w:val="000E730C"/>
    <w:rsid w:val="000F2553"/>
    <w:rsid w:val="00103C04"/>
    <w:rsid w:val="00106842"/>
    <w:rsid w:val="00136646"/>
    <w:rsid w:val="001B45F3"/>
    <w:rsid w:val="001E6E20"/>
    <w:rsid w:val="00230024"/>
    <w:rsid w:val="00254049"/>
    <w:rsid w:val="00272E1B"/>
    <w:rsid w:val="002A2F32"/>
    <w:rsid w:val="002B0FB6"/>
    <w:rsid w:val="002B60B3"/>
    <w:rsid w:val="002C349A"/>
    <w:rsid w:val="002C6BED"/>
    <w:rsid w:val="00356011"/>
    <w:rsid w:val="00377253"/>
    <w:rsid w:val="003A1DF9"/>
    <w:rsid w:val="003D2033"/>
    <w:rsid w:val="00492264"/>
    <w:rsid w:val="005227BF"/>
    <w:rsid w:val="00563B5A"/>
    <w:rsid w:val="00566A4C"/>
    <w:rsid w:val="005832DD"/>
    <w:rsid w:val="00597608"/>
    <w:rsid w:val="005C1DEC"/>
    <w:rsid w:val="005C30D7"/>
    <w:rsid w:val="005E094C"/>
    <w:rsid w:val="005F6CAE"/>
    <w:rsid w:val="0061035F"/>
    <w:rsid w:val="00620764"/>
    <w:rsid w:val="00630AC0"/>
    <w:rsid w:val="00656C37"/>
    <w:rsid w:val="006D769E"/>
    <w:rsid w:val="00702F52"/>
    <w:rsid w:val="007C62DA"/>
    <w:rsid w:val="007D5EE1"/>
    <w:rsid w:val="007E1D0B"/>
    <w:rsid w:val="007F7E05"/>
    <w:rsid w:val="008035AD"/>
    <w:rsid w:val="00812496"/>
    <w:rsid w:val="00830BFE"/>
    <w:rsid w:val="00893C29"/>
    <w:rsid w:val="00903269"/>
    <w:rsid w:val="00916812"/>
    <w:rsid w:val="00962EEE"/>
    <w:rsid w:val="00A46CDA"/>
    <w:rsid w:val="00A93982"/>
    <w:rsid w:val="00AA0D27"/>
    <w:rsid w:val="00AA325E"/>
    <w:rsid w:val="00B13892"/>
    <w:rsid w:val="00B4108A"/>
    <w:rsid w:val="00B53E8D"/>
    <w:rsid w:val="00B715B6"/>
    <w:rsid w:val="00BA00F3"/>
    <w:rsid w:val="00BA0357"/>
    <w:rsid w:val="00BE2B74"/>
    <w:rsid w:val="00C56014"/>
    <w:rsid w:val="00C61BF7"/>
    <w:rsid w:val="00D066DF"/>
    <w:rsid w:val="00D46ACA"/>
    <w:rsid w:val="00D76FB3"/>
    <w:rsid w:val="00D92F8B"/>
    <w:rsid w:val="00DB5B71"/>
    <w:rsid w:val="00DC29E4"/>
    <w:rsid w:val="00ED15A8"/>
    <w:rsid w:val="00EF0C30"/>
    <w:rsid w:val="00EF3B15"/>
    <w:rsid w:val="00EF679B"/>
    <w:rsid w:val="00FB7B18"/>
    <w:rsid w:val="00FE3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26CB-5D64-4419-954A-44FF3EA1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FB6"/>
    <w:pPr>
      <w:spacing w:after="160" w:line="259" w:lineRule="auto"/>
    </w:pPr>
    <w:rPr>
      <w:sz w:val="22"/>
      <w:szCs w:val="22"/>
      <w:lang w:eastAsia="en-US"/>
    </w:rPr>
  </w:style>
  <w:style w:type="paragraph" w:styleId="Nadpis1">
    <w:name w:val="heading 1"/>
    <w:basedOn w:val="Normln"/>
    <w:next w:val="Normln"/>
    <w:link w:val="Nadpis1Char"/>
    <w:qFormat/>
    <w:rsid w:val="005832DD"/>
    <w:pPr>
      <w:numPr>
        <w:numId w:val="17"/>
      </w:numPr>
      <w:spacing w:after="0" w:line="240" w:lineRule="auto"/>
      <w:ind w:left="0"/>
      <w:outlineLvl w:val="0"/>
    </w:pPr>
    <w:rPr>
      <w:rFonts w:asciiTheme="majorHAnsi" w:eastAsia="Times New Roman" w:hAnsiTheme="majorHAnsi"/>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hlavika1">
    <w:name w:val="PS-hlavička 1"/>
    <w:basedOn w:val="Normln"/>
    <w:next w:val="Bezmezer"/>
    <w:qFormat/>
    <w:rsid w:val="00377253"/>
    <w:pPr>
      <w:spacing w:after="0" w:line="240" w:lineRule="auto"/>
      <w:jc w:val="center"/>
    </w:pPr>
    <w:rPr>
      <w:rFonts w:ascii="Times New Roman" w:hAnsi="Times New Roman"/>
      <w:b/>
      <w:i/>
      <w:sz w:val="24"/>
    </w:rPr>
  </w:style>
  <w:style w:type="paragraph" w:customStyle="1" w:styleId="PS-hlavika2">
    <w:name w:val="PS-hlavička 2"/>
    <w:basedOn w:val="Normln"/>
    <w:next w:val="PS-hlavika1"/>
    <w:qFormat/>
    <w:rsid w:val="00103C04"/>
    <w:pPr>
      <w:spacing w:after="0" w:line="240" w:lineRule="auto"/>
      <w:jc w:val="center"/>
    </w:pPr>
    <w:rPr>
      <w:rFonts w:ascii="Times New Roman" w:hAnsi="Times New Roman"/>
      <w:b/>
      <w:i/>
      <w:caps/>
      <w:sz w:val="36"/>
    </w:rPr>
  </w:style>
  <w:style w:type="paragraph" w:customStyle="1" w:styleId="PS-slousnesen">
    <w:name w:val="PS-číslo usnesení"/>
    <w:basedOn w:val="Normln"/>
    <w:next w:val="Bezmezer"/>
    <w:qFormat/>
    <w:rsid w:val="000E730C"/>
    <w:pPr>
      <w:spacing w:before="360" w:after="360" w:line="240" w:lineRule="auto"/>
      <w:jc w:val="center"/>
    </w:pPr>
    <w:rPr>
      <w:rFonts w:ascii="Times New Roman" w:hAnsi="Times New Roman"/>
      <w:b/>
      <w:i/>
      <w:sz w:val="24"/>
    </w:rPr>
  </w:style>
  <w:style w:type="paragraph" w:customStyle="1" w:styleId="PS-hlavika3">
    <w:name w:val="PS-hlavička 3"/>
    <w:basedOn w:val="Normln"/>
    <w:next w:val="PS-hlavika1"/>
    <w:qFormat/>
    <w:rsid w:val="00103C04"/>
    <w:pPr>
      <w:spacing w:after="0" w:line="240" w:lineRule="auto"/>
      <w:jc w:val="center"/>
    </w:pPr>
    <w:rPr>
      <w:rFonts w:ascii="Times New Roman" w:hAnsi="Times New Roman"/>
      <w:b/>
      <w:i/>
      <w:caps/>
      <w:sz w:val="32"/>
    </w:rPr>
  </w:style>
  <w:style w:type="paragraph" w:styleId="Bezmezer">
    <w:name w:val="No Spacing"/>
    <w:uiPriority w:val="1"/>
    <w:qFormat/>
    <w:rsid w:val="000E730C"/>
    <w:rPr>
      <w:sz w:val="22"/>
      <w:szCs w:val="22"/>
      <w:lang w:eastAsia="en-US"/>
    </w:rPr>
  </w:style>
  <w:style w:type="paragraph" w:customStyle="1" w:styleId="PS-pedmtusnesen">
    <w:name w:val="PS-předmět usnesení"/>
    <w:basedOn w:val="Normln"/>
    <w:next w:val="PS-uvodnodstavec"/>
    <w:qFormat/>
    <w:rsid w:val="000476E4"/>
    <w:pPr>
      <w:pBdr>
        <w:bottom w:val="single" w:sz="4" w:space="12" w:color="auto"/>
      </w:pBdr>
      <w:spacing w:before="240" w:after="400" w:line="240" w:lineRule="auto"/>
      <w:jc w:val="center"/>
    </w:pPr>
    <w:rPr>
      <w:rFonts w:ascii="Times New Roman" w:hAnsi="Times New Roman"/>
      <w:sz w:val="24"/>
    </w:rPr>
  </w:style>
  <w:style w:type="paragraph" w:styleId="Normlnweb">
    <w:name w:val="Normal (Web)"/>
    <w:basedOn w:val="Normln"/>
    <w:uiPriority w:val="99"/>
    <w:semiHidden/>
    <w:unhideWhenUsed/>
    <w:rsid w:val="00D76FB3"/>
    <w:pPr>
      <w:spacing w:before="100" w:beforeAutospacing="1" w:after="119" w:line="240" w:lineRule="auto"/>
    </w:pPr>
    <w:rPr>
      <w:rFonts w:ascii="Times New Roman" w:eastAsia="Times New Roman" w:hAnsi="Times New Roman"/>
      <w:sz w:val="24"/>
      <w:szCs w:val="24"/>
      <w:lang w:eastAsia="cs-CZ"/>
    </w:rPr>
  </w:style>
  <w:style w:type="paragraph" w:customStyle="1" w:styleId="PS-rovkd">
    <w:name w:val="PS-čárový kód"/>
    <w:basedOn w:val="Normlnweb"/>
    <w:qFormat/>
    <w:rsid w:val="007C62DA"/>
    <w:pPr>
      <w:spacing w:before="120" w:beforeAutospacing="0" w:after="400"/>
      <w:jc w:val="right"/>
    </w:pPr>
  </w:style>
  <w:style w:type="paragraph" w:customStyle="1" w:styleId="PS-uvodnodstavec">
    <w:name w:val="PS-uvodní odstavec"/>
    <w:basedOn w:val="Normln"/>
    <w:next w:val="Normln"/>
    <w:qFormat/>
    <w:rsid w:val="005E094C"/>
    <w:pPr>
      <w:spacing w:after="360"/>
      <w:ind w:firstLine="709"/>
      <w:jc w:val="both"/>
    </w:pPr>
    <w:rPr>
      <w:rFonts w:ascii="Times New Roman" w:hAnsi="Times New Roman"/>
      <w:sz w:val="24"/>
    </w:rPr>
  </w:style>
  <w:style w:type="paragraph" w:styleId="slovanseznam2">
    <w:name w:val="List Number 2"/>
    <w:basedOn w:val="Normln"/>
    <w:uiPriority w:val="99"/>
    <w:unhideWhenUsed/>
    <w:rsid w:val="00A46CDA"/>
    <w:pPr>
      <w:numPr>
        <w:numId w:val="2"/>
      </w:numPr>
      <w:contextualSpacing/>
    </w:pPr>
  </w:style>
  <w:style w:type="paragraph" w:styleId="slovanseznam3">
    <w:name w:val="List Number 3"/>
    <w:basedOn w:val="Normln"/>
    <w:uiPriority w:val="99"/>
    <w:unhideWhenUsed/>
    <w:rsid w:val="00A46CDA"/>
    <w:pPr>
      <w:numPr>
        <w:numId w:val="3"/>
      </w:numPr>
      <w:contextualSpacing/>
    </w:pPr>
  </w:style>
  <w:style w:type="paragraph" w:styleId="slovanseznam4">
    <w:name w:val="List Number 4"/>
    <w:basedOn w:val="Normln"/>
    <w:uiPriority w:val="99"/>
    <w:unhideWhenUsed/>
    <w:rsid w:val="00A46CDA"/>
    <w:pPr>
      <w:numPr>
        <w:numId w:val="4"/>
      </w:numPr>
      <w:contextualSpacing/>
    </w:pPr>
  </w:style>
  <w:style w:type="paragraph" w:styleId="slovanseznam5">
    <w:name w:val="List Number 5"/>
    <w:basedOn w:val="Normln"/>
    <w:uiPriority w:val="99"/>
    <w:unhideWhenUsed/>
    <w:rsid w:val="00A46CDA"/>
    <w:pPr>
      <w:numPr>
        <w:numId w:val="5"/>
      </w:numPr>
      <w:contextualSpacing/>
    </w:pPr>
  </w:style>
  <w:style w:type="paragraph" w:styleId="slovanseznam">
    <w:name w:val="List Number"/>
    <w:basedOn w:val="Normln"/>
    <w:uiPriority w:val="99"/>
    <w:unhideWhenUsed/>
    <w:rsid w:val="002B60B3"/>
    <w:pPr>
      <w:numPr>
        <w:numId w:val="1"/>
      </w:numPr>
      <w:spacing w:after="400"/>
      <w:ind w:left="357" w:hanging="357"/>
    </w:pPr>
    <w:rPr>
      <w:rFonts w:ascii="Times New Roman" w:hAnsi="Times New Roman"/>
      <w:sz w:val="24"/>
    </w:rPr>
  </w:style>
  <w:style w:type="paragraph" w:customStyle="1" w:styleId="PS-slovanseznam">
    <w:name w:val="PS-číslovaný seznam"/>
    <w:basedOn w:val="Normln"/>
    <w:link w:val="PS-slovanseznamChar"/>
    <w:qFormat/>
    <w:rsid w:val="005F6CAE"/>
    <w:pPr>
      <w:numPr>
        <w:numId w:val="6"/>
      </w:numPr>
      <w:tabs>
        <w:tab w:val="left" w:pos="0"/>
      </w:tabs>
      <w:spacing w:after="400"/>
      <w:ind w:left="357" w:hanging="357"/>
      <w:jc w:val="both"/>
    </w:pPr>
    <w:rPr>
      <w:rFonts w:ascii="Times New Roman" w:hAnsi="Times New Roman"/>
      <w:sz w:val="24"/>
    </w:rPr>
  </w:style>
  <w:style w:type="character" w:customStyle="1" w:styleId="PS-slovanseznamChar">
    <w:name w:val="PS-číslovaný seznam Char"/>
    <w:link w:val="PS-slovanseznam"/>
    <w:rsid w:val="005F6CAE"/>
    <w:rPr>
      <w:rFonts w:ascii="Times New Roman" w:hAnsi="Times New Roman"/>
      <w:sz w:val="24"/>
      <w:szCs w:val="22"/>
      <w:lang w:eastAsia="en-US"/>
    </w:rPr>
  </w:style>
  <w:style w:type="paragraph" w:customStyle="1" w:styleId="StylA-PS-slovanseznamTunrozeno1b">
    <w:name w:val="Styl A-PS-číslovaný seznam + Tučné rozšířené o  1 b."/>
    <w:basedOn w:val="PS-slovanseznam"/>
    <w:rsid w:val="007D5EE1"/>
    <w:rPr>
      <w:b/>
      <w:bCs/>
      <w:spacing w:val="20"/>
    </w:rPr>
  </w:style>
  <w:style w:type="paragraph" w:customStyle="1" w:styleId="StylPS-slovanseznamrozeno1b">
    <w:name w:val="Styl PS-číslovaný seznam + rozšířené o  1 b."/>
    <w:basedOn w:val="PS-slovanseznam"/>
    <w:rsid w:val="005F6CAE"/>
    <w:rPr>
      <w:spacing w:val="40"/>
    </w:rPr>
  </w:style>
  <w:style w:type="paragraph" w:customStyle="1" w:styleId="StylPS-slovanseznamrozeno1b1">
    <w:name w:val="Styl PS-číslovaný seznam + rozšířené o  1 b.1"/>
    <w:basedOn w:val="PS-slovanseznam"/>
    <w:rsid w:val="00B715B6"/>
    <w:rPr>
      <w:spacing w:val="20"/>
    </w:rPr>
  </w:style>
  <w:style w:type="paragraph" w:customStyle="1" w:styleId="proloen">
    <w:name w:val="proložení"/>
    <w:basedOn w:val="Normln"/>
    <w:link w:val="proloenChar"/>
    <w:qFormat/>
    <w:rsid w:val="00ED15A8"/>
    <w:pPr>
      <w:tabs>
        <w:tab w:val="center" w:pos="1701"/>
        <w:tab w:val="center" w:pos="4536"/>
        <w:tab w:val="center" w:pos="7371"/>
      </w:tabs>
      <w:spacing w:after="0" w:line="240" w:lineRule="auto"/>
    </w:pPr>
    <w:rPr>
      <w:rFonts w:ascii="Times New Roman" w:hAnsi="Times New Roman"/>
      <w:spacing w:val="60"/>
      <w:sz w:val="24"/>
    </w:rPr>
  </w:style>
  <w:style w:type="character" w:customStyle="1" w:styleId="proloenChar">
    <w:name w:val="proložení Char"/>
    <w:link w:val="proloen"/>
    <w:rsid w:val="00ED15A8"/>
    <w:rPr>
      <w:rFonts w:ascii="Times New Roman" w:hAnsi="Times New Roman"/>
      <w:spacing w:val="60"/>
      <w:sz w:val="24"/>
      <w:szCs w:val="22"/>
      <w:lang w:eastAsia="en-US"/>
    </w:rPr>
  </w:style>
  <w:style w:type="character" w:styleId="Zdraznn">
    <w:name w:val="Emphasis"/>
    <w:uiPriority w:val="20"/>
    <w:qFormat/>
    <w:rsid w:val="00B4108A"/>
    <w:rPr>
      <w:rFonts w:ascii="Times New Roman" w:hAnsi="Times New Roman" w:cs="Times New Roman" w:hint="default"/>
      <w:i/>
      <w:iCs/>
    </w:rPr>
  </w:style>
  <w:style w:type="paragraph" w:customStyle="1" w:styleId="rmeek">
    <w:name w:val="rámeček"/>
    <w:basedOn w:val="Normln"/>
    <w:qFormat/>
    <w:rsid w:val="00B4108A"/>
    <w:pPr>
      <w:pBdr>
        <w:top w:val="single" w:sz="4" w:space="1" w:color="auto"/>
        <w:left w:val="single" w:sz="4" w:space="4" w:color="auto"/>
        <w:bottom w:val="single" w:sz="4" w:space="1" w:color="auto"/>
        <w:right w:val="single" w:sz="4" w:space="4" w:color="auto"/>
      </w:pBdr>
      <w:spacing w:after="0" w:line="240" w:lineRule="auto"/>
      <w:ind w:left="709"/>
      <w:jc w:val="both"/>
    </w:pPr>
    <w:rPr>
      <w:rFonts w:ascii="Times New Roman" w:hAnsi="Times New Roman"/>
      <w:sz w:val="24"/>
    </w:rPr>
  </w:style>
  <w:style w:type="character" w:customStyle="1" w:styleId="rozen">
    <w:name w:val="rozšířené"/>
    <w:uiPriority w:val="1"/>
    <w:qFormat/>
    <w:rsid w:val="00B4108A"/>
    <w:rPr>
      <w:b/>
      <w:bCs w:val="0"/>
      <w:spacing w:val="60"/>
    </w:rPr>
  </w:style>
  <w:style w:type="paragraph" w:styleId="Odstavecseseznamem">
    <w:name w:val="List Paragraph"/>
    <w:basedOn w:val="Normln"/>
    <w:uiPriority w:val="34"/>
    <w:qFormat/>
    <w:rsid w:val="006D769E"/>
    <w:pPr>
      <w:spacing w:line="256" w:lineRule="auto"/>
      <w:ind w:left="720"/>
      <w:contextualSpacing/>
    </w:pPr>
  </w:style>
  <w:style w:type="paragraph" w:styleId="Zhlav">
    <w:name w:val="header"/>
    <w:basedOn w:val="Normln"/>
    <w:link w:val="ZhlavChar"/>
    <w:uiPriority w:val="99"/>
    <w:unhideWhenUsed/>
    <w:rsid w:val="00563B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3B5A"/>
    <w:rPr>
      <w:sz w:val="22"/>
      <w:szCs w:val="22"/>
      <w:lang w:eastAsia="en-US"/>
    </w:rPr>
  </w:style>
  <w:style w:type="paragraph" w:styleId="Zpat">
    <w:name w:val="footer"/>
    <w:basedOn w:val="Normln"/>
    <w:link w:val="ZpatChar"/>
    <w:uiPriority w:val="99"/>
    <w:unhideWhenUsed/>
    <w:rsid w:val="0056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563B5A"/>
    <w:rPr>
      <w:sz w:val="22"/>
      <w:szCs w:val="22"/>
      <w:lang w:eastAsia="en-US"/>
    </w:rPr>
  </w:style>
  <w:style w:type="character" w:customStyle="1" w:styleId="Nadpis1Char">
    <w:name w:val="Nadpis 1 Char"/>
    <w:basedOn w:val="Standardnpsmoodstavce"/>
    <w:link w:val="Nadpis1"/>
    <w:rsid w:val="005832DD"/>
    <w:rPr>
      <w:rFonts w:asciiTheme="majorHAnsi" w:eastAsia="Times New Roman" w:hAnsiTheme="majorHAnsi"/>
      <w:b/>
      <w:sz w:val="24"/>
    </w:rPr>
  </w:style>
  <w:style w:type="character" w:styleId="Hypertextovodkaz">
    <w:name w:val="Hyperlink"/>
    <w:uiPriority w:val="99"/>
    <w:semiHidden/>
    <w:unhideWhenUsed/>
    <w:rsid w:val="005832DD"/>
    <w:rPr>
      <w:color w:val="0000FF"/>
      <w:u w:val="single"/>
    </w:rPr>
  </w:style>
  <w:style w:type="paragraph" w:styleId="Textpoznpodarou">
    <w:name w:val="footnote text"/>
    <w:basedOn w:val="Normln"/>
    <w:link w:val="TextpoznpodarouChar"/>
    <w:uiPriority w:val="99"/>
    <w:semiHidden/>
    <w:unhideWhenUsed/>
    <w:rsid w:val="005832DD"/>
    <w:pPr>
      <w:spacing w:after="0" w:line="240" w:lineRule="auto"/>
    </w:pPr>
    <w:rPr>
      <w:rFonts w:asciiTheme="majorHAnsi" w:eastAsia="Times New Roman" w:hAnsiTheme="majorHAnsi"/>
      <w:sz w:val="20"/>
      <w:szCs w:val="20"/>
      <w:lang w:eastAsia="cs-CZ"/>
    </w:rPr>
  </w:style>
  <w:style w:type="character" w:customStyle="1" w:styleId="TextpoznpodarouChar">
    <w:name w:val="Text pozn. pod čarou Char"/>
    <w:basedOn w:val="Standardnpsmoodstavce"/>
    <w:link w:val="Textpoznpodarou"/>
    <w:uiPriority w:val="99"/>
    <w:semiHidden/>
    <w:rsid w:val="005832DD"/>
    <w:rPr>
      <w:rFonts w:asciiTheme="majorHAnsi" w:eastAsia="Times New Roman" w:hAnsiTheme="majorHAnsi"/>
    </w:rPr>
  </w:style>
  <w:style w:type="paragraph" w:customStyle="1" w:styleId="PODNZEVPRCE">
    <w:name w:val="PODNÁZEV PRÁCE"/>
    <w:basedOn w:val="Normln"/>
    <w:qFormat/>
    <w:rsid w:val="005832DD"/>
    <w:pPr>
      <w:spacing w:after="0" w:line="240" w:lineRule="auto"/>
    </w:pPr>
    <w:rPr>
      <w:rFonts w:asciiTheme="majorHAnsi" w:hAnsiTheme="majorHAnsi"/>
      <w:color w:val="1F4E79" w:themeColor="accent1" w:themeShade="80"/>
      <w:sz w:val="28"/>
      <w:szCs w:val="28"/>
    </w:rPr>
  </w:style>
  <w:style w:type="paragraph" w:customStyle="1" w:styleId="ZHLAVTITULKY">
    <w:name w:val="ZÁHLAVÍ TITULKY"/>
    <w:basedOn w:val="Normln"/>
    <w:qFormat/>
    <w:rsid w:val="005832DD"/>
    <w:pPr>
      <w:spacing w:after="0" w:line="240" w:lineRule="auto"/>
    </w:pPr>
    <w:rPr>
      <w:rFonts w:eastAsia="Times New Roman" w:cs="Arial"/>
      <w:b/>
      <w:color w:val="1F4E79" w:themeColor="accent1" w:themeShade="80"/>
      <w:sz w:val="28"/>
      <w:szCs w:val="28"/>
      <w:lang w:eastAsia="cs-CZ"/>
    </w:rPr>
  </w:style>
  <w:style w:type="character" w:styleId="Znakapoznpodarou">
    <w:name w:val="footnote reference"/>
    <w:uiPriority w:val="99"/>
    <w:semiHidden/>
    <w:unhideWhenUsed/>
    <w:rsid w:val="005832DD"/>
    <w:rPr>
      <w:vertAlign w:val="superscript"/>
    </w:rPr>
  </w:style>
  <w:style w:type="character" w:styleId="Siln">
    <w:name w:val="Strong"/>
    <w:basedOn w:val="Standardnpsmoodstavce"/>
    <w:uiPriority w:val="22"/>
    <w:qFormat/>
    <w:rsid w:val="00583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2629">
      <w:bodyDiv w:val="1"/>
      <w:marLeft w:val="0"/>
      <w:marRight w:val="0"/>
      <w:marTop w:val="0"/>
      <w:marBottom w:val="0"/>
      <w:divBdr>
        <w:top w:val="none" w:sz="0" w:space="0" w:color="auto"/>
        <w:left w:val="none" w:sz="0" w:space="0" w:color="auto"/>
        <w:bottom w:val="none" w:sz="0" w:space="0" w:color="auto"/>
        <w:right w:val="none" w:sz="0" w:space="0" w:color="auto"/>
      </w:divBdr>
    </w:div>
    <w:div w:id="127745852">
      <w:bodyDiv w:val="1"/>
      <w:marLeft w:val="0"/>
      <w:marRight w:val="0"/>
      <w:marTop w:val="0"/>
      <w:marBottom w:val="0"/>
      <w:divBdr>
        <w:top w:val="none" w:sz="0" w:space="0" w:color="auto"/>
        <w:left w:val="none" w:sz="0" w:space="0" w:color="auto"/>
        <w:bottom w:val="none" w:sz="0" w:space="0" w:color="auto"/>
        <w:right w:val="none" w:sz="0" w:space="0" w:color="auto"/>
      </w:divBdr>
    </w:div>
    <w:div w:id="292247463">
      <w:bodyDiv w:val="1"/>
      <w:marLeft w:val="0"/>
      <w:marRight w:val="0"/>
      <w:marTop w:val="0"/>
      <w:marBottom w:val="0"/>
      <w:divBdr>
        <w:top w:val="none" w:sz="0" w:space="0" w:color="auto"/>
        <w:left w:val="none" w:sz="0" w:space="0" w:color="auto"/>
        <w:bottom w:val="none" w:sz="0" w:space="0" w:color="auto"/>
        <w:right w:val="none" w:sz="0" w:space="0" w:color="auto"/>
      </w:divBdr>
    </w:div>
    <w:div w:id="456336985">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771895440">
      <w:bodyDiv w:val="1"/>
      <w:marLeft w:val="0"/>
      <w:marRight w:val="0"/>
      <w:marTop w:val="0"/>
      <w:marBottom w:val="0"/>
      <w:divBdr>
        <w:top w:val="none" w:sz="0" w:space="0" w:color="auto"/>
        <w:left w:val="none" w:sz="0" w:space="0" w:color="auto"/>
        <w:bottom w:val="none" w:sz="0" w:space="0" w:color="auto"/>
        <w:right w:val="none" w:sz="0" w:space="0" w:color="auto"/>
      </w:divBdr>
    </w:div>
    <w:div w:id="798642377">
      <w:bodyDiv w:val="1"/>
      <w:marLeft w:val="0"/>
      <w:marRight w:val="0"/>
      <w:marTop w:val="0"/>
      <w:marBottom w:val="0"/>
      <w:divBdr>
        <w:top w:val="none" w:sz="0" w:space="0" w:color="auto"/>
        <w:left w:val="none" w:sz="0" w:space="0" w:color="auto"/>
        <w:bottom w:val="none" w:sz="0" w:space="0" w:color="auto"/>
        <w:right w:val="none" w:sz="0" w:space="0" w:color="auto"/>
      </w:divBdr>
    </w:div>
    <w:div w:id="1010528839">
      <w:bodyDiv w:val="1"/>
      <w:marLeft w:val="0"/>
      <w:marRight w:val="0"/>
      <w:marTop w:val="0"/>
      <w:marBottom w:val="0"/>
      <w:divBdr>
        <w:top w:val="none" w:sz="0" w:space="0" w:color="auto"/>
        <w:left w:val="none" w:sz="0" w:space="0" w:color="auto"/>
        <w:bottom w:val="none" w:sz="0" w:space="0" w:color="auto"/>
        <w:right w:val="none" w:sz="0" w:space="0" w:color="auto"/>
      </w:divBdr>
    </w:div>
    <w:div w:id="1467434451">
      <w:bodyDiv w:val="1"/>
      <w:marLeft w:val="0"/>
      <w:marRight w:val="0"/>
      <w:marTop w:val="0"/>
      <w:marBottom w:val="0"/>
      <w:divBdr>
        <w:top w:val="none" w:sz="0" w:space="0" w:color="auto"/>
        <w:left w:val="none" w:sz="0" w:space="0" w:color="auto"/>
        <w:bottom w:val="none" w:sz="0" w:space="0" w:color="auto"/>
        <w:right w:val="none" w:sz="0" w:space="0" w:color="auto"/>
      </w:divBdr>
    </w:div>
    <w:div w:id="1843397270">
      <w:bodyDiv w:val="1"/>
      <w:marLeft w:val="0"/>
      <w:marRight w:val="0"/>
      <w:marTop w:val="0"/>
      <w:marBottom w:val="0"/>
      <w:divBdr>
        <w:top w:val="none" w:sz="0" w:space="0" w:color="auto"/>
        <w:left w:val="none" w:sz="0" w:space="0" w:color="auto"/>
        <w:bottom w:val="none" w:sz="0" w:space="0" w:color="auto"/>
        <w:right w:val="none" w:sz="0" w:space="0" w:color="auto"/>
      </w:divBdr>
    </w:div>
    <w:div w:id="19773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CS/TXT/?uri=CELEX%3A52015PC0634" TargetMode="External"/><Relationship Id="rId1" Type="http://schemas.openxmlformats.org/officeDocument/2006/relationships/hyperlink" Target="https://eur-lex.europa.eu/legal-content/EN/TXT/?uri=CELEX%3A52018SC00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V&#253;bor\VEZ\SEKRETARIAT\&#353;ablony\usnesen&#23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usnesení.dotx</Template>
  <TotalTime>0</TotalTime>
  <Pages>15</Pages>
  <Words>5857</Words>
  <Characters>34560</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40337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Koubova Blanka</dc:creator>
  <cp:keywords/>
  <dc:description/>
  <cp:lastModifiedBy>Eva Hadravova</cp:lastModifiedBy>
  <cp:revision>2</cp:revision>
  <dcterms:created xsi:type="dcterms:W3CDTF">2018-06-08T09:40:00Z</dcterms:created>
  <dcterms:modified xsi:type="dcterms:W3CDTF">2018-06-08T09:40:00Z</dcterms:modified>
</cp:coreProperties>
</file>