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38B8A47-6C8E-492F-96B3-0C6E3A9402CA"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sz w:val="16"/>
          <w:szCs w:val="16"/>
        </w:rPr>
      </w:pPr>
      <w:r>
        <w:rPr>
          <w:noProof/>
        </w:rPr>
        <w:t>Articolul 54 alineatul (3) din Regulamentul (UE) 2016/1624 al Parlamentului European și al Consiliului din 14 septembrie 2016 privind Poliția de frontieră și garda de coastă la nivel european</w:t>
      </w:r>
      <w:r>
        <w:rPr>
          <w:rStyle w:val="FootnoteReference"/>
          <w:noProof/>
        </w:rPr>
        <w:footnoteReference w:id="1"/>
      </w:r>
      <w:r>
        <w:rPr>
          <w:noProof/>
        </w:rPr>
        <w:t xml:space="preserve"> prevede că Agenția Europeană pentru Poliția de Frontieră și Garda de Coastă poate coordona cooperarea operațională dintre statele membre și țările terțe în ceea ce privește gestionarea frontierelor externe. În acest sens, agenția poate desfășura acțiuni la frontierele externe, în care sunt implicate unul sau mai multe state membre și o țară terță care se învecinează cu cel puțin unul dintre aceste state membre, cu condiția obținerii acordului țării terțe în cauză, inclusiv pe teritoriul acestei țări terțe. </w:t>
      </w:r>
    </w:p>
    <w:p>
      <w:pPr>
        <w:rPr>
          <w:noProof/>
          <w:szCs w:val="24"/>
        </w:rPr>
      </w:pPr>
      <w:r>
        <w:rPr>
          <w:noProof/>
        </w:rPr>
        <w:t xml:space="preserve">În conformitate cu articolul 54 alineatul (4) din Regulamentul (UE) 2016/1624, în cazurile în care se prevede ca echipele europene de poliție de frontieră și gardă de coastă să fie trimise într-o țară terță în vederea unor acțiuni în cadrul cărora membrii echipelor vor avea competențe executive, sau în cazul în care alte acțiuni în țările terțe impun acest lucru, Uniunea încheie un acord privind statutul cu țara terță în cauză. </w:t>
      </w:r>
    </w:p>
    <w:p>
      <w:pPr>
        <w:rPr>
          <w:iCs/>
          <w:noProof/>
          <w:szCs w:val="24"/>
        </w:rPr>
      </w:pPr>
      <w:r>
        <w:rPr>
          <w:noProof/>
        </w:rPr>
        <w:t xml:space="preserve">Pe baza directivelor de negociere adoptate de Consiliu, Comisia Europeană a negociat un acord privind statutul cu Republica Albania, în scopul instituirii cadrului juridic care să permită acțiuni imediate prin elaborarea unor planuri operaționale privind situațiile care vor necesita o reacție rapidă. Cu toate că fluxurile de migrație din regiune sunt mult mai reduse decât cele din 2015/2016, rețelele de criminalitate organizată își adaptează rapid rutele și metodele pentru introducerea ilegală de migranți la orice nouă circumstanță. Odată ce acordul privind statutul este în vigoare, autoritățile albaneze competente și statele membre ale UE, coordonate de Agenția Europeană pentru Poliția de Frontieră și Garda de Coastă, vor fi mult mai în măsură să răspundă rapid unor astfel de evoluții posibile. </w:t>
      </w:r>
    </w:p>
    <w:p>
      <w:pPr>
        <w:rPr>
          <w:iCs/>
          <w:noProof/>
          <w:szCs w:val="24"/>
        </w:rPr>
      </w:pPr>
      <w:r>
        <w:rPr>
          <w:noProof/>
        </w:rPr>
        <w:t xml:space="preserve">Prezenta propunere de decizie a Consiliului constituie instrumentul juridic pentru semnarea acordului privind statutul dintre Uniunea Europeană și Republica Albania. </w:t>
      </w:r>
    </w:p>
    <w:p>
      <w:pPr>
        <w:rPr>
          <w:noProof/>
        </w:rPr>
      </w:pPr>
      <w:r>
        <w:rPr>
          <w:noProof/>
        </w:rPr>
        <w:t xml:space="preserve">La 16 octombrie 2017, Comisia a primit autorizația Consiliului de a deschide negocieri cu Republica Albania legate de un acord privind statutul referitor la acțiunile desfășurate de Agenția Europeană pentru Poliția de Frontieră și Garda de Coastă în Republica Albania. </w:t>
      </w:r>
    </w:p>
    <w:p>
      <w:pPr>
        <w:rPr>
          <w:iCs/>
          <w:noProof/>
          <w:szCs w:val="24"/>
        </w:rPr>
      </w:pPr>
      <w:r>
        <w:rPr>
          <w:noProof/>
        </w:rPr>
        <w:t>Negocierile legate de acordul privind statutul au început la 13 decembrie 2017, iar a doua rundă a acestora a avut loc la 31 ianuarie 2018. Negocierile au fost finalizate cu succes prin parafarea proiectului de acord privind statutul de către comisarul pentru migrație, afaceri interne și cetățenie, D. Avramopoulos, și ministrul de interne al Republicii Albania, F. Xhafaj, la 12 februarie 2018 la Tirana.</w:t>
      </w:r>
    </w:p>
    <w:p>
      <w:pPr>
        <w:rPr>
          <w:iCs/>
          <w:noProof/>
          <w:szCs w:val="24"/>
        </w:rPr>
      </w:pPr>
      <w:r>
        <w:rPr>
          <w:noProof/>
        </w:rPr>
        <w:t xml:space="preserve">Comisia consideră că obiectivele stabilite de Consiliu în cadrul directivelor sale de negociere au fost îndeplinite și că proiectul de acord privind statutul este acceptabil pentru Uniune. </w:t>
      </w:r>
    </w:p>
    <w:p>
      <w:pPr>
        <w:spacing w:after="240"/>
        <w:rPr>
          <w:iCs/>
          <w:noProof/>
          <w:szCs w:val="24"/>
        </w:rPr>
      </w:pPr>
      <w:r>
        <w:rPr>
          <w:noProof/>
        </w:rPr>
        <w:t xml:space="preserve">Statele membre au fost informate și consultate în cadrul grupului de lucru relevant al Consiliului. </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rPr>
          <w:iCs/>
          <w:noProof/>
          <w:szCs w:val="24"/>
        </w:rPr>
      </w:pPr>
      <w:r>
        <w:rPr>
          <w:noProof/>
        </w:rPr>
        <w:t xml:space="preserve">S-au încheiat două acorduri de cooperare polițienească între autoritățile elene și cele albaneze (Legea 2147/1993 și Legea 2568/1998), în domeniul schimbului de informații în chestiuni </w:t>
      </w:r>
      <w:r>
        <w:rPr>
          <w:noProof/>
        </w:rPr>
        <w:lastRenderedPageBreak/>
        <w:t>polițienești, inclusiv migrația ilegală. Poliția elenă face schimb de informații cu autoritățile albaneze cu privire la chestiuni generale legate de activitățile infracționale transfrontaliere grave și organizate, precum și cu privire la procedurile de readmisie a imigranților ilegali.</w:t>
      </w:r>
    </w:p>
    <w:p>
      <w:pPr>
        <w:rPr>
          <w:noProof/>
        </w:rPr>
      </w:pPr>
      <w:r>
        <w:rPr>
          <w:noProof/>
        </w:rPr>
        <w:t>Albania a încheiat acorduri privind controlul frontierelor, supravegherea și patrulele comune cu Muntenegru și Kosovo</w:t>
      </w:r>
      <w:r>
        <w:rPr>
          <w:rStyle w:val="FootnoteReference"/>
          <w:noProof/>
        </w:rPr>
        <w:footnoteReference w:customMarkFollows="1" w:id="2"/>
        <w:t>*</w:t>
      </w:r>
      <w:r>
        <w:rPr>
          <w:noProof/>
        </w:rPr>
        <w:t xml:space="preserve">, precum și un acord privind patrulele comune cu fosta Republică iugoslavă a Macedoniei, dar nu încă și cu Grecia. Albania a încheiat un acord privind patrulele comune cu Italia (cu </w:t>
      </w:r>
      <w:r>
        <w:rPr>
          <w:i/>
          <w:noProof/>
        </w:rPr>
        <w:t>Guardia di Finanza</w:t>
      </w:r>
      <w:r>
        <w:rPr>
          <w:noProof/>
        </w:rPr>
        <w:t xml:space="preserve">) pentru frontierele maritime. </w:t>
      </w:r>
    </w:p>
    <w:p>
      <w:pPr>
        <w:rPr>
          <w:noProof/>
        </w:rPr>
      </w:pPr>
      <w:r>
        <w:rPr>
          <w:noProof/>
        </w:rPr>
        <w:t xml:space="preserve">Printr-un protocol între ministerele de interne din Muntenegru, Albania și Kosovo*, a fost înființat un Centru comun de cooperare polițienească în Plav, având ca obiectiv promovarea cooperării transfrontaliere în combaterea infracțiunilor, prin intensificarea schimbului de informații operaționale și o mai bună coordonare a eforturilor comune în materie de securitate. Centrul comun de cooperare polițienească a fost deschis în mod oficial la 30 mai 2017 și se întreprind în continuare acțiuni pentru instituirea unui alt centru la frontiera cu Grecia. </w:t>
      </w:r>
    </w:p>
    <w:p>
      <w:pPr>
        <w:spacing w:after="240"/>
        <w:rPr>
          <w:iCs/>
          <w:noProof/>
          <w:color w:val="FF0000"/>
          <w:szCs w:val="24"/>
        </w:rPr>
      </w:pPr>
      <w:r>
        <w:rPr>
          <w:noProof/>
        </w:rPr>
        <w:t>Un acord operațional (în curs de actualizare) de instituire a unei cooperări operaționale între Republica Albania și poliția de frontieră și garda de coastă la nivel european prevede în special participarea periodică a experților albanezi la activitățile operaționale coordonate de Agenția Europeană pentru Poliția de Frontieră și Garda de Coastă, în calitate de observatori, pe teritoriul statelor membre.</w:t>
      </w:r>
    </w:p>
    <w:p>
      <w:pPr>
        <w:pStyle w:val="ManualHeading2"/>
        <w:ind w:left="0" w:firstLine="0"/>
        <w:rPr>
          <w:rFonts w:eastAsia="Arial Unicode MS"/>
          <w:noProof/>
        </w:rPr>
      </w:pPr>
      <w:r>
        <w:rPr>
          <w:noProof/>
          <w:color w:val="000000"/>
          <w:u w:color="000000"/>
          <w:bdr w:val="nil"/>
        </w:rPr>
        <w:t>•</w:t>
      </w:r>
      <w:r>
        <w:rPr>
          <w:noProof/>
        </w:rPr>
        <w:tab/>
        <w:t>Coerența cu alte politici ale Uniunii</w:t>
      </w:r>
    </w:p>
    <w:p>
      <w:pPr>
        <w:rPr>
          <w:b/>
          <w:noProof/>
          <w:szCs w:val="24"/>
        </w:rPr>
      </w:pPr>
      <w:r>
        <w:rPr>
          <w:noProof/>
        </w:rPr>
        <w:t xml:space="preserve">Agenda europeană privind migrația se bazează pe patru piloni, unul dintre aceștia fiind gestionarea frontierelor. Acest lucru implică o mai bună gestionare a frontierelor externe ale UE, în special prin măsuri de solidaritate față de statele membre care sunt situate la frontierele externe, precum și prin îmbunătățirea eficienței la punctele de trecere a frontierei. Un control consolidat al frontierelor Republicii Albania va avea, de asemenea, un impact pozitiv asupra frontierelor externe ale UE, în special în ceea ce privește frontierele externe ale Greciei și frontierele Republicii Albania. Consolidarea în continuare a securității la frontierele externe este, de asemenea, în concordanță cu Agenda europeană privind securitatea. </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autoSpaceDE w:val="0"/>
        <w:autoSpaceDN w:val="0"/>
        <w:adjustRightInd w:val="0"/>
        <w:rPr>
          <w:noProof/>
          <w:szCs w:val="24"/>
        </w:rPr>
      </w:pPr>
      <w:r>
        <w:rPr>
          <w:noProof/>
        </w:rPr>
        <w:t xml:space="preserve">Temeiul juridic al prezentei propuneri de decizie a Consiliului este articolul 77 alineatul (2) literele (b) și litera (d) și articolul 79 alineatul (2) litera (c) din TFUE, coroborate cu articolul 218 alineatul (5) din TFUE. </w:t>
      </w:r>
    </w:p>
    <w:p>
      <w:pPr>
        <w:autoSpaceDE w:val="0"/>
        <w:autoSpaceDN w:val="0"/>
        <w:adjustRightInd w:val="0"/>
        <w:rPr>
          <w:noProof/>
          <w:szCs w:val="24"/>
        </w:rPr>
      </w:pPr>
      <w:r>
        <w:rPr>
          <w:noProof/>
        </w:rPr>
        <w:t xml:space="preserve">Competența UE de a încheia un acord privind statutul este prevăzută în mod explicit la articolul 54 alineatul (4) din Regulamentul (UE) 2016/1624 potrivit căruia, în cazurile în care se prevede ca echipele europene de poliție de frontieră și gardă de coastă să fie trimise într-o țară terță în vederea unor acțiuni în cadrul cărora membrii echipelor vor avea competențe executive, sau în cazul în care alte acțiuni în țările terțe impun acest lucru, Uniunea încheie un acord privind statutul cu țara terță în cauză. </w:t>
      </w:r>
    </w:p>
    <w:p>
      <w:pPr>
        <w:autoSpaceDE w:val="0"/>
        <w:autoSpaceDN w:val="0"/>
        <w:adjustRightInd w:val="0"/>
        <w:rPr>
          <w:noProof/>
          <w:szCs w:val="24"/>
        </w:rPr>
      </w:pPr>
      <w:r>
        <w:rPr>
          <w:noProof/>
        </w:rPr>
        <w:t xml:space="preserve">În temeiul articolului 3 alineatul (2) din TFUE, Uniunea dispune de competența exclusivă de a încheia un acord internațional, atunci când încheierea acestuia este prevăzută într-un act legislativ al Uniunii. Articolul 54 alineatul (4) din Regulamentul (UE) 2016/1624 prevede </w:t>
      </w:r>
      <w:r>
        <w:rPr>
          <w:noProof/>
        </w:rPr>
        <w:lastRenderedPageBreak/>
        <w:t xml:space="preserve">încheierea de către Uniunea Europeană a unui acord privind statutul cu țara terță în cauză. În consecință, acordul cu Republica Albania atașat intră în sfera competenței exclusive a Uniunii Europene. </w:t>
      </w:r>
    </w:p>
    <w:p>
      <w:pPr>
        <w:pStyle w:val="ManualHeading2"/>
        <w:rPr>
          <w:rFonts w:eastAsia="Arial Unicode MS"/>
          <w:noProof/>
          <w:u w:color="000000"/>
          <w:bdr w:val="nil"/>
        </w:rPr>
      </w:pPr>
      <w:r>
        <w:rPr>
          <w:noProof/>
        </w:rPr>
        <w:t>•</w:t>
      </w:r>
      <w:r>
        <w:rPr>
          <w:noProof/>
        </w:rPr>
        <w:tab/>
        <w:t xml:space="preserve">Subsidiaritatea (în cazul competențelor neexclusive) </w:t>
      </w:r>
    </w:p>
    <w:p>
      <w:pPr>
        <w:pBdr>
          <w:top w:val="nil"/>
          <w:left w:val="nil"/>
          <w:bottom w:val="nil"/>
          <w:right w:val="nil"/>
          <w:between w:val="nil"/>
          <w:bar w:val="nil"/>
        </w:pBdr>
        <w:spacing w:before="0" w:after="240"/>
        <w:rPr>
          <w:noProof/>
        </w:rPr>
      </w:pPr>
      <w:r>
        <w:rPr>
          <w:noProof/>
        </w:rPr>
        <w:t xml:space="preserve">Nu se aplică. </w:t>
      </w:r>
    </w:p>
    <w:p>
      <w:pPr>
        <w:pStyle w:val="ManualHeading2"/>
        <w:rPr>
          <w:rFonts w:eastAsia="Arial Unicode MS"/>
          <w:noProof/>
          <w:u w:color="000000"/>
          <w:bdr w:val="nil"/>
        </w:rPr>
      </w:pPr>
      <w:r>
        <w:rPr>
          <w:noProof/>
        </w:rPr>
        <w:t>•</w:t>
      </w:r>
      <w:r>
        <w:rPr>
          <w:noProof/>
        </w:rPr>
        <w:tab/>
        <w:t>Proporționalitatea</w:t>
      </w:r>
    </w:p>
    <w:p>
      <w:pPr>
        <w:spacing w:after="240"/>
        <w:rPr>
          <w:noProof/>
          <w:szCs w:val="24"/>
        </w:rPr>
      </w:pPr>
      <w:r>
        <w:rPr>
          <w:noProof/>
        </w:rPr>
        <w:t xml:space="preserve">Un acord privind statutul va permite trimiterea de către Agenția Europeană pentru Poliția de Frontieră și Garda de Coastă a echipelor europene de poliție de frontieră și gardă de coastă în Republica Albania, în locul mobilizării la nivel bilateral a echipelor statelor membre în cazul unui aflux brusc de migranți. </w:t>
      </w:r>
    </w:p>
    <w:p>
      <w:pPr>
        <w:spacing w:after="240"/>
        <w:rPr>
          <w:noProof/>
          <w:szCs w:val="24"/>
        </w:rPr>
      </w:pPr>
      <w:r>
        <w:rPr>
          <w:noProof/>
        </w:rPr>
        <w:t xml:space="preserve">Prin urmare, este necesară o abordare comună pentru o mai bună gestionare a frontierelor Republicii Albania.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 xml:space="preserve">Prezenta propunere este în conformitate cu articolul 218 alineatul (5) din TFUE, care prevede adoptarea de către Consiliu a deciziilor privind acordurile internaționale. Nu există un alt instrument juridic care ar putea fi folosit pentru îndeplinirea obiectivului exprimat în prezenta propunere. </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EVALUĂRILOR IMPACTULUI</w:t>
      </w:r>
    </w:p>
    <w:p>
      <w:pPr>
        <w:pStyle w:val="ManualHeading2"/>
        <w:rPr>
          <w:rFonts w:eastAsia="Arial Unicode MS"/>
          <w:noProof/>
          <w:u w:color="000000"/>
          <w:bdr w:val="nil"/>
        </w:rPr>
      </w:pPr>
      <w:r>
        <w:rPr>
          <w:noProof/>
        </w:rPr>
        <w:t>•</w:t>
      </w:r>
      <w:r>
        <w:rPr>
          <w:noProof/>
        </w:rPr>
        <w:tab/>
        <w:t xml:space="preserve">Evaluările </w:t>
      </w:r>
      <w:r>
        <w:rPr>
          <w:i/>
          <w:noProof/>
        </w:rPr>
        <w:t>ex post</w:t>
      </w:r>
      <w:r>
        <w:rPr>
          <w:noProof/>
        </w:rPr>
        <w:t>/verificarea adecvării legislației existente</w:t>
      </w:r>
    </w:p>
    <w:p>
      <w:pPr>
        <w:pBdr>
          <w:top w:val="nil"/>
          <w:left w:val="nil"/>
          <w:bottom w:val="nil"/>
          <w:right w:val="nil"/>
          <w:between w:val="nil"/>
          <w:bar w:val="nil"/>
        </w:pBdr>
        <w:spacing w:before="0" w:after="240"/>
        <w:rPr>
          <w:rFonts w:eastAsia="Arial Unicode MS"/>
          <w:noProof/>
        </w:rPr>
      </w:pPr>
      <w:r>
        <w:rPr>
          <w:noProof/>
        </w:rPr>
        <w:t xml:space="preserve">Nu se aplică. </w:t>
      </w: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rFonts w:eastAsia="Arial Unicode MS"/>
          <w:noProof/>
        </w:rPr>
      </w:pPr>
      <w:r>
        <w:rPr>
          <w:noProof/>
        </w:rPr>
        <w:t xml:space="preserve">Nu se aplică. </w:t>
      </w:r>
    </w:p>
    <w:p>
      <w:pPr>
        <w:pStyle w:val="ManualHeading2"/>
        <w:rPr>
          <w:rFonts w:eastAsia="Arial Unicode MS"/>
          <w:noProof/>
          <w:u w:color="000000"/>
          <w:bdr w:val="nil"/>
        </w:rPr>
      </w:pPr>
      <w:r>
        <w:rPr>
          <w:noProof/>
        </w:rPr>
        <w:t>•</w:t>
      </w:r>
      <w:r>
        <w:rPr>
          <w:noProof/>
        </w:rPr>
        <w:tab/>
        <w:t>Obținerea și utilizarea cunoștințelor de specialitate</w:t>
      </w:r>
    </w:p>
    <w:p>
      <w:pPr>
        <w:pBdr>
          <w:top w:val="nil"/>
          <w:left w:val="nil"/>
          <w:bottom w:val="nil"/>
          <w:right w:val="nil"/>
          <w:between w:val="nil"/>
          <w:bar w:val="nil"/>
        </w:pBdr>
        <w:spacing w:before="0" w:after="240"/>
        <w:rPr>
          <w:rFonts w:eastAsia="Arial Unicode MS"/>
          <w:noProof/>
        </w:rPr>
      </w:pPr>
      <w:r>
        <w:rPr>
          <w:noProof/>
        </w:rPr>
        <w:t xml:space="preserve">Nu se aplică. </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noProof/>
          <w:szCs w:val="24"/>
        </w:rPr>
      </w:pPr>
      <w:r>
        <w:rPr>
          <w:noProof/>
        </w:rPr>
        <w:t xml:space="preserve">Nu a fost solicitată efectuarea unei evaluări a impactului cu privire la negocierea acordului privind statutul. </w:t>
      </w:r>
    </w:p>
    <w:p>
      <w:pPr>
        <w:pStyle w:val="ManualHeading2"/>
        <w:rPr>
          <w:rFonts w:eastAsia="Arial Unicode MS"/>
          <w:noProof/>
          <w:u w:color="000000"/>
          <w:bdr w:val="nil"/>
        </w:rPr>
      </w:pPr>
      <w:r>
        <w:rPr>
          <w:noProof/>
        </w:rPr>
        <w:t>•</w:t>
      </w:r>
      <w:r>
        <w:rPr>
          <w:noProof/>
        </w:rPr>
        <w:tab/>
        <w:t>Adecvarea reglementărilor și simplificarea</w:t>
      </w:r>
    </w:p>
    <w:p>
      <w:pPr>
        <w:pStyle w:val="ManualHeading2"/>
        <w:ind w:left="0" w:firstLine="0"/>
        <w:rPr>
          <w:rFonts w:eastAsia="Arial Unicode MS"/>
          <w:b w:val="0"/>
          <w:noProof/>
          <w:u w:color="000000"/>
          <w:bdr w:val="nil"/>
        </w:rPr>
      </w:pPr>
      <w:r>
        <w:rPr>
          <w:b w:val="0"/>
          <w:noProof/>
        </w:rPr>
        <w:t>Întrucât acesta va fi un nou acord, nu ar putea fi efectuate o evaluare sau o verificare a adecvării instrumentelor existente.</w:t>
      </w:r>
    </w:p>
    <w:p>
      <w:pPr>
        <w:pStyle w:val="ManualHeading2"/>
        <w:ind w:left="0" w:firstLine="0"/>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after="240"/>
        <w:rPr>
          <w:noProof/>
          <w:szCs w:val="24"/>
        </w:rPr>
      </w:pPr>
      <w:r>
        <w:rPr>
          <w:noProof/>
        </w:rPr>
        <w:t>Proiectul de acord privind statutul conține dispoziții care asigură protecția drepturilor fundamentale ale persoanelor afectate de acțiunile personalului implicat într-o misiune condusă de Agenția Europeană pentru Poliția de Frontieră și Garda de Coastă.</w:t>
      </w:r>
    </w:p>
    <w:p>
      <w:pPr>
        <w:pBdr>
          <w:top w:val="nil"/>
          <w:left w:val="nil"/>
          <w:bottom w:val="nil"/>
          <w:right w:val="nil"/>
          <w:between w:val="nil"/>
          <w:bar w:val="nil"/>
        </w:pBdr>
        <w:spacing w:after="240"/>
        <w:rPr>
          <w:rFonts w:eastAsia="Arial Unicode MS"/>
          <w:noProof/>
        </w:rPr>
      </w:pPr>
      <w:r>
        <w:rPr>
          <w:noProof/>
        </w:rPr>
        <w:t xml:space="preserve">Dispozițiile referitoare la drepturile fundamentale sunt explicate mai detaliat la punctul 5, „Alte elemente”. </w:t>
      </w:r>
    </w:p>
    <w:p>
      <w:pPr>
        <w:pStyle w:val="ManualHeading1"/>
        <w:rPr>
          <w:noProof/>
        </w:rPr>
      </w:pPr>
      <w:r>
        <w:rPr>
          <w:noProof/>
        </w:rPr>
        <w:lastRenderedPageBreak/>
        <w:t>4.</w:t>
      </w:r>
      <w:r>
        <w:rPr>
          <w:noProof/>
        </w:rPr>
        <w:tab/>
        <w:t>IMPLICAȚIILE BUGETARE</w:t>
      </w:r>
    </w:p>
    <w:p>
      <w:pPr>
        <w:autoSpaceDE w:val="0"/>
        <w:autoSpaceDN w:val="0"/>
        <w:rPr>
          <w:iCs/>
          <w:noProof/>
          <w:szCs w:val="24"/>
        </w:rPr>
      </w:pPr>
      <w:r>
        <w:rPr>
          <w:noProof/>
        </w:rPr>
        <w:t>Acordul privind statutul, în sine, nu are implicații financiare. Trimiterea efectivă a echipelor de poliție de frontieră pe baza unui plan operațional și acordul de grant relevant vor genera costuri care vor fi suportate din bugetul Agenției Europene pentru Poliția de Frontieră și Garda de Coastă. Viitoarele operațiuni în temeiul acordului privind statutul vor fi finanțate din resursele proprii ale Agenției Europene pentru Poliția de Frontieră și Garda de Coastă.</w:t>
      </w:r>
    </w:p>
    <w:p>
      <w:pPr>
        <w:autoSpaceDE w:val="0"/>
        <w:autoSpaceDN w:val="0"/>
        <w:rPr>
          <w:noProof/>
          <w:szCs w:val="24"/>
        </w:rPr>
      </w:pPr>
      <w:r>
        <w:rPr>
          <w:noProof/>
        </w:rPr>
        <w:t>În fișa financiară anexată la Propunerea de regulament privind Poliția de frontieră și garda de coastă la nivel european, cheltuielile Agenției Europene pentru Poliția de Frontieră și Garda de Coastă privind cooperarea consolidată cu țările terțe (inclusiv eventualele operațiuni comune cu țările învecinate) sunt evaluate în medie la 6,090 milioane EUR anual, pentru perioada 2017-2020.</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Planurile de punere în aplicare și măsurile de monitorizare, evaluare și raportare</w:t>
      </w:r>
    </w:p>
    <w:p>
      <w:pPr>
        <w:rPr>
          <w:noProof/>
          <w:szCs w:val="24"/>
        </w:rPr>
      </w:pPr>
      <w:r>
        <w:rPr>
          <w:noProof/>
        </w:rPr>
        <w:t xml:space="preserve">Comisia va asigura monitorizarea adecvată a punerii în aplicare a acordului privind statutul. </w:t>
      </w:r>
    </w:p>
    <w:p>
      <w:pPr>
        <w:rPr>
          <w:noProof/>
          <w:szCs w:val="24"/>
        </w:rPr>
      </w:pPr>
      <w:r>
        <w:rPr>
          <w:noProof/>
        </w:rPr>
        <w:t xml:space="preserve">Republica Albania și Agenția Europeană pentru Poliția de Frontieră și Garda de Coastă evaluează împreună fiecare operațiune comună sau intervenție rapidă la frontieră. </w:t>
      </w:r>
    </w:p>
    <w:p>
      <w:pPr>
        <w:spacing w:after="240"/>
        <w:rPr>
          <w:noProof/>
          <w:szCs w:val="24"/>
        </w:rPr>
      </w:pPr>
      <w:r>
        <w:rPr>
          <w:noProof/>
        </w:rPr>
        <w:t xml:space="preserve">În special, Agenția Europeană pentru Poliția de Frontieră și Garda de Coastă, Republica Albania și statele membre care participă la o acțiune specifică întocmesc un raport la sfârșitul fiecărei acțiuni cu privire la aplicarea dispozițiilor acordului, inclusiv privind prelucrarea datelor cu caracter personal. </w:t>
      </w:r>
    </w:p>
    <w:p>
      <w:pPr>
        <w:pStyle w:val="ManualHeading2"/>
        <w:rPr>
          <w:rFonts w:eastAsia="Arial Unicode MS"/>
          <w:noProof/>
          <w:u w:color="000000"/>
          <w:bdr w:val="nil"/>
        </w:rPr>
      </w:pPr>
      <w:r>
        <w:rPr>
          <w:noProof/>
        </w:rPr>
        <w:t>•</w:t>
      </w:r>
      <w:r>
        <w:rPr>
          <w:noProof/>
        </w:rPr>
        <w:tab/>
        <w:t>Documente explicative (în cazul directivelor)</w:t>
      </w:r>
    </w:p>
    <w:p>
      <w:pPr>
        <w:pBdr>
          <w:top w:val="nil"/>
          <w:left w:val="nil"/>
          <w:bottom w:val="nil"/>
          <w:right w:val="nil"/>
          <w:between w:val="nil"/>
          <w:bar w:val="nil"/>
        </w:pBdr>
        <w:spacing w:before="0" w:after="240"/>
        <w:rPr>
          <w:rFonts w:eastAsia="Arial Unicode MS"/>
          <w:noProof/>
        </w:rPr>
      </w:pPr>
      <w:r>
        <w:rPr>
          <w:noProof/>
        </w:rPr>
        <w:t xml:space="preserve">Nu se aplică. </w:t>
      </w:r>
    </w:p>
    <w:p>
      <w:pPr>
        <w:pStyle w:val="ManualHeading2"/>
        <w:spacing w:after="240"/>
        <w:rPr>
          <w:rFonts w:eastAsia="Arial Unicode MS"/>
          <w:noProof/>
          <w:u w:color="000000"/>
          <w:bdr w:val="nil"/>
        </w:rPr>
      </w:pPr>
      <w:r>
        <w:rPr>
          <w:noProof/>
        </w:rPr>
        <w:t>•</w:t>
      </w:r>
      <w:r>
        <w:rPr>
          <w:noProof/>
        </w:rPr>
        <w:tab/>
        <w:t>Explicarea detaliată a dispozițiilor specifice ale propunerii</w:t>
      </w:r>
    </w:p>
    <w:p>
      <w:pPr>
        <w:rPr>
          <w:i/>
          <w:noProof/>
        </w:rPr>
      </w:pPr>
      <w:r>
        <w:rPr>
          <w:i/>
          <w:noProof/>
        </w:rPr>
        <w:t>Domeniul de aplicare al acordului</w:t>
      </w:r>
    </w:p>
    <w:p>
      <w:pPr>
        <w:rPr>
          <w:rFonts w:eastAsia="Times New Roman"/>
          <w:noProof/>
        </w:rPr>
      </w:pPr>
      <w:r>
        <w:rPr>
          <w:noProof/>
        </w:rPr>
        <w:t xml:space="preserve">În temeiul prezentului acord, Agenția Europeană pentru Poliția de Frontieră și Garda de Coastă este în măsură să trimită în Republica Albania echipe europene de poliție de frontieră și gardă de coastă cu competențe executive, care să efectueze operațiuni comune și intervenții rapide la frontieră. Echipele europene de poliție de frontieră și gardă de coastă au, de asemenea, posibilitatea ca, în cursul unei operațiuni de returnare specifice, să acorde asistență Republicii Albania în identificarea persoanelor care urmează să fie readmise în Republica Albania, în conformitate cu </w:t>
      </w:r>
      <w:hyperlink r:id="rId16">
        <w:r>
          <w:rPr>
            <w:rStyle w:val="Hyperlink"/>
            <w:noProof/>
            <w:color w:val="auto"/>
          </w:rPr>
          <w:t>Acordul între Comunitatea Europeană și Republica Albania privind readmisia persoanelor cu ședere ilegală</w:t>
        </w:r>
      </w:hyperlink>
      <w:r>
        <w:rPr>
          <w:rStyle w:val="FootnoteReference"/>
          <w:noProof/>
        </w:rPr>
        <w:footnoteReference w:id="3"/>
      </w:r>
      <w:r>
        <w:rPr>
          <w:noProof/>
        </w:rPr>
        <w:t>.</w:t>
      </w:r>
    </w:p>
    <w:p>
      <w:pPr>
        <w:spacing w:after="240"/>
        <w:rPr>
          <w:rFonts w:eastAsia="Times New Roman"/>
          <w:noProof/>
        </w:rPr>
      </w:pPr>
      <w:r>
        <w:rPr>
          <w:noProof/>
        </w:rPr>
        <w:t xml:space="preserve">Echipele europene de poliție de frontieră și gardă de coastă pot fi trimise pe teritoriul Albaniei numai în regiunile care se învecinează cu frontierele externe ale UE. </w:t>
      </w:r>
    </w:p>
    <w:p>
      <w:r>
        <w:rPr>
          <w:i/>
          <w:noProof/>
        </w:rPr>
        <w:t>Planul operațional</w:t>
      </w:r>
      <w:r>
        <w:rPr>
          <w:noProof/>
        </w:rPr>
        <w:t xml:space="preserve"> </w:t>
      </w:r>
    </w:p>
    <w:p>
      <w:pPr>
        <w:rPr>
          <w:rFonts w:eastAsia="Times New Roman"/>
          <w:noProof/>
        </w:rPr>
      </w:pPr>
      <w:r>
        <w:rPr>
          <w:noProof/>
        </w:rPr>
        <w:t xml:space="preserve">Înainte de fiecare operațiune comună sau intervenție rapidă la frontieră, trebuie convenit un plan operațional între agenție și Republica Albania. Acest plan trebuie, de asemenea, aprobat de statul membru sau statele membre care se învecinează cu zona operațională. </w:t>
      </w:r>
    </w:p>
    <w:p>
      <w:pPr>
        <w:spacing w:after="240"/>
        <w:rPr>
          <w:rFonts w:eastAsia="Times New Roman"/>
          <w:noProof/>
        </w:rPr>
      </w:pPr>
      <w:r>
        <w:rPr>
          <w:noProof/>
        </w:rPr>
        <w:lastRenderedPageBreak/>
        <w:t xml:space="preserve">Planul stabilește în detaliu aspectele organizatorice și procedurale ale operațiunii comune sau ale intervenției rapide la frontieră, inclusiv o descriere și o evaluare a situației, scopul operațiunii și obiectivele operaționale, conceptul operațional, tipul de echipamente tehnice care urmează să fie trimise, planul de punere în aplicare, cooperarea cu alte țări terțe, alte agenții și organisme ale Uniunii și organizații internaționale, dispozițiile referitoare la respectarea drepturilor fundamentale, inclusiv protecția datelor cu caracter personal, coordonarea, comanda, controlul, structura de comunicare și de raportare, modalitățile de organizare și logistica, evaluarea și aspectele financiare ale operațiunii comune sau ale intervenției rapide la frontieră. </w:t>
      </w:r>
    </w:p>
    <w:p>
      <w:pPr>
        <w:rPr>
          <w:rFonts w:eastAsia="Times New Roman"/>
          <w:i/>
          <w:noProof/>
        </w:rPr>
      </w:pPr>
      <w:r>
        <w:rPr>
          <w:i/>
          <w:noProof/>
        </w:rPr>
        <w:t>Sarcinile și competențele membrilor echipei</w:t>
      </w:r>
    </w:p>
    <w:p>
      <w:pPr>
        <w:rPr>
          <w:rFonts w:eastAsia="Times New Roman"/>
          <w:noProof/>
        </w:rPr>
      </w:pPr>
      <w:r>
        <w:rPr>
          <w:noProof/>
        </w:rPr>
        <w:t>Ca regulă generală, echipele dispun de autoritatea de a îndeplini sarcinile și de a exercita competențele executive necesare pentru controlul la frontiere și operațiunile de returnare. Acestea respectă legile și reglementările Republicii Albania.</w:t>
      </w:r>
    </w:p>
    <w:p>
      <w:pPr>
        <w:rPr>
          <w:noProof/>
        </w:rPr>
      </w:pPr>
      <w:r>
        <w:rPr>
          <w:noProof/>
        </w:rPr>
        <w:t>Echipele acționează doar pe teritoriul Republicii Albania în baza instrucțiunilor și, ca regulă generală, în prezența polițiștilor de frontieră sau a altor categorii relevante de personal din Republica Albania, care pot, în mod excepțional, să autorizeze echipele să acționeze în numele lor.</w:t>
      </w:r>
    </w:p>
    <w:p>
      <w:pPr>
        <w:rPr>
          <w:rFonts w:eastAsia="Times New Roman"/>
          <w:noProof/>
        </w:rPr>
      </w:pPr>
      <w:r>
        <w:rPr>
          <w:noProof/>
        </w:rPr>
        <w:t>Membrii echipei își poartă propriile uniforme, împreună cu un element vizibil de identificare personală și o banderolă albastră cu însemnele Uniunii Europene și ale agenției. De asemenea, aceștia dețin un document de acreditare pentru a fi identificați în mod clar de către autoritățile albaneze.</w:t>
      </w:r>
    </w:p>
    <w:p>
      <w:pPr>
        <w:rPr>
          <w:rFonts w:eastAsia="Times New Roman"/>
          <w:noProof/>
        </w:rPr>
      </w:pPr>
      <w:r>
        <w:rPr>
          <w:noProof/>
        </w:rPr>
        <w:t xml:space="preserve">Membrii echipelor pot purta arme de serviciu, muniție și echipamente, astfel cum sunt autorizați în conformitate cu legislația națională a statului lor. Agenția este informată în prealabil de către autoritățile albaneze cu privire la portul autorizat de arme de serviciu, muniție și echipamente și cu privire la cadrul juridic relevant și condițiile de utilizare a acestora. </w:t>
      </w:r>
    </w:p>
    <w:p>
      <w:pPr>
        <w:rPr>
          <w:rFonts w:eastAsia="Times New Roman"/>
          <w:noProof/>
        </w:rPr>
      </w:pPr>
      <w:r>
        <w:rPr>
          <w:noProof/>
        </w:rPr>
        <w:t>Membrii echipei pot să folosească forța, inclusiv armele de serviciu, muniția și echipamentele, cu acordul statului lor și al autorităților albaneze, în prezența polițiștilor de frontieră sau a altor categorii relevante de personal din Republica Albania și în conformitate cu legislația albaneză. Autoritățile albaneze pot autoriza membrii echipelor să folosească forța și în absența polițiștilor de frontieră albanezi.</w:t>
      </w:r>
    </w:p>
    <w:p>
      <w:pPr>
        <w:spacing w:after="240"/>
        <w:rPr>
          <w:rFonts w:eastAsia="Times New Roman"/>
          <w:iCs/>
          <w:noProof/>
        </w:rPr>
      </w:pPr>
      <w:r>
        <w:rPr>
          <w:noProof/>
        </w:rPr>
        <w:t xml:space="preserve">Sub rezerva principiului necesității, membrii echipei pot fi autorizați de autoritățile albaneze să consulte baze de date în conformitate cu legislația albaneză privind protecția datelor. </w:t>
      </w:r>
    </w:p>
    <w:p>
      <w:pPr>
        <w:rPr>
          <w:i/>
          <w:noProof/>
        </w:rPr>
      </w:pPr>
      <w:r>
        <w:rPr>
          <w:i/>
          <w:noProof/>
        </w:rPr>
        <w:t>Suspendarea și încetarea acțiunii</w:t>
      </w:r>
    </w:p>
    <w:p>
      <w:pPr>
        <w:spacing w:after="240"/>
        <w:rPr>
          <w:rFonts w:eastAsia="Times New Roman"/>
          <w:noProof/>
        </w:rPr>
      </w:pPr>
      <w:r>
        <w:rPr>
          <w:noProof/>
        </w:rPr>
        <w:t xml:space="preserve">Atât agenția, cât și autoritățile albaneze pot suspenda sau înceta acțiunea, în cazul în care consideră că dispozițiile acordului sau ale planului operațional nu sunt respectate de către cealaltă parte. </w:t>
      </w:r>
    </w:p>
    <w:p>
      <w:pPr>
        <w:spacing w:line="288" w:lineRule="auto"/>
        <w:rPr>
          <w:rFonts w:eastAsia="Times New Roman"/>
          <w:i/>
          <w:noProof/>
          <w:color w:val="000000"/>
          <w:szCs w:val="24"/>
        </w:rPr>
      </w:pPr>
      <w:r>
        <w:rPr>
          <w:i/>
          <w:noProof/>
          <w:color w:val="000000"/>
        </w:rPr>
        <w:t>Privilegiile și imunitățile membrilor echipei</w:t>
      </w:r>
    </w:p>
    <w:p>
      <w:pPr>
        <w:rPr>
          <w:rFonts w:eastAsia="Times New Roman"/>
          <w:noProof/>
          <w:color w:val="000000"/>
          <w:szCs w:val="24"/>
        </w:rPr>
      </w:pPr>
      <w:r>
        <w:rPr>
          <w:noProof/>
          <w:color w:val="000000"/>
        </w:rPr>
        <w:t xml:space="preserve">Membrii echipei beneficiază de imunitatea de jurisdicție penală a Republicii Albania pentru faptele săvârșite în cadrul acțiunilor desfășurate în exercitarea funcțiilor oficiale („în timpul serviciului”), însă nu beneficiază de o astfel de imunitate pentru faptele săvârșite „în afara serviciului”. </w:t>
      </w:r>
    </w:p>
    <w:p>
      <w:pPr>
        <w:rPr>
          <w:rFonts w:eastAsia="Times New Roman"/>
          <w:noProof/>
          <w:color w:val="000000"/>
          <w:szCs w:val="24"/>
        </w:rPr>
      </w:pPr>
      <w:r>
        <w:rPr>
          <w:noProof/>
          <w:color w:val="000000"/>
        </w:rPr>
        <w:t xml:space="preserve">Planul operațional stabilește cu precizie acțiunile care beneficiază de imunitatea de jurisdicție penală a Republicii Albania. </w:t>
      </w:r>
    </w:p>
    <w:p>
      <w:pPr>
        <w:rPr>
          <w:rFonts w:eastAsia="Times New Roman"/>
          <w:noProof/>
          <w:color w:val="000000"/>
          <w:szCs w:val="24"/>
        </w:rPr>
      </w:pPr>
      <w:r>
        <w:rPr>
          <w:noProof/>
          <w:color w:val="000000"/>
        </w:rPr>
        <w:lastRenderedPageBreak/>
        <w:t>În cazul prezumției săvârșirii unei infracțiuni de către un membru al echipei, directorul executiv al agenției atestă în fața instanței dacă actul respectiv a fost sau nu săvârșit în exercitarea funcțiilor oficiale ale membrului echipei, înainte de inițierea procedurii în fața instanței. Directorul executiv al agenției ia o decizie după analizarea cu atenție a tuturor declarațiilor efectuate de autoritatea competentă a statului membru care a trimis polițistul de frontieră sau alte categorii relevante de personal în cauză și de autoritățile competente albaneze. Atestarea oferită de către directorul executiv al agenției are caracter obligatoriu pentru jurisdicția Republicii Albania.</w:t>
      </w:r>
    </w:p>
    <w:p>
      <w:pPr>
        <w:rPr>
          <w:rFonts w:eastAsia="Times New Roman"/>
          <w:noProof/>
          <w:color w:val="000000"/>
          <w:szCs w:val="24"/>
        </w:rPr>
      </w:pPr>
      <w:r>
        <w:rPr>
          <w:noProof/>
          <w:color w:val="000000"/>
        </w:rPr>
        <w:t xml:space="preserve">Privilegiile acordate membrilor echipei și imunitatea de jurisdicția penală a Republicii Albania nu le conferă acestora imunitate de jurisdicția statului membru de origine. </w:t>
      </w:r>
    </w:p>
    <w:p>
      <w:pPr>
        <w:rPr>
          <w:rFonts w:eastAsia="Times New Roman"/>
          <w:noProof/>
          <w:color w:val="000000"/>
          <w:szCs w:val="24"/>
        </w:rPr>
      </w:pPr>
      <w:r>
        <w:rPr>
          <w:noProof/>
          <w:color w:val="000000"/>
        </w:rPr>
        <w:t xml:space="preserve">Un regim similar se aplică în cazul răspunderii civile și administrative a membrilor echipei. </w:t>
      </w:r>
    </w:p>
    <w:p>
      <w:pPr>
        <w:rPr>
          <w:rFonts w:eastAsia="Times New Roman"/>
          <w:noProof/>
          <w:color w:val="000000"/>
          <w:szCs w:val="24"/>
        </w:rPr>
      </w:pPr>
      <w:r>
        <w:rPr>
          <w:noProof/>
          <w:color w:val="000000"/>
        </w:rPr>
        <w:t>Imunitatea membrilor echipei de jurisdicția penală, civilă și administrativă a Republicii Albania poate fi ridicată de statul membru care a trimis polițistul de frontieră sau alte categorii relevante de personal în cauză. Ridicarea imunității trebuie să fie întotdeauna expresă.</w:t>
      </w:r>
    </w:p>
    <w:p>
      <w:pPr>
        <w:rPr>
          <w:rFonts w:eastAsia="Times New Roman"/>
          <w:noProof/>
          <w:color w:val="000000"/>
          <w:szCs w:val="24"/>
        </w:rPr>
      </w:pPr>
      <w:r>
        <w:rPr>
          <w:noProof/>
          <w:color w:val="000000"/>
        </w:rPr>
        <w:t xml:space="preserve">Acordul prevede un mecanism care vizează compensarea daunelor. Mecanismul de compensare se bazează pe articolul 42 din Regulamentul (UE) 2016/1624 privind Poliția de frontieră și garda de coastă la nivel european. În cazul în care daunele sunt cauzate de un membru al echipei aflat „în timpul serviciului”, răspunderea revine Republicii Albania. În cazul în care daunele sunt cauzate „în timpul serviciului” de către un membru al unei echipe a unui stat membru participant din cauza neglijenței grave sau a unei abateri săvârșite cu intenție sau în cazul în care fapta respectivă a fost săvârșită „în afara serviciului”, Republica Albania poate solicita agenției plata unei despăgubiri de către respectivul stat membru participant. În cazul în care daunele sunt cauzate de un membru al personalului agenției, Republica Albania poate solicita plata unor despăgubiri de către agenție. </w:t>
      </w:r>
    </w:p>
    <w:p>
      <w:pPr>
        <w:rPr>
          <w:rFonts w:eastAsia="Times New Roman"/>
          <w:noProof/>
          <w:color w:val="000000"/>
          <w:szCs w:val="24"/>
        </w:rPr>
      </w:pPr>
      <w:r>
        <w:rPr>
          <w:noProof/>
          <w:color w:val="000000"/>
        </w:rPr>
        <w:t>În cazul daunelor cauzate în Republica Albania din motive de forță majoră, nici Republica Albania, nici statul membru participant, nici agenția nu sunt responsabile.</w:t>
      </w:r>
    </w:p>
    <w:p>
      <w:pPr>
        <w:rPr>
          <w:rFonts w:eastAsia="Times New Roman"/>
          <w:noProof/>
          <w:color w:val="000000"/>
          <w:szCs w:val="24"/>
        </w:rPr>
      </w:pPr>
      <w:r>
        <w:rPr>
          <w:noProof/>
          <w:color w:val="000000"/>
        </w:rPr>
        <w:t>Nicio măsură de executare nu poate fi luată în privința membrilor echipei, cu excepția cazului în care împotriva lor este inițiată o procedură civilă ce nu are legătură cu funcțiile oficiale ale acestora.</w:t>
      </w:r>
    </w:p>
    <w:p>
      <w:pPr>
        <w:rPr>
          <w:rFonts w:eastAsia="Times New Roman"/>
          <w:noProof/>
          <w:color w:val="000000"/>
          <w:szCs w:val="24"/>
        </w:rPr>
      </w:pPr>
      <w:r>
        <w:rPr>
          <w:noProof/>
          <w:color w:val="000000"/>
        </w:rPr>
        <w:t>Bunurile aflate în proprietatea membrilor echipei, care sunt necesare pentru îndeplinirea funcțiilor lor oficiale, nu pot face obiectul sechestrului. În cadrul procedurilor civile, membrii echipei nu fac obiectul niciunei restrângeri a libertății personale sau al altor măsuri de constrângere.</w:t>
      </w:r>
    </w:p>
    <w:p>
      <w:pPr>
        <w:rPr>
          <w:rFonts w:eastAsia="Times New Roman"/>
          <w:noProof/>
          <w:color w:val="000000"/>
          <w:szCs w:val="24"/>
        </w:rPr>
      </w:pPr>
      <w:r>
        <w:rPr>
          <w:noProof/>
          <w:color w:val="000000"/>
        </w:rPr>
        <w:t>Membrii echipei sunt scutiți de dispozițiile privind asigurările sociale care ar putea fi în vigoare în Republica Albania cu privire la serviciile prestate pentru agenție. De asemenea, aceștia sunt scutiți de orice formă de impozitare în Republica Albania în ceea ce privește remunerația și alte drepturi bănești care le sunt plătite de către agenție sau de către statele lor membre, precum și în ceea ce privește veniturile încasate în afara Republicii Albania.</w:t>
      </w:r>
    </w:p>
    <w:p>
      <w:pPr>
        <w:rPr>
          <w:rFonts w:eastAsia="Times New Roman"/>
          <w:noProof/>
          <w:color w:val="000000"/>
          <w:szCs w:val="24"/>
        </w:rPr>
      </w:pPr>
      <w:r>
        <w:rPr>
          <w:noProof/>
          <w:color w:val="000000"/>
        </w:rPr>
        <w:t xml:space="preserve">Autoritățile albaneze permit intrarea și ieșirea articolelor destinate uzului personal al membrilor echipei și acordă scutirea de taxe vamale, impozite și taxe conexe (altele decât cheltuielile de depozitare, de transport și pentru servicii similare) cu privire la articolele respective. </w:t>
      </w:r>
    </w:p>
    <w:p>
      <w:pPr>
        <w:spacing w:after="0"/>
        <w:rPr>
          <w:rFonts w:eastAsia="Times New Roman"/>
          <w:noProof/>
          <w:color w:val="000000"/>
          <w:szCs w:val="24"/>
        </w:rPr>
      </w:pPr>
      <w:r>
        <w:rPr>
          <w:noProof/>
          <w:color w:val="000000"/>
        </w:rPr>
        <w:t xml:space="preserve">Bagajele personale ale membrilor echipei pot fi inspectate numai în cazurile în care există suspiciuni justificate că acestea conțin articole care nu sunt destinate uzului personal al membrilor echipei sau al căror import sau export este interzis prin lege sau care sunt supuse reglementărilor în materie de carantină din Republica Albania. Inspectarea bagajelor </w:t>
      </w:r>
      <w:r>
        <w:rPr>
          <w:noProof/>
          <w:color w:val="000000"/>
        </w:rPr>
        <w:lastRenderedPageBreak/>
        <w:t>personale se efectuează numai în prezența membrului (membrilor) echipei în cauză sau a unui reprezentant autorizat al agenției.</w:t>
      </w:r>
    </w:p>
    <w:p>
      <w:pPr>
        <w:rPr>
          <w:rFonts w:eastAsia="Times New Roman"/>
          <w:noProof/>
          <w:color w:val="000000"/>
          <w:szCs w:val="24"/>
        </w:rPr>
      </w:pPr>
      <w:r>
        <w:rPr>
          <w:noProof/>
          <w:color w:val="000000"/>
        </w:rPr>
        <w:t>Documentele, corespondența și bunurile membrilor echipei sunt inviolabile, sub rezerva măsurilor de executare. Membrii echipei nu sunt obligați să depună mărturie.</w:t>
      </w:r>
    </w:p>
    <w:p>
      <w:pPr>
        <w:rPr>
          <w:i/>
          <w:noProof/>
        </w:rPr>
      </w:pPr>
      <w:r>
        <w:rPr>
          <w:i/>
          <w:noProof/>
        </w:rPr>
        <w:t xml:space="preserve">Documentul de acreditare </w:t>
      </w:r>
    </w:p>
    <w:p>
      <w:pPr>
        <w:spacing w:after="240"/>
        <w:rPr>
          <w:rFonts w:eastAsia="Times New Roman"/>
          <w:noProof/>
          <w:color w:val="000000"/>
          <w:szCs w:val="24"/>
        </w:rPr>
      </w:pPr>
      <w:r>
        <w:rPr>
          <w:noProof/>
          <w:color w:val="000000"/>
        </w:rPr>
        <w:t>În cooperare cu Republica Albania, agenția emite un document de acreditare membrilor echipei în scopul legitimării acestora în fața autorităților albaneze, care să ateste dreptul posesorului de a îndeplini sarcinile și de a exercita competențele conferite în temeiul prezentului acord și prevăzute în planul operațional. Documentul de acreditare, însoțit de un document de călătorie valabil, garantează intrarea membrului echipei în Republica Albania, fără a mai fi necesară o viză sau o autorizație prealabilă.</w:t>
      </w:r>
    </w:p>
    <w:p>
      <w:pPr>
        <w:rPr>
          <w:rFonts w:eastAsia="Times New Roman"/>
          <w:i/>
          <w:noProof/>
          <w:color w:val="000000"/>
          <w:szCs w:val="24"/>
        </w:rPr>
      </w:pPr>
      <w:r>
        <w:rPr>
          <w:i/>
          <w:noProof/>
          <w:color w:val="000000"/>
        </w:rPr>
        <w:t>Drepturile fundamentale</w:t>
      </w:r>
    </w:p>
    <w:p>
      <w:pPr>
        <w:rPr>
          <w:rFonts w:eastAsia="Times New Roman"/>
          <w:noProof/>
          <w:color w:val="000000"/>
          <w:szCs w:val="24"/>
        </w:rPr>
      </w:pPr>
      <w:r>
        <w:rPr>
          <w:noProof/>
          <w:color w:val="000000"/>
        </w:rPr>
        <w:t>Membrii echipei au obligația ca, în executarea sarcinilor și în exercitarea competențelor lor, să respecte pe deplin drepturile și libertățile fundamentale, inclusiv în ceea ce privește accesul la procedurile de azil, demnitatea umană, interzicerea torturii și a tratamentelor inumane sau degradante, dreptul la libertate, principiul nereturnării și interzicerea expulzărilor colective, drepturile copilului și dreptul la respectarea vieții private și de familie. Aceștia nu fac nicio discriminare arbitrară bazată pe vreun criteriu, inclusiv pe criterii de sex, rasă sau origine etnică, religie sau convingeri, handicap, vârstă, orientare sexuală sau identitate de gen. Orice măsură care aduce atingere acestor drepturi și libertăți fundamentale este proporțională cu obiectivele urmărite și respectă esența acestor drepturi și libertăți fundamentale.</w:t>
      </w:r>
    </w:p>
    <w:p>
      <w:pPr>
        <w:spacing w:after="240"/>
        <w:rPr>
          <w:rFonts w:eastAsia="Times New Roman"/>
          <w:noProof/>
          <w:color w:val="000000"/>
          <w:szCs w:val="24"/>
        </w:rPr>
      </w:pPr>
      <w:r>
        <w:rPr>
          <w:noProof/>
          <w:color w:val="000000"/>
        </w:rPr>
        <w:t xml:space="preserve">Fiecare parte trebuie să dispună de un mecanism de tratare a plângerilor, care să abordeze acuzațiile privind încălcarea drepturilor fundamentale de către personalul său. Agenția a instituit mecanismul de tratare a plângerilor menționat la articolul 72 din Regulamentul (UE) 2016/1624 privind Poliția de frontieră și garda de coastă la nivel european și, prin urmare, respectă această obligație. Avocatul Poporului din Albania ar putea să se ocupe de astfel de acuzații, cu excepția cazului în care autoritățile albaneze decid să instituie un mecanism al cărui scop specific este tratarea plângerilor depuse în temeiul acestui acord.  </w:t>
      </w:r>
    </w:p>
    <w:p>
      <w:pPr>
        <w:rPr>
          <w:rFonts w:eastAsia="Times New Roman"/>
          <w:i/>
          <w:noProof/>
          <w:color w:val="000000"/>
          <w:szCs w:val="24"/>
        </w:rPr>
      </w:pPr>
      <w:r>
        <w:rPr>
          <w:i/>
          <w:noProof/>
          <w:color w:val="000000"/>
        </w:rPr>
        <w:t>Prelucrarea datelor cu caracter personal</w:t>
      </w:r>
    </w:p>
    <w:p>
      <w:pPr>
        <w:rPr>
          <w:rFonts w:eastAsia="Times New Roman"/>
          <w:i/>
          <w:noProof/>
          <w:color w:val="000000"/>
          <w:szCs w:val="24"/>
        </w:rPr>
      </w:pPr>
      <w:r>
        <w:rPr>
          <w:noProof/>
          <w:color w:val="000000"/>
        </w:rPr>
        <w:t xml:space="preserve">Datele cu caracter personal sunt prelucrate de către membrii echipei atunci când este necesar, în conformitate cu normele aplicabile agenției și statelor membre ale UE. Prelucrarea datelor cu caracter personal de către autoritățile albaneze face obiectul legislației naționale a Republicii Albania. </w:t>
      </w:r>
    </w:p>
    <w:p>
      <w:pPr>
        <w:spacing w:after="240"/>
        <w:rPr>
          <w:rFonts w:eastAsia="Times New Roman"/>
          <w:i/>
          <w:noProof/>
          <w:color w:val="000000"/>
          <w:szCs w:val="24"/>
        </w:rPr>
      </w:pPr>
      <w:r>
        <w:rPr>
          <w:noProof/>
          <w:color w:val="000000"/>
        </w:rPr>
        <w:t>La sfârșitul fiecărei acțiuni, agenția, statele membre participante și autoritățile albaneze întocmesc un raport comun privind prelucrarea datelor cu caracter personal de către membrii echipei. Acest raport se transmite ofițerului pentru drepturile fundamentale și responsabilului cu protecția datelor din cadrul agenției. Aceștia raportează directorului executiv al agenției.</w:t>
      </w:r>
    </w:p>
    <w:p>
      <w:pPr>
        <w:rPr>
          <w:rFonts w:eastAsia="Times New Roman"/>
          <w:i/>
          <w:noProof/>
          <w:color w:val="000000"/>
          <w:szCs w:val="24"/>
        </w:rPr>
      </w:pPr>
      <w:r>
        <w:rPr>
          <w:i/>
          <w:noProof/>
          <w:color w:val="000000"/>
        </w:rPr>
        <w:t>Autoritățile competente pentru punerea în aplicare a acordului</w:t>
      </w:r>
    </w:p>
    <w:p>
      <w:pPr>
        <w:spacing w:after="240"/>
        <w:rPr>
          <w:rFonts w:eastAsia="Times New Roman"/>
          <w:b/>
          <w:noProof/>
          <w:color w:val="000000"/>
          <w:szCs w:val="24"/>
        </w:rPr>
      </w:pPr>
      <w:r>
        <w:rPr>
          <w:noProof/>
          <w:color w:val="000000"/>
        </w:rPr>
        <w:t>Pentru Republica Albania, autoritatea competentă pentru punerea în aplicare a acordului este Ministerul de Interne. Pentru Uniunea Europeană, această autoritate este Agenția Europeană pentru Poliția de Frontieră și Garda de Coastă.</w:t>
      </w:r>
    </w:p>
    <w:p>
      <w:pPr>
        <w:keepNext/>
        <w:rPr>
          <w:rFonts w:eastAsia="Times New Roman"/>
          <w:i/>
          <w:noProof/>
          <w:color w:val="000000"/>
          <w:szCs w:val="24"/>
        </w:rPr>
      </w:pPr>
      <w:r>
        <w:rPr>
          <w:i/>
          <w:noProof/>
          <w:color w:val="000000"/>
        </w:rPr>
        <w:lastRenderedPageBreak/>
        <w:t>Litigii și interpretare</w:t>
      </w:r>
    </w:p>
    <w:p>
      <w:pPr>
        <w:spacing w:before="0"/>
        <w:rPr>
          <w:rFonts w:eastAsia="Times New Roman"/>
          <w:noProof/>
          <w:color w:val="000000"/>
          <w:szCs w:val="24"/>
        </w:rPr>
      </w:pPr>
      <w:r>
        <w:rPr>
          <w:noProof/>
          <w:color w:val="000000"/>
        </w:rPr>
        <w:t xml:space="preserve">Toate chestiunile care survin în legătură cu aplicarea acordului sunt examinate în comun de reprezentanții autorităților competente albaneze și de cei ai agenției, care consultă statul membru sau statele membre care se învecinează cu Republica Albania. </w:t>
      </w:r>
    </w:p>
    <w:p>
      <w:pPr>
        <w:spacing w:before="0"/>
        <w:rPr>
          <w:rFonts w:eastAsia="Times New Roman"/>
          <w:noProof/>
          <w:color w:val="000000"/>
          <w:szCs w:val="24"/>
        </w:rPr>
      </w:pPr>
      <w:r>
        <w:rPr>
          <w:noProof/>
          <w:color w:val="000000"/>
        </w:rPr>
        <w:t>În lipsa unei soluționări prealabile, litigiile privind interpretarea sau aplicarea acordului se soluționează exclusiv prin negociere între Republica Albania și Comisia Europeană care consultă orice stat membru care se învecinează cu Republica Albania.</w:t>
      </w:r>
    </w:p>
    <w:p>
      <w:pPr>
        <w:spacing w:after="240" w:line="360" w:lineRule="auto"/>
        <w:jc w:val="center"/>
        <w:rPr>
          <w:rFonts w:eastAsia="Times New Roman"/>
          <w:noProof/>
          <w:color w:val="000000"/>
          <w:szCs w:val="24"/>
        </w:rPr>
      </w:pPr>
    </w:p>
    <w:p>
      <w:pPr>
        <w:spacing w:after="240" w:line="360" w:lineRule="auto"/>
        <w:jc w:val="center"/>
        <w:rPr>
          <w:rFonts w:eastAsia="Times New Roman"/>
          <w:noProof/>
          <w:color w:val="000000"/>
          <w:szCs w:val="24"/>
        </w:rPr>
      </w:pP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2018/0242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 xml:space="preserve">privind semnarea, în numele Uniunii Europene, a acordului privind statutul dintre Uniunea Europeană și Republica Albania referitor la acțiunile desfășurate de Agenția Europeană pentru Poliția de Frontieră și Garda de Coastă în Republica Albania </w:t>
      </w:r>
    </w:p>
    <w:p>
      <w:pPr>
        <w:pStyle w:val="Institutionquiagit"/>
        <w:rPr>
          <w:noProof/>
        </w:rPr>
      </w:pPr>
      <w:r>
        <w:rPr>
          <w:noProof/>
        </w:rPr>
        <w:t>CONSILIUL UNIUNII EUROPENE,</w:t>
      </w:r>
    </w:p>
    <w:p>
      <w:pPr>
        <w:rPr>
          <w:noProof/>
        </w:rPr>
      </w:pPr>
      <w:r>
        <w:rPr>
          <w:noProof/>
        </w:rPr>
        <w:t>având în vedere Tratatul privind funcționarea Uniunii Europene, în special articolul 77 alineatul (2) literele (b) și (d) și articolul 79 alineatul (2) litera (c), coroborate cu articolul 218 alineatul (5),</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În conformitate cu articolul 54 alineatul (4) din Regulamentul (UE) 2016/1624, în cazurile în care se prevede ca echipele europene de poliție de frontieră și gardă de coastă să fie trimise într-o țară terță în vederea unor acțiuni în cadrul cărora membrii echipelor vor avea competențe executive, sau în cazul în care alte acțiuni în țările terțe impun acest lucru, Uniunea încheie un acord privind statutul cu țara terță în cauză.</w:t>
      </w:r>
    </w:p>
    <w:p>
      <w:pPr>
        <w:pStyle w:val="ManualConsidrant"/>
        <w:rPr>
          <w:noProof/>
        </w:rPr>
      </w:pPr>
      <w:r>
        <w:t>(2)</w:t>
      </w:r>
      <w:r>
        <w:tab/>
      </w:r>
      <w:r>
        <w:rPr>
          <w:noProof/>
        </w:rPr>
        <w:t xml:space="preserve">La 16 octombrie 2017, Consiliul a autorizat Comisia să deschidă negocieri cu Republica Albania pentru un acord privind statutul referitor la acțiunile desfășurate de Agenția Europeană pentru Poliția de Frontieră și Garda de Coastă în Republica Albania. </w:t>
      </w:r>
    </w:p>
    <w:p>
      <w:pPr>
        <w:pStyle w:val="ManualConsidrant"/>
        <w:rPr>
          <w:noProof/>
        </w:rPr>
      </w:pPr>
      <w:r>
        <w:t>(3)</w:t>
      </w:r>
      <w:r>
        <w:tab/>
      </w:r>
      <w:r>
        <w:rPr>
          <w:noProof/>
        </w:rPr>
        <w:t>Negocierile legate de acordul privind statutul au început la 13 decembrie 2017 și au fost finalizate cu succes prin parafarea acordului la 12 februarie 2018.</w:t>
      </w:r>
    </w:p>
    <w:p>
      <w:pPr>
        <w:pStyle w:val="ManualConsidrant"/>
        <w:rPr>
          <w:noProof/>
        </w:rPr>
      </w:pPr>
      <w:r>
        <w:t>(4)</w:t>
      </w:r>
      <w:r>
        <w:tab/>
      </w:r>
      <w:r>
        <w:rPr>
          <w:noProof/>
        </w:rPr>
        <w:t>Prezenta decizie constituie o dezvoltare a dispozițiilor acquis-ului Schengen la care Regatul Unit nu participă, în conformitate cu Decizia 2000/365/CE a Consiliului</w:t>
      </w:r>
      <w:r>
        <w:rPr>
          <w:rStyle w:val="FootnoteReference"/>
          <w:noProof/>
          <w:sz w:val="23"/>
        </w:rPr>
        <w:footnoteReference w:id="4"/>
      </w:r>
      <w:r>
        <w:rPr>
          <w:noProof/>
        </w:rPr>
        <w:t xml:space="preserve">; prin urmare, Regatul Unit nu participă la adoptarea prezentei decizii, nu are obligații în temeiul acesteia și nu face obiectul aplicării sale. </w:t>
      </w:r>
    </w:p>
    <w:p>
      <w:pPr>
        <w:pStyle w:val="ManualConsidrant"/>
        <w:rPr>
          <w:noProof/>
        </w:rPr>
      </w:pPr>
      <w:r>
        <w:t>(5)</w:t>
      </w:r>
      <w:r>
        <w:tab/>
      </w:r>
      <w:r>
        <w:rPr>
          <w:noProof/>
        </w:rPr>
        <w:t>Prezenta decizie reprezintă o dezvoltare a dispozițiilor acquis-ului Schengen la care Irlanda nu participă, în conformitate cu Decizia 2002/192/CE a Consiliului</w:t>
      </w:r>
      <w:r>
        <w:rPr>
          <w:rStyle w:val="FootnoteReference"/>
          <w:noProof/>
          <w:sz w:val="23"/>
        </w:rPr>
        <w:footnoteReference w:id="5"/>
      </w:r>
      <w:r>
        <w:rPr>
          <w:noProof/>
        </w:rPr>
        <w:t>; prin urmare, Irlanda nu participă la adoptarea prezentei decizii, nu are obligații în temeiul acesteia și nu face obiectul aplicării sale.</w:t>
      </w:r>
    </w:p>
    <w:p>
      <w:pPr>
        <w:pStyle w:val="ManualConsidrant"/>
        <w:rPr>
          <w:noProof/>
        </w:rPr>
      </w:pPr>
      <w:r>
        <w:t>(6)</w:t>
      </w:r>
      <w:r>
        <w:tab/>
      </w:r>
      <w:r>
        <w:rPr>
          <w:noProof/>
        </w:rPr>
        <w:t>În conformitate cu articolele 1 și 2 din Protocolul nr. 22 privind poziția Danemarcei, anexat la Tratatul privind Uniunea Europeană și la Tratatul privind funcționarea Uniunii Europene, Danemarca nu participă la adoptarea prezentei decizii, nu are obligații în temeiul acesteia și nu face obiectul aplicării sale.</w:t>
      </w:r>
    </w:p>
    <w:p>
      <w:pPr>
        <w:pStyle w:val="ManualConsidrant"/>
        <w:rPr>
          <w:noProof/>
        </w:rPr>
      </w:pPr>
      <w:r>
        <w:lastRenderedPageBreak/>
        <w:t>(7)</w:t>
      </w:r>
      <w:r>
        <w:tab/>
      </w:r>
      <w:r>
        <w:rPr>
          <w:noProof/>
        </w:rPr>
        <w:t>Acordul privind statutul ar trebui semnat, iar declarația atașată la acord ar trebui aprobată, în numele Uniunii, sub rezerva încheierii sale la o dată ulterioară,</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Se autorizează semnarea, în numele Uniunii Europene, a acordului privind statutul dintre Uniunea Europeană și Republica Albania referitor la acțiunile desfășurate de Agenția Europeană pentru Poliția de Frontieră și Garda de Coastă în Republica Albania, sub rezerva încheierii acordului menționat.</w:t>
      </w:r>
    </w:p>
    <w:p>
      <w:pPr>
        <w:rPr>
          <w:noProof/>
        </w:rPr>
      </w:pPr>
      <w:r>
        <w:rPr>
          <w:noProof/>
        </w:rPr>
        <w:t xml:space="preserve">Textul acordului este atașat la prezenta decizie. </w:t>
      </w:r>
    </w:p>
    <w:p>
      <w:pPr>
        <w:pStyle w:val="Titrearticle"/>
        <w:keepNext w:val="0"/>
      </w:pPr>
      <w:r>
        <w:rPr>
          <w:noProof/>
        </w:rPr>
        <w:t>Articolul 2</w:t>
      </w:r>
    </w:p>
    <w:p>
      <w:pPr>
        <w:rPr>
          <w:noProof/>
        </w:rPr>
      </w:pPr>
      <w:r>
        <w:rPr>
          <w:noProof/>
        </w:rPr>
        <w:t xml:space="preserve">Declarațiile atașate la prezenta decizie se aprobă în numele Uniunii. </w:t>
      </w:r>
    </w:p>
    <w:p>
      <w:pPr>
        <w:pStyle w:val="Titrearticle"/>
        <w:keepNext w:val="0"/>
      </w:pPr>
      <w:r>
        <w:rPr>
          <w:noProof/>
        </w:rPr>
        <w:t xml:space="preserve">Articolul 3 </w:t>
      </w:r>
    </w:p>
    <w:p>
      <w:pPr>
        <w:rPr>
          <w:noProof/>
        </w:rPr>
      </w:pPr>
      <w:r>
        <w:rPr>
          <w:noProof/>
        </w:rPr>
        <w:t>Secretariatul General al Consiliului stabilește instrumentul prin care se acordă puteri depline pentru semnarea acordului, sub rezerva încheierii acestuia, persoanei (persoanelor) indicate de către negociatorul acordului.</w:t>
      </w:r>
    </w:p>
    <w:p>
      <w:pPr>
        <w:pStyle w:val="Titrearticle"/>
        <w:rPr>
          <w:noProof/>
        </w:rPr>
      </w:pPr>
      <w:r>
        <w:rPr>
          <w:noProof/>
        </w:rPr>
        <w:t>Articolul 4</w:t>
      </w:r>
    </w:p>
    <w:p>
      <w:pPr>
        <w:keepLines/>
        <w:rPr>
          <w:noProof/>
        </w:rPr>
      </w:pPr>
      <w:r>
        <w:rPr>
          <w:noProof/>
        </w:rPr>
        <w:t xml:space="preserve">Prezenta decizie intră în vigoare la data adoptării. </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251/1, 16.9.2016.</w:t>
      </w:r>
    </w:p>
  </w:footnote>
  <w:footnote w:id="2">
    <w:p>
      <w:pPr>
        <w:pStyle w:val="FootnoteText"/>
        <w:ind w:left="709" w:hanging="709"/>
        <w:rPr>
          <w:rFonts w:ascii="Calibri" w:hAnsi="Calibri"/>
        </w:rPr>
      </w:pPr>
      <w:r>
        <w:rPr>
          <w:rStyle w:val="FootnoteReference"/>
        </w:rPr>
        <w:t>*</w:t>
      </w:r>
      <w:r>
        <w:t xml:space="preserve"> </w:t>
      </w:r>
      <w:r>
        <w:tab/>
        <w:t>Această denumire nu aduce atingere pozițiilor privind statutul și este conformă cu RCSONU 1244/1999, precum și cu Avizul CIJ privind Declarația de independență a Kosovo.</w:t>
      </w:r>
    </w:p>
  </w:footnote>
  <w:footnote w:id="3">
    <w:p>
      <w:pPr>
        <w:pStyle w:val="FootnoteText"/>
      </w:pPr>
      <w:r>
        <w:rPr>
          <w:rStyle w:val="FootnoteReference"/>
        </w:rPr>
        <w:footnoteRef/>
      </w:r>
      <w:r>
        <w:tab/>
        <w:t>JO L 124/22, 17.5.2005.</w:t>
      </w:r>
    </w:p>
  </w:footnote>
  <w:footnote w:id="4">
    <w:p>
      <w:pPr>
        <w:pStyle w:val="FootnoteText"/>
      </w:pPr>
      <w:r>
        <w:rPr>
          <w:rStyle w:val="FootnoteReference"/>
        </w:rPr>
        <w:footnoteRef/>
      </w:r>
      <w:r>
        <w:tab/>
        <w:t>Decizia 2000/365/CE a Consiliului din 29 mai 2000 privind solicitarea Regatului Unit al Marii Britanii și Irlandei de Nord de a participa la unele dintre dispozițiile acquis-ului Schengen (JO L 131/43, 1.6.2000).</w:t>
      </w:r>
    </w:p>
  </w:footnote>
  <w:footnote w:id="5">
    <w:p>
      <w:pPr>
        <w:pStyle w:val="FootnoteText"/>
      </w:pPr>
      <w:r>
        <w:rPr>
          <w:rStyle w:val="FootnoteReference"/>
        </w:rPr>
        <w:footnoteRef/>
      </w:r>
      <w:r>
        <w:tab/>
        <w:t>Decizia 2002/192/CE a Consiliului din 28 februarie 2002 privind solicitarea Irlandei de a participa la unele dintre dispozițiile acquis-ului Schengen (JO L 64/20, 7.3.2002).</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C490F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D008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6AC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70A4E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426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F034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6A9DB4"/>
    <w:lvl w:ilvl="0">
      <w:start w:val="1"/>
      <w:numFmt w:val="decimal"/>
      <w:pStyle w:val="ListNumber"/>
      <w:lvlText w:val="%1."/>
      <w:lvlJc w:val="left"/>
      <w:pPr>
        <w:tabs>
          <w:tab w:val="num" w:pos="360"/>
        </w:tabs>
        <w:ind w:left="360" w:hanging="360"/>
      </w:pPr>
    </w:lvl>
  </w:abstractNum>
  <w:abstractNum w:abstractNumId="7">
    <w:nsid w:val="FFFFFF89"/>
    <w:multiLevelType w:val="singleLevel"/>
    <w:tmpl w:val="84EA93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0:49:18"/>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38B8A47-6C8E-492F-96B3-0C6E3A9402CA"/>
    <w:docVar w:name="LW_COVERPAGE_TYPE" w:val="1"/>
    <w:docVar w:name="LW_CROSSREFERENCE" w:val="&lt;UNUSED&gt;"/>
    <w:docVar w:name="LW_DocType" w:val="COM"/>
    <w:docVar w:name="LW_EMISSION" w:val="13.6.2018"/>
    <w:docVar w:name="LW_EMISSION_ISODATE" w:val="2018-06-13"/>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242"/>
    <w:docVar w:name="LW_REF.II.NEW.CP_YEAR" w:val="2018"/>
    <w:docVar w:name="LW_REF.INST.NEW" w:val="COM"/>
    <w:docVar w:name="LW_REF.INST.NEW_ADOPTED" w:val="final"/>
    <w:docVar w:name="LW_REF.INST.NEW_TEXT" w:val="(2018)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semnarea, în numele Uniunii Europene, a acordului privind statutul dintre Uniunea European\u259? \u537?i Republica Albania referitor la ac\u539?iunile desf\u259?\u537?urate de Agen\u539?ia European\u259? pentru Poli\u539?ia de Frontier\u259? \u537?i Garda de Coast\u259? în Republica Albania "/>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307">
      <w:bodyDiv w:val="1"/>
      <w:marLeft w:val="0"/>
      <w:marRight w:val="0"/>
      <w:marTop w:val="0"/>
      <w:marBottom w:val="0"/>
      <w:divBdr>
        <w:top w:val="none" w:sz="0" w:space="0" w:color="auto"/>
        <w:left w:val="none" w:sz="0" w:space="0" w:color="auto"/>
        <w:bottom w:val="none" w:sz="0" w:space="0" w:color="auto"/>
        <w:right w:val="none" w:sz="0" w:space="0" w:color="auto"/>
      </w:divBdr>
    </w:div>
    <w:div w:id="1168207489">
      <w:bodyDiv w:val="1"/>
      <w:marLeft w:val="0"/>
      <w:marRight w:val="0"/>
      <w:marTop w:val="0"/>
      <w:marBottom w:val="0"/>
      <w:divBdr>
        <w:top w:val="none" w:sz="0" w:space="0" w:color="auto"/>
        <w:left w:val="none" w:sz="0" w:space="0" w:color="auto"/>
        <w:bottom w:val="none" w:sz="0" w:space="0" w:color="auto"/>
        <w:right w:val="none" w:sz="0" w:space="0" w:color="auto"/>
      </w:divBdr>
    </w:div>
    <w:div w:id="20169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RO/TXT/?qid=1464195285121&amp;uri=CELEX%3A22005A0517%2802%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C22B-5C98-4D10-A18B-DB1BD3FB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3771</Words>
  <Characters>22669</Characters>
  <Application>Microsoft Office Word</Application>
  <DocSecurity>0</DocSecurity>
  <Lines>365</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2018-04-16T11:35:00Z</cp:lastPrinted>
  <dcterms:created xsi:type="dcterms:W3CDTF">2018-05-31T14:41:00Z</dcterms:created>
  <dcterms:modified xsi:type="dcterms:W3CDTF">2018-06-11T08:49:00Z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