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5890789-6D4B-40C6-9B7A-A76A413E6DB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noProof/>
          <w:sz w:val="16"/>
          <w:szCs w:val="16"/>
        </w:rPr>
      </w:pPr>
      <w:r>
        <w:rPr>
          <w:noProof/>
        </w:rPr>
        <w:t>Člen 54(3) Uredbe (EU) 2016/1624 Evropskega parlamenta in Sveta z dne 14. septembra 2016 o evropski mejni in obalni straži</w:t>
      </w:r>
      <w:r>
        <w:rPr>
          <w:rStyle w:val="FootnoteReference"/>
          <w:noProof/>
        </w:rPr>
        <w:footnoteReference w:id="1"/>
      </w:r>
      <w:r>
        <w:rPr>
          <w:noProof/>
        </w:rPr>
        <w:t xml:space="preserve"> določa, da lahko Evropska agencija za mejno in obalno stražo usklajuje operativno sodelovanje med državami članicami in tretjimi državami pri upravljanju zunanjih meja. V zvezi s tem lahko izvaja ukrepe na zunanjih mejah, ki vključujejo eno ali več držav članic in tretjo državo, ki meji vsaj na eno od teh držav članic, ob soglasju navedene sosednje tretje države, vključno na ozemlju navedene tretje države. </w:t>
      </w:r>
    </w:p>
    <w:p>
      <w:pPr>
        <w:rPr>
          <w:noProof/>
          <w:szCs w:val="24"/>
        </w:rPr>
      </w:pPr>
      <w:r>
        <w:rPr>
          <w:noProof/>
        </w:rPr>
        <w:t xml:space="preserve">V skladu s členom 54(4) Uredbe (EU) 2016/1624 mora Unija v primerih, ko je predvideno, da bodo skupine evropske mejne in obalne straže napotene v tretjo državo zaradi izvajanja ukrepov, pri katerih bodo člani skupin imeli izvršilna pooblastila, ali kadar izvajanje drugih ukrepov v tretji državi zahteva takšno pooblastilo, z zadevno tretjo državo skleniti sporazum o statusu. </w:t>
      </w:r>
    </w:p>
    <w:p>
      <w:pPr>
        <w:rPr>
          <w:iCs/>
          <w:noProof/>
          <w:szCs w:val="24"/>
        </w:rPr>
      </w:pPr>
      <w:r>
        <w:rPr>
          <w:noProof/>
        </w:rPr>
        <w:t xml:space="preserve">Evropska komisija je na podlagi pogajalskih smernic, ki jih je sprejel Svet, opravila pogajanja z Republiko Albanijo za sporazum o statusu, s katerim bi se vzpostavil pravni okvir, ki bo v primeru potrebnega hitrega odziva omogočal takojšnje ukrepanje na podlagi priprave operativnih načrtov. Čeprav so migracijski tokovi v regiji precej manjši kot v letih 2015 in 2016, mreže organiziranega kriminala hitro prilagajajo svoje poti in metode za tihotapljenje migrantov novim okoliščinam. S sporazumom o statusu bodo pristojni albanski organi in države članice EU, ki jih bo usklajevala Evropska agencija za mejno in obalno stražo, v veliko boljšem položaju za hiter odziv na takšen možen razvoj dogodkov. </w:t>
      </w:r>
    </w:p>
    <w:p>
      <w:pPr>
        <w:rPr>
          <w:iCs/>
          <w:noProof/>
          <w:szCs w:val="24"/>
        </w:rPr>
      </w:pPr>
      <w:r>
        <w:rPr>
          <w:noProof/>
        </w:rPr>
        <w:t xml:space="preserve">Priloženi predlog za sklep Sveta je pravni akt za podpis sporazuma o statusu med Evropsko unijo in Republiko Albanijo. </w:t>
      </w:r>
    </w:p>
    <w:p>
      <w:pPr>
        <w:rPr>
          <w:noProof/>
        </w:rPr>
      </w:pPr>
      <w:r>
        <w:rPr>
          <w:noProof/>
        </w:rPr>
        <w:t xml:space="preserve">Komisija je 16. oktobra 2017 prejela pooblastilo Sveta za začetek pogajanj z Republiko Albanijo za sporazum o statusu glede ukrepov, ki jih izvaja Evropska agencija za mejno in obalno stražo v Republiki Albaniji. </w:t>
      </w:r>
    </w:p>
    <w:p>
      <w:pPr>
        <w:rPr>
          <w:iCs/>
          <w:noProof/>
          <w:szCs w:val="24"/>
        </w:rPr>
      </w:pPr>
      <w:r>
        <w:rPr>
          <w:noProof/>
        </w:rPr>
        <w:t>Pogajanja za sporazum o statusu so se začela 13. decembra 2017, drugi krog pa je potekal 31. januarja 2018. Pogajanja so se uspešno zaključila s parafiranjem osnutka sporazuma o statusu 12. februarja 2018 v Tirani. Osnutek sporazuma sta parafirala evropski komisar za migracije, notranje zadeve in državljanstvo Dimitris Avramopulos ter minister za notranje zadeve Republike Albanije Fatmir Xhafaj.</w:t>
      </w:r>
    </w:p>
    <w:p>
      <w:pPr>
        <w:rPr>
          <w:iCs/>
          <w:noProof/>
          <w:szCs w:val="24"/>
        </w:rPr>
      </w:pPr>
      <w:r>
        <w:rPr>
          <w:noProof/>
        </w:rPr>
        <w:t xml:space="preserve">Komisija meni, da so bili cilji, ki jih je Svet določil v svojih pogajalskih smernicah, doseženi in da je osnutek sporazuma o statusu za Unijo sprejemljiv. </w:t>
      </w:r>
    </w:p>
    <w:p>
      <w:pPr>
        <w:spacing w:after="240"/>
        <w:rPr>
          <w:iCs/>
          <w:noProof/>
          <w:szCs w:val="24"/>
        </w:rPr>
      </w:pPr>
      <w:r>
        <w:rPr>
          <w:noProof/>
        </w:rPr>
        <w:t xml:space="preserve">Države članice so bile obveščene in so lahko izrazile mnenje v ustrezni delovni skupini Sveta. </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iCs/>
          <w:noProof/>
          <w:szCs w:val="24"/>
        </w:rPr>
      </w:pPr>
      <w:r>
        <w:rPr>
          <w:noProof/>
        </w:rPr>
        <w:t>Med grškimi in albanskimi organi sta bila sklenjena dva sporazuma o policijskem sodelovanju (zakon št. 2147/1993 in zakon št. 2568/1998), ki zajemata izmenjavo informacij na področju policijskih zadev, vključno z nezakonitimi migracijami. Grška policija izmenjuje informacije z albanskimi organi o splošnih vprašanjih na področju resnih in organiziranih kriminalnih čezmejnih dejavnosti ter tudi o postopkih za ponovni sprejem nezakonitih priseljencev.</w:t>
      </w:r>
    </w:p>
    <w:p>
      <w:pPr>
        <w:rPr>
          <w:noProof/>
        </w:rPr>
      </w:pPr>
      <w:r>
        <w:rPr>
          <w:noProof/>
        </w:rPr>
        <w:lastRenderedPageBreak/>
        <w:t>Albanija je sklenila sporazume o nadzoru meje, varovanju meje in skupnih patruljah s Črno goro in Kosovom</w:t>
      </w:r>
      <w:r>
        <w:rPr>
          <w:rStyle w:val="FootnoteReference"/>
          <w:noProof/>
        </w:rPr>
        <w:footnoteReference w:customMarkFollows="1" w:id="2"/>
        <w:t>*</w:t>
      </w:r>
      <w:r>
        <w:rPr>
          <w:noProof/>
        </w:rPr>
        <w:t xml:space="preserve"> ter o skupnih patruljah z nekdanjo jugoslovansko republiko Makedonijo, z Grčijo pa takšnih sporazumov še ni sklenila. Z Italijo je sklenila sporazum o skupnih patruljah (s finančno policijo ‒ Guardia di Finanza) na morski meji. </w:t>
      </w:r>
    </w:p>
    <w:p>
      <w:pPr>
        <w:rPr>
          <w:noProof/>
        </w:rPr>
      </w:pPr>
      <w:r>
        <w:rPr>
          <w:noProof/>
        </w:rPr>
        <w:t xml:space="preserve">S protokolom med ministrstvi za notranje zadeve Črne gore, Albanije in Kosova* je bil v občini Plav ustanovljen skupni center za policijsko sodelovanje, katerega namen je okrepiti čezmejno sodelovanje v boju proti kriminalu na podlagi intenzivnejše izmenjave operativnih informacij in tesnejšega usklajevanja skupnih prizadevanj za varnost. Skupni center za policijsko sodelovanje uradno deluje od 30. maja 2017. Nadaljuje se delo za ustanovitev drugega takega centra na meji z Grčijo. </w:t>
      </w:r>
    </w:p>
    <w:p>
      <w:pPr>
        <w:spacing w:after="240"/>
        <w:rPr>
          <w:iCs/>
          <w:noProof/>
          <w:color w:val="FF0000"/>
          <w:szCs w:val="24"/>
        </w:rPr>
      </w:pPr>
      <w:r>
        <w:rPr>
          <w:noProof/>
        </w:rPr>
        <w:t>Delovni dogovor (ki se trenutno posodablja) o operativnem sodelovanju med Republiko Albanijo in Evropsko agencijo za mejno in obalno stražo vključuje zlasti redno udeležbo albanskih strokovnjakov v operativnih dejavnostih, ki jih usklajuje Evropska agencija za mejno in obalno stražo, pri čemer ti strokovnjaki delujejo kot opazovalci na ozemlju držav članic.</w:t>
      </w:r>
    </w:p>
    <w:p>
      <w:pPr>
        <w:pStyle w:val="ManualHeading2"/>
        <w:ind w:left="0" w:firstLine="0"/>
        <w:rPr>
          <w:rFonts w:eastAsia="Arial Unicode MS"/>
          <w:noProof/>
        </w:rPr>
      </w:pPr>
      <w:r>
        <w:rPr>
          <w:noProof/>
          <w:color w:val="000000"/>
          <w:u w:color="000000"/>
          <w:bdr w:val="nil"/>
        </w:rPr>
        <w:t>•</w:t>
      </w:r>
      <w:r>
        <w:rPr>
          <w:noProof/>
        </w:rPr>
        <w:tab/>
        <w:t>Skladnost z drugimi politikami Unije</w:t>
      </w:r>
    </w:p>
    <w:p>
      <w:pPr>
        <w:rPr>
          <w:b/>
          <w:noProof/>
          <w:szCs w:val="24"/>
        </w:rPr>
      </w:pPr>
      <w:r>
        <w:rPr>
          <w:noProof/>
        </w:rPr>
        <w:t xml:space="preserve">Evropska agenda o migracijah temelji na štirih stebrih. Eden med njimi je upravljanje meja: to vključuje boljše upravljanje zunanje meje EU, zlasti na podlagi solidarnosti do držav članic, ki so na zunanjih mejah, in izboljšanje učinkovitosti mejnih prehodov. Okrepljen nadzor meja Republike Albanije bo pozitivno vplival tudi na zunanje meje EU, zlasti na zunanje meje Grčije, pa tudi na meje Republike Albanije. Nadaljnja krepitev varnosti na zunanjih mejah je tudi v skladu z evropsko agendo za varnost.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autoSpaceDE w:val="0"/>
        <w:autoSpaceDN w:val="0"/>
        <w:adjustRightInd w:val="0"/>
        <w:rPr>
          <w:noProof/>
          <w:szCs w:val="24"/>
        </w:rPr>
      </w:pPr>
      <w:r>
        <w:rPr>
          <w:noProof/>
        </w:rPr>
        <w:t xml:space="preserve">Pravna podlaga za ta predlog sklepa Sveta sta člen 77(2)(b) in (d) ter člen 79(2)(c) PDEU v povezavi s členom 218(5) PDEU. </w:t>
      </w:r>
    </w:p>
    <w:p>
      <w:pPr>
        <w:autoSpaceDE w:val="0"/>
        <w:autoSpaceDN w:val="0"/>
        <w:adjustRightInd w:val="0"/>
        <w:rPr>
          <w:noProof/>
          <w:szCs w:val="24"/>
        </w:rPr>
      </w:pPr>
      <w:r>
        <w:rPr>
          <w:noProof/>
        </w:rPr>
        <w:t xml:space="preserve">Pristojnost EU za sklenitev sporazuma o statusu je izrecno določena v členu 54(4) Uredbe (EU) 2016/1624, ki navaja, da mora Unija v primerih, ko je predvideno, da bodo skupine evropske mejne in obalne straže napotene v tretjo državo zaradi izvajanja ukrepov, pri katerih bodo člani skupin imeli izvršilna pooblastila, ali kadar izvajanje drugih ukrepov v tretjih državah zahteva takšno pooblastilo, z zadevno tretjo državo skleniti sporazum o statusu. </w:t>
      </w:r>
    </w:p>
    <w:p>
      <w:pPr>
        <w:autoSpaceDE w:val="0"/>
        <w:autoSpaceDN w:val="0"/>
        <w:adjustRightInd w:val="0"/>
        <w:rPr>
          <w:noProof/>
          <w:szCs w:val="24"/>
        </w:rPr>
      </w:pPr>
      <w:r>
        <w:rPr>
          <w:noProof/>
        </w:rPr>
        <w:t xml:space="preserve">V skladu s členom 3(2) PDEU ima Unija izključno pristojnost za sklenitev mednarodnega sporazuma, kadar je ta sklenitev predvidena v zakonodajnem aktu Unije. Člen 54(4) Uredbe (EU) 2016/1624 določa, da Evropska unija sklene sporazum o statusu z zadevno tretjo državo. Zato priloženi sporazum z Republiko Albanijo spada v izključno pristojnost Evropske unije. </w:t>
      </w:r>
    </w:p>
    <w:p>
      <w:pPr>
        <w:pStyle w:val="ManualHeading2"/>
        <w:rPr>
          <w:rFonts w:eastAsia="Arial Unicode MS"/>
          <w:noProof/>
          <w:u w:color="000000"/>
          <w:bdr w:val="nil"/>
        </w:rPr>
      </w:pPr>
      <w:r>
        <w:rPr>
          <w:noProof/>
        </w:rPr>
        <w:t>•</w:t>
      </w:r>
      <w:r>
        <w:rPr>
          <w:noProof/>
        </w:rPr>
        <w:tab/>
        <w:t xml:space="preserve">Subsidiarnost (za neizključno pristojnost) </w:t>
      </w:r>
    </w:p>
    <w:p>
      <w:pPr>
        <w:pBdr>
          <w:top w:val="nil"/>
          <w:left w:val="nil"/>
          <w:bottom w:val="nil"/>
          <w:right w:val="nil"/>
          <w:between w:val="nil"/>
          <w:bar w:val="nil"/>
        </w:pBdr>
        <w:spacing w:before="0" w:after="240"/>
        <w:rPr>
          <w:noProof/>
        </w:rPr>
      </w:pPr>
      <w:r>
        <w:rPr>
          <w:noProof/>
        </w:rPr>
        <w:t xml:space="preserve">Ni relevantno. </w:t>
      </w:r>
    </w:p>
    <w:p>
      <w:pPr>
        <w:pStyle w:val="ManualHeading2"/>
        <w:rPr>
          <w:rFonts w:eastAsia="Arial Unicode MS"/>
          <w:noProof/>
          <w:u w:color="000000"/>
          <w:bdr w:val="nil"/>
        </w:rPr>
      </w:pPr>
      <w:r>
        <w:rPr>
          <w:noProof/>
        </w:rPr>
        <w:lastRenderedPageBreak/>
        <w:t>•</w:t>
      </w:r>
      <w:r>
        <w:rPr>
          <w:noProof/>
        </w:rPr>
        <w:tab/>
        <w:t>Sorazmernost</w:t>
      </w:r>
    </w:p>
    <w:p>
      <w:pPr>
        <w:spacing w:after="240"/>
        <w:rPr>
          <w:noProof/>
          <w:szCs w:val="24"/>
        </w:rPr>
      </w:pPr>
      <w:r>
        <w:rPr>
          <w:noProof/>
        </w:rPr>
        <w:t xml:space="preserve">Sporazum o statusu bo omogočil, da v primeru nenadnega velikega pritoka migrantov Evropska agencija za mejno in obalno stražo v Republiko Albanijo napoti skupine evropske mejne in obalne straže, kar bo nadomestilo dvostranske napotitve enot s strani držav članic. </w:t>
      </w:r>
    </w:p>
    <w:p>
      <w:pPr>
        <w:spacing w:after="240"/>
        <w:rPr>
          <w:noProof/>
          <w:szCs w:val="24"/>
        </w:rPr>
      </w:pPr>
      <w:r>
        <w:rPr>
          <w:noProof/>
        </w:rPr>
        <w:t xml:space="preserve">Potreben je torej skupni pristop za boljše upravljanje meja Republike Albanije. </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noProof/>
        </w:rPr>
      </w:pPr>
      <w:r>
        <w:rPr>
          <w:noProof/>
        </w:rPr>
        <w:t xml:space="preserve">Ta predlog je v skladu s členom 218(5) PDEU, ki določa, da Svet sprejme sklepe v zvezi z mednarodnimi sporazumi. Drug pravni akt, ki bi se lahko uporabil za dosego cilja tega predloga, ne obstaja.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ocene/preverjanja ustreznosti obstoječe zakonodaje</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rPr>
          <w:rFonts w:eastAsia="Arial Unicode MS"/>
          <w:noProof/>
          <w:u w:color="000000"/>
          <w:bdr w:val="nil"/>
        </w:rPr>
      </w:pPr>
      <w:r>
        <w:rPr>
          <w:noProof/>
        </w:rPr>
        <w:t>•</w:t>
      </w:r>
      <w:r>
        <w:rPr>
          <w:noProof/>
        </w:rPr>
        <w:tab/>
        <w:t>Ocena učinka</w:t>
      </w:r>
    </w:p>
    <w:p>
      <w:pPr>
        <w:pBdr>
          <w:top w:val="nil"/>
          <w:left w:val="nil"/>
          <w:bottom w:val="nil"/>
          <w:right w:val="nil"/>
          <w:between w:val="nil"/>
          <w:bar w:val="nil"/>
        </w:pBdr>
        <w:spacing w:before="0" w:after="240"/>
        <w:rPr>
          <w:noProof/>
          <w:szCs w:val="24"/>
        </w:rPr>
      </w:pPr>
      <w:r>
        <w:rPr>
          <w:noProof/>
        </w:rPr>
        <w:t xml:space="preserve">Za pogajanja za sporazum o statusu ni bila potrebna ocena učinka. </w:t>
      </w:r>
    </w:p>
    <w:p>
      <w:pPr>
        <w:pStyle w:val="ManualHeading2"/>
        <w:rPr>
          <w:rFonts w:eastAsia="Arial Unicode MS"/>
          <w:noProof/>
          <w:u w:color="000000"/>
          <w:bdr w:val="nil"/>
        </w:rPr>
      </w:pPr>
      <w:r>
        <w:rPr>
          <w:noProof/>
        </w:rPr>
        <w:t>•</w:t>
      </w:r>
      <w:r>
        <w:rPr>
          <w:noProof/>
        </w:rPr>
        <w:tab/>
        <w:t>Ustreznost in poenostavitev ureditve</w:t>
      </w:r>
    </w:p>
    <w:p>
      <w:pPr>
        <w:pStyle w:val="ManualHeading2"/>
        <w:ind w:left="0" w:firstLine="0"/>
        <w:rPr>
          <w:rFonts w:eastAsia="Arial Unicode MS"/>
          <w:b w:val="0"/>
          <w:noProof/>
          <w:u w:color="000000"/>
          <w:bdr w:val="nil"/>
        </w:rPr>
      </w:pPr>
      <w:r>
        <w:rPr>
          <w:b w:val="0"/>
          <w:noProof/>
        </w:rPr>
        <w:t>Ker je to nov sporazum, ni bilo mogoče izvesti ocene ali preverjanja ustreznosti obstoječih aktov.</w:t>
      </w:r>
    </w:p>
    <w:p>
      <w:pPr>
        <w:pStyle w:val="ManualHeading2"/>
        <w:ind w:left="0" w:firstLine="0"/>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after="240"/>
        <w:rPr>
          <w:noProof/>
          <w:szCs w:val="24"/>
        </w:rPr>
      </w:pPr>
      <w:r>
        <w:rPr>
          <w:noProof/>
        </w:rPr>
        <w:t>Osnutek sporazuma o statusu vsebuje določbe, ki zagotavljajo, da so zaščitene temeljne pravice oseb, na katere se nanašajo ukrepi osebja, vključenega v operacije, ki jih vodi Evropska agencija za mejno in obalno stražo.</w:t>
      </w:r>
    </w:p>
    <w:p>
      <w:pPr>
        <w:pBdr>
          <w:top w:val="nil"/>
          <w:left w:val="nil"/>
          <w:bottom w:val="nil"/>
          <w:right w:val="nil"/>
          <w:between w:val="nil"/>
          <w:bar w:val="nil"/>
        </w:pBdr>
        <w:spacing w:after="240"/>
        <w:rPr>
          <w:rFonts w:eastAsia="Arial Unicode MS"/>
          <w:noProof/>
        </w:rPr>
      </w:pPr>
      <w:r>
        <w:rPr>
          <w:noProof/>
        </w:rPr>
        <w:t xml:space="preserve">Določbe o temeljnih pravicah so podrobneje pojasnjene pod točko 5 „Drugi elementi“. </w:t>
      </w:r>
    </w:p>
    <w:p>
      <w:pPr>
        <w:pStyle w:val="ManualHeading1"/>
        <w:rPr>
          <w:noProof/>
        </w:rPr>
      </w:pPr>
      <w:r>
        <w:rPr>
          <w:noProof/>
        </w:rPr>
        <w:t>4.</w:t>
      </w:r>
      <w:r>
        <w:rPr>
          <w:noProof/>
        </w:rPr>
        <w:tab/>
        <w:t>PRORAČUNSKE POSLEDICE</w:t>
      </w:r>
    </w:p>
    <w:p>
      <w:pPr>
        <w:autoSpaceDE w:val="0"/>
        <w:autoSpaceDN w:val="0"/>
        <w:rPr>
          <w:iCs/>
          <w:noProof/>
          <w:szCs w:val="24"/>
        </w:rPr>
      </w:pPr>
      <w:r>
        <w:rPr>
          <w:noProof/>
        </w:rPr>
        <w:t>Sporazum o statusu sam po sebi nima finančnih posledic. Dejansko bodo šele s konkretno napotitvijo skupin mejnih policistov na podlagi operativnega načrta in ustreznega sporazuma o dodelitvi nepovratnih sredstev nastali stroški, ki jih nosi proračun Evropske agencije za mejno in obalno stražo. Prihodnje operacije na podlagi sporazuma o statusu se bodo financirale iz lastnih sredstev Evropske agencije za mejno in obalno stražo.</w:t>
      </w:r>
    </w:p>
    <w:p>
      <w:pPr>
        <w:autoSpaceDE w:val="0"/>
        <w:autoSpaceDN w:val="0"/>
        <w:rPr>
          <w:noProof/>
          <w:szCs w:val="24"/>
        </w:rPr>
      </w:pPr>
      <w:r>
        <w:rPr>
          <w:noProof/>
        </w:rPr>
        <w:t>V oceni finančnih posledic, priloženi k predlogu uredbe o evropski mejni in obalni straži, so odhodki Evropske agencije za mejno in obalno stražo ocenjeni na povprečno 6,090 milijona EUR na leto v obdobju 2017–2020 za okrepljeno sodelovanje s tretjimi državami (vključno z možnimi skupnimi operacijami s sosednjimi državami).</w:t>
      </w:r>
    </w:p>
    <w:p>
      <w:pPr>
        <w:pStyle w:val="ManualHeading1"/>
        <w:rPr>
          <w:noProof/>
        </w:rPr>
      </w:pPr>
      <w:r>
        <w:rPr>
          <w:noProof/>
        </w:rPr>
        <w:lastRenderedPageBreak/>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rPr>
          <w:noProof/>
          <w:szCs w:val="24"/>
        </w:rPr>
      </w:pPr>
      <w:r>
        <w:rPr>
          <w:noProof/>
        </w:rPr>
        <w:t xml:space="preserve">Komisija bo zagotovila ustrezno spremljanje izvajanja sporazuma o statusu. </w:t>
      </w:r>
    </w:p>
    <w:p>
      <w:pPr>
        <w:rPr>
          <w:noProof/>
          <w:szCs w:val="24"/>
        </w:rPr>
      </w:pPr>
      <w:r>
        <w:rPr>
          <w:noProof/>
        </w:rPr>
        <w:t xml:space="preserve">Republika Albanija ter Evropska agencija za mejno in obalno stražo bosta skupaj ocenili vsako skupno operacijo ali hitro posredovanje na mejah. </w:t>
      </w:r>
    </w:p>
    <w:p>
      <w:pPr>
        <w:spacing w:after="240"/>
        <w:rPr>
          <w:noProof/>
          <w:szCs w:val="24"/>
        </w:rPr>
      </w:pPr>
      <w:r>
        <w:rPr>
          <w:noProof/>
        </w:rPr>
        <w:t xml:space="preserve">Evropska agencija za mejno in obalno stražo, Republika Albanija in države članice, ki bodo sodelovale v posameznem ukrepu, ob koncu vsakega ukrepa sestavijo poročilo o uporabi določb sporazuma, vključno z določbami glede obdelave osebnih podatkov. </w:t>
      </w:r>
    </w:p>
    <w:p>
      <w:pPr>
        <w:pStyle w:val="ManualHeading2"/>
        <w:rPr>
          <w:rFonts w:eastAsia="Arial Unicode MS"/>
          <w:noProof/>
          <w:u w:color="000000"/>
          <w:bdr w:val="nil"/>
        </w:rPr>
      </w:pPr>
      <w:r>
        <w:rPr>
          <w:noProof/>
        </w:rPr>
        <w:t>•</w:t>
      </w:r>
      <w:r>
        <w:rPr>
          <w:noProof/>
        </w:rPr>
        <w:tab/>
        <w:t>Obrazložitveni dokumenti (za direktive)</w:t>
      </w:r>
    </w:p>
    <w:p>
      <w:pPr>
        <w:pBdr>
          <w:top w:val="nil"/>
          <w:left w:val="nil"/>
          <w:bottom w:val="nil"/>
          <w:right w:val="nil"/>
          <w:between w:val="nil"/>
          <w:bar w:val="nil"/>
        </w:pBdr>
        <w:spacing w:before="0" w:after="240"/>
        <w:rPr>
          <w:rFonts w:eastAsia="Arial Unicode MS"/>
          <w:noProof/>
        </w:rPr>
      </w:pPr>
      <w:r>
        <w:rPr>
          <w:noProof/>
        </w:rPr>
        <w:t xml:space="preserve">Ni relevantno. </w:t>
      </w:r>
    </w:p>
    <w:p>
      <w:pPr>
        <w:pStyle w:val="ManualHeading2"/>
        <w:spacing w:after="240"/>
        <w:rPr>
          <w:rFonts w:eastAsia="Arial Unicode MS"/>
          <w:noProof/>
          <w:u w:color="000000"/>
          <w:bdr w:val="nil"/>
        </w:rPr>
      </w:pPr>
      <w:r>
        <w:rPr>
          <w:noProof/>
        </w:rPr>
        <w:t>•</w:t>
      </w:r>
      <w:r>
        <w:rPr>
          <w:noProof/>
        </w:rPr>
        <w:tab/>
        <w:t>Natančnejša pojasnitev posameznih določb predloga</w:t>
      </w:r>
    </w:p>
    <w:p>
      <w:pPr>
        <w:rPr>
          <w:i/>
          <w:noProof/>
        </w:rPr>
      </w:pPr>
      <w:r>
        <w:rPr>
          <w:i/>
          <w:noProof/>
        </w:rPr>
        <w:t>Področje uporabe sporazuma</w:t>
      </w:r>
    </w:p>
    <w:p>
      <w:pPr>
        <w:rPr>
          <w:rFonts w:eastAsia="Times New Roman"/>
          <w:noProof/>
        </w:rPr>
      </w:pPr>
      <w:r>
        <w:rPr>
          <w:noProof/>
        </w:rPr>
        <w:t xml:space="preserve">Evropska agencija za mejno in obalno stražo bo lahko na podlagi tega sporazuma napotila svoje skupine z izvršilnimi pooblastili v Republiko Albanijo, kjer bodo izvajale skupne operacije in hitra posredovanja na mejah. Skupine Evropske mejne in obalne straže bodo v okviru posameznih operacij vračanja lahko pomagale Republiki Albaniji pri ugotavljanju istovetnosti oseb, ki jih je treba ponovno sprejeti v Republiko Albanijo v skladu s </w:t>
      </w:r>
      <w:hyperlink r:id="rId16">
        <w:r>
          <w:rPr>
            <w:rStyle w:val="Hyperlink"/>
            <w:noProof/>
            <w:color w:val="auto"/>
          </w:rPr>
          <w:t>Sporazumom med Evropsko skupnostjo in Republiko Albanijo o ponovnem sprejemu oseb, ki prebivajo brez dovoljenja</w:t>
        </w:r>
      </w:hyperlink>
      <w:r>
        <w:rPr>
          <w:rStyle w:val="FootnoteReference"/>
          <w:noProof/>
        </w:rPr>
        <w:footnoteReference w:id="3"/>
      </w:r>
      <w:r>
        <w:rPr>
          <w:noProof/>
        </w:rPr>
        <w:t>.</w:t>
      </w:r>
    </w:p>
    <w:p>
      <w:pPr>
        <w:spacing w:after="240"/>
        <w:rPr>
          <w:rFonts w:eastAsia="Times New Roman"/>
          <w:noProof/>
        </w:rPr>
      </w:pPr>
      <w:r>
        <w:rPr>
          <w:noProof/>
        </w:rPr>
        <w:t xml:space="preserve">Skupine evropske mejne in obalne straže se lahko napotijo na albansko ozemlje le v regije, ki mejijo na zunanje meje EU. </w:t>
      </w:r>
    </w:p>
    <w:p>
      <w:r>
        <w:rPr>
          <w:i/>
          <w:noProof/>
        </w:rPr>
        <w:t>Operativni načrt</w:t>
      </w:r>
      <w:r>
        <w:rPr>
          <w:noProof/>
        </w:rPr>
        <w:t xml:space="preserve"> </w:t>
      </w:r>
    </w:p>
    <w:p>
      <w:pPr>
        <w:rPr>
          <w:rFonts w:eastAsia="Times New Roman"/>
          <w:noProof/>
        </w:rPr>
      </w:pPr>
      <w:r>
        <w:rPr>
          <w:noProof/>
        </w:rPr>
        <w:t xml:space="preserve">Pred vsako skupno operacijo ali hitrim posredovanjem na mejah se morata Agencija in Republika Albanija dogovoriti o operativnem načrtu. Operativni načrt mora odobriti tudi država članica oziroma države članice, ki mejijo na operativno območje. </w:t>
      </w:r>
    </w:p>
    <w:p>
      <w:pPr>
        <w:spacing w:after="240"/>
        <w:rPr>
          <w:rFonts w:eastAsia="Times New Roman"/>
          <w:noProof/>
        </w:rPr>
      </w:pPr>
      <w:r>
        <w:rPr>
          <w:noProof/>
        </w:rPr>
        <w:t xml:space="preserve">V načrtu se podrobno opredelijo organizacijski in postopkovni vidiki skupne operacije ali hitrega posredovanja na mejah, vključno z opisom in oceno razmer, operativnim namenom in operativnimi cilji, operativnim konceptom, vrsto tehnične opreme, ki se uporabi, načrtom izvajanja, sodelovanjem z drugimi tretjimi državami ter drugimi agencijami in organi Unije ali mednarodnimi organizacijami, določbami glede temeljnih pravic, vključno z varstvom osebnih podatkov, usklajevalno, poveljevalno, nadzorno, komunikacijsko in poročevalno strukturo, organizacijsko ureditvijo in logistiko, ocenjevanjem ter finančnimi vidiki skupne operacije ali hitrega posredovanja na mejah. </w:t>
      </w:r>
    </w:p>
    <w:p>
      <w:pPr>
        <w:rPr>
          <w:rFonts w:eastAsia="Times New Roman"/>
          <w:i/>
          <w:noProof/>
        </w:rPr>
      </w:pPr>
      <w:r>
        <w:rPr>
          <w:i/>
          <w:noProof/>
        </w:rPr>
        <w:t>Naloge in pooblastila članov skupine</w:t>
      </w:r>
    </w:p>
    <w:p>
      <w:pPr>
        <w:rPr>
          <w:rFonts w:eastAsia="Times New Roman"/>
          <w:noProof/>
        </w:rPr>
      </w:pPr>
      <w:r>
        <w:rPr>
          <w:noProof/>
        </w:rPr>
        <w:t>Skupine so načeloma pooblaščene za opravljanje nalog in izvajanje izvršilnih pooblastil, potrebnih za nadzor meje in operacije vračanja. Spoštujejo zakone in predpise Republike Albanije.</w:t>
      </w:r>
    </w:p>
    <w:p>
      <w:pPr>
        <w:rPr>
          <w:noProof/>
        </w:rPr>
      </w:pPr>
      <w:r>
        <w:rPr>
          <w:noProof/>
        </w:rPr>
        <w:t>Skupine delujejo na ozemlju Republike Albanije le na podlagi navodil Republike Albanije in praviloma ob prisotnosti mejnih policistov ali drugega ustreznega osebja Republike Albanije. Slednja lahko izjemoma pooblasti skupine, da delujejo v njenem imenu.</w:t>
      </w:r>
    </w:p>
    <w:p>
      <w:pPr>
        <w:rPr>
          <w:rFonts w:eastAsia="Times New Roman"/>
          <w:noProof/>
        </w:rPr>
      </w:pPr>
      <w:r>
        <w:rPr>
          <w:noProof/>
        </w:rPr>
        <w:lastRenderedPageBreak/>
        <w:t>Člani skupine nosijo lastne uniforme, vidno osebno identifikacijo in na rokavu uniforme moder trak z oznakama Evropske unije in Agencije. Prav tako morajo pri sebi imeti akreditacijsko listino, da jih lahko albanski organi brez težav identificirajo.</w:t>
      </w:r>
    </w:p>
    <w:p>
      <w:pPr>
        <w:rPr>
          <w:rFonts w:eastAsia="Times New Roman"/>
          <w:noProof/>
        </w:rPr>
      </w:pPr>
      <w:r>
        <w:rPr>
          <w:noProof/>
        </w:rPr>
        <w:t xml:space="preserve">Člani skupine lahko nosijo službeno orožje, strelivo in opremo, kakor so pooblaščeni v skladu z nacionalnim pravom svoje države. Albanski organi bodo Agencijo vnaprej obvestili o dovoljenem službenem orožju, strelivu in opremi ter o ustreznem pravnem okviru in pogojih za njihovo uporabo. </w:t>
      </w:r>
    </w:p>
    <w:p>
      <w:pPr>
        <w:rPr>
          <w:rFonts w:eastAsia="Times New Roman"/>
          <w:noProof/>
        </w:rPr>
      </w:pPr>
      <w:r>
        <w:rPr>
          <w:noProof/>
        </w:rPr>
        <w:t>Člani skupine lahko uporabijo silo, vključno s službenim orožjem, strelivom in opremo, s soglasjem svoje države in albanskih organov, ob prisotnosti albanskih mejnih policistov ali drugega ustreznega osebja in v skladu z albansko zakonodajo. Albanski organi lahko pooblastijo člane skupine, da uporabijo silo tudi, kadar albanski mejni policisti niso prisotni.</w:t>
      </w:r>
    </w:p>
    <w:p>
      <w:pPr>
        <w:spacing w:after="240"/>
        <w:rPr>
          <w:rFonts w:eastAsia="Times New Roman"/>
          <w:iCs/>
          <w:noProof/>
        </w:rPr>
      </w:pPr>
      <w:r>
        <w:rPr>
          <w:noProof/>
        </w:rPr>
        <w:t xml:space="preserve">Ob upoštevanju načela nujnosti lahko albanski organi pooblastijo člane skupine za opravljanje poizvedb v podatkovnih zbirkah v skladu z albansko zakonodajo o varstvu podatkov. </w:t>
      </w:r>
    </w:p>
    <w:p>
      <w:pPr>
        <w:rPr>
          <w:i/>
          <w:noProof/>
        </w:rPr>
      </w:pPr>
      <w:r>
        <w:rPr>
          <w:i/>
          <w:noProof/>
        </w:rPr>
        <w:t>Odlog in prekinitev ukrepa</w:t>
      </w:r>
    </w:p>
    <w:p>
      <w:pPr>
        <w:spacing w:after="240"/>
        <w:rPr>
          <w:rFonts w:eastAsia="Times New Roman"/>
          <w:noProof/>
        </w:rPr>
      </w:pPr>
      <w:r>
        <w:rPr>
          <w:noProof/>
        </w:rPr>
        <w:t xml:space="preserve">Agencija ali albanski organi lahko odložijo ali prekinejo izvajanje ukrepa, če menijo, da druga pogodbenica ne spoštuje določb sporazuma ali operativnega načrta. </w:t>
      </w:r>
    </w:p>
    <w:p>
      <w:pPr>
        <w:spacing w:line="288" w:lineRule="auto"/>
        <w:rPr>
          <w:rFonts w:eastAsia="Times New Roman"/>
          <w:i/>
          <w:noProof/>
          <w:color w:val="000000"/>
          <w:szCs w:val="24"/>
        </w:rPr>
      </w:pPr>
      <w:r>
        <w:rPr>
          <w:i/>
          <w:noProof/>
          <w:color w:val="000000"/>
        </w:rPr>
        <w:t>Privilegiji in imunitete članov skupine</w:t>
      </w:r>
    </w:p>
    <w:p>
      <w:pPr>
        <w:rPr>
          <w:rFonts w:eastAsia="Times New Roman"/>
          <w:noProof/>
          <w:color w:val="000000"/>
          <w:szCs w:val="24"/>
        </w:rPr>
      </w:pPr>
      <w:r>
        <w:rPr>
          <w:noProof/>
          <w:color w:val="000000"/>
        </w:rPr>
        <w:t xml:space="preserve">Člani skupine uživajo imuniteto pred kazensko jurisdikcijo Republike Albanije za dejanja, storjena pri opravljanju uradnih dolžnosti (v službenem času). Take imunitete ne bodo uživali za dejanja, ki so jih storili zunaj opravljanja uradnih dolžnosti (zunaj službenega časa). </w:t>
      </w:r>
    </w:p>
    <w:p>
      <w:pPr>
        <w:rPr>
          <w:rFonts w:eastAsia="Times New Roman"/>
          <w:noProof/>
          <w:color w:val="000000"/>
          <w:szCs w:val="24"/>
        </w:rPr>
      </w:pPr>
      <w:r>
        <w:rPr>
          <w:noProof/>
          <w:color w:val="000000"/>
        </w:rPr>
        <w:t xml:space="preserve">V operativnem načrtu bodo natančno določeni ukrepi, ki so deležni imunitete pred kazensko jurisdikcijo Republike Albanije. </w:t>
      </w:r>
    </w:p>
    <w:p>
      <w:pPr>
        <w:rPr>
          <w:rFonts w:eastAsia="Times New Roman"/>
          <w:noProof/>
          <w:color w:val="000000"/>
          <w:szCs w:val="24"/>
        </w:rPr>
      </w:pPr>
      <w:r>
        <w:rPr>
          <w:noProof/>
          <w:color w:val="000000"/>
        </w:rPr>
        <w:t>Če je član skupine obdolžen storitve kaznivega dejanja, izvršni direktor Agencije pred začetkom postopka pred sodiščem sodišču potrdi, ali je bilo zadevno dejanje storjeno pri opravljanju uradnih dolžnosti ali ne. Izvršni direktor Agencije sprejme odločitev po natančni preučitvi morebitnih izjav, ki jih da pristojni organ države članice, ki je napotila zadevnega mejnega policista ali drugo ustrezno osebje, in pristojni albanski organi. Potrditev s strani izvršnega direktorja Agencije je zavezujoča za jurisdikcijo Republike Albanije.</w:t>
      </w:r>
    </w:p>
    <w:p>
      <w:pPr>
        <w:rPr>
          <w:rFonts w:eastAsia="Times New Roman"/>
          <w:noProof/>
          <w:color w:val="000000"/>
          <w:szCs w:val="24"/>
        </w:rPr>
      </w:pPr>
      <w:r>
        <w:rPr>
          <w:noProof/>
          <w:color w:val="000000"/>
        </w:rPr>
        <w:t xml:space="preserve">Privilegiji, ki se podelijo članom skupine, in imuniteta pred kazensko jurisdikcijo Republike Albanije ne pomenijo tudi imunitete pred jurisdikcijo matične države članice. </w:t>
      </w:r>
    </w:p>
    <w:p>
      <w:pPr>
        <w:rPr>
          <w:rFonts w:eastAsia="Times New Roman"/>
          <w:noProof/>
          <w:color w:val="000000"/>
          <w:szCs w:val="24"/>
        </w:rPr>
      </w:pPr>
      <w:r>
        <w:rPr>
          <w:noProof/>
          <w:color w:val="000000"/>
        </w:rPr>
        <w:t xml:space="preserve">Podobna ureditev velja za civilno in upravno odgovornost članov skupine. </w:t>
      </w:r>
    </w:p>
    <w:p>
      <w:pPr>
        <w:rPr>
          <w:rFonts w:eastAsia="Times New Roman"/>
          <w:noProof/>
          <w:color w:val="000000"/>
          <w:szCs w:val="24"/>
        </w:rPr>
      </w:pPr>
      <w:r>
        <w:rPr>
          <w:noProof/>
          <w:color w:val="000000"/>
        </w:rPr>
        <w:t>Imuniteto članov skupin pred kazensko, civilno in upravno jurisdikcijo Republike Albanije lahko odvzame država članica, ki je napotila zadevnega mejnega policista ali drugo ustrezno osebje. Tak odvzem mora biti vedno izrecen.</w:t>
      </w:r>
    </w:p>
    <w:p>
      <w:pPr>
        <w:rPr>
          <w:rFonts w:eastAsia="Times New Roman"/>
          <w:noProof/>
          <w:color w:val="000000"/>
          <w:szCs w:val="24"/>
        </w:rPr>
      </w:pPr>
      <w:r>
        <w:rPr>
          <w:noProof/>
          <w:color w:val="000000"/>
        </w:rPr>
        <w:t xml:space="preserve">Sporazum določa mehanizem za povračilo škode. Zadevni mehanizem temelji na členu 42 Uredbe (EU) 2016/1624 o evropski mejni in obalni straži. Če je škodo povzročil član skupine v službenem času, je odgovorna Republika Albanija. Če je škodo povzročil član skupine iz sodelujoče države članice v službenem času zaradi hude malomarnosti ali namerne kršitve ali če je bilo dejanje storjeno zunaj službenega časa, lahko Republika Albanija od Agencije zahteva, da zadevna sodelujoča država članica plača odškodnino. Če je škodo povzročil član osebja Agencije, lahko Republika Albanija od Agencije zahteva plačilo odškodnine. </w:t>
      </w:r>
    </w:p>
    <w:p>
      <w:pPr>
        <w:rPr>
          <w:rFonts w:eastAsia="Times New Roman"/>
          <w:noProof/>
          <w:color w:val="000000"/>
          <w:szCs w:val="24"/>
        </w:rPr>
      </w:pPr>
      <w:r>
        <w:rPr>
          <w:noProof/>
          <w:color w:val="000000"/>
        </w:rPr>
        <w:t>Za škodo, ki v Republiki Albaniji nastane zaradi višje sile, ni odgovorna ne Republika Albanija, ne sodelujoča država članica, ne Agencija.</w:t>
      </w:r>
    </w:p>
    <w:p>
      <w:pPr>
        <w:rPr>
          <w:rFonts w:eastAsia="Times New Roman"/>
          <w:noProof/>
          <w:color w:val="000000"/>
          <w:szCs w:val="24"/>
        </w:rPr>
      </w:pPr>
      <w:r>
        <w:rPr>
          <w:noProof/>
          <w:color w:val="000000"/>
        </w:rPr>
        <w:lastRenderedPageBreak/>
        <w:t>V zvezi s člani skupine se ne smejo izvajati nobeni izvršilni ukrepi, razen v primerih, ko se zoper člane skupine začne civilni postopek, ki ni povezan z njihovimi uradnimi dolžnostmi.</w:t>
      </w:r>
    </w:p>
    <w:p>
      <w:pPr>
        <w:rPr>
          <w:rFonts w:eastAsia="Times New Roman"/>
          <w:noProof/>
          <w:color w:val="000000"/>
          <w:szCs w:val="24"/>
        </w:rPr>
      </w:pPr>
      <w:r>
        <w:rPr>
          <w:noProof/>
          <w:color w:val="000000"/>
        </w:rPr>
        <w:t>Lastnina članov skupine, ki je potrebna za opravljanje njihovih uradnih dolžnosti, ne sme biti zasežena. V civilnih postopkih za člane skupine ne veljajo nobene omejitve glede njihove osebne svobode in nobeni drugi prisilni ukrepi.</w:t>
      </w:r>
    </w:p>
    <w:p>
      <w:pPr>
        <w:rPr>
          <w:rFonts w:eastAsia="Times New Roman"/>
          <w:noProof/>
          <w:color w:val="000000"/>
          <w:szCs w:val="24"/>
        </w:rPr>
      </w:pPr>
      <w:r>
        <w:rPr>
          <w:noProof/>
          <w:color w:val="000000"/>
        </w:rPr>
        <w:t>Za člane skupine ne veljajo določbe o socialni varnosti, ki morda veljajo v Republiki Albaniji v zvezi s storitvami, opravljenimi za Agencijo. Prav tako so člani skupine v Republiki Albaniji oproščeni vseh oblik obdavčitve plač in prejemkov, ki jim jih izplačajo Agencija ali njihove države članice, kot tudi obdavčitve dohodkov, ki jih prejmejo zunaj Republike Albanije.</w:t>
      </w:r>
    </w:p>
    <w:p>
      <w:pPr>
        <w:rPr>
          <w:rFonts w:eastAsia="Times New Roman"/>
          <w:noProof/>
          <w:color w:val="000000"/>
          <w:szCs w:val="24"/>
        </w:rPr>
      </w:pPr>
      <w:r>
        <w:rPr>
          <w:noProof/>
          <w:color w:val="000000"/>
        </w:rPr>
        <w:t xml:space="preserve">Albanski organi dovolijo vnos in iznos izdelkov za osebno uporabo članov skupine in zanje odobri oprostitev plačila vseh carinskih dajatev, davkov in podobnih dajatev (z izjemo stroškov za skladiščenje in prevoz takih izdelkov ter podobne storitve, povezane z njimi). </w:t>
      </w:r>
    </w:p>
    <w:p>
      <w:pPr>
        <w:spacing w:after="0"/>
        <w:rPr>
          <w:rFonts w:eastAsia="Times New Roman"/>
          <w:noProof/>
          <w:color w:val="000000"/>
          <w:szCs w:val="24"/>
        </w:rPr>
      </w:pPr>
      <w:r>
        <w:rPr>
          <w:noProof/>
          <w:color w:val="000000"/>
        </w:rPr>
        <w:t>Osebna prtljaga članov skupine se lahko pregleda samo v primeru upravičenega suma, da vsebuje izdelke, ki ne spadajo med izdelke za osebno uporabo članov skupine, ali izdelke, katerih uvoz ali izvoz je prepovedan z zakonom Republike Albanije ali zanje veljajo njeni predpisi o karanteni. Pregled take osebne prtljage se lahko opravi samo v prisotnosti zadevnih članov skupine ali pooblaščenega predstavnika Agencije.</w:t>
      </w:r>
    </w:p>
    <w:p>
      <w:pPr>
        <w:rPr>
          <w:rFonts w:eastAsia="Times New Roman"/>
          <w:noProof/>
          <w:color w:val="000000"/>
          <w:szCs w:val="24"/>
        </w:rPr>
      </w:pPr>
      <w:r>
        <w:rPr>
          <w:noProof/>
          <w:color w:val="000000"/>
        </w:rPr>
        <w:t>Dokumenti, korespondenca in lastnina članov skupine so nedotakljivi, razen v primeru izvršilnih ukrepov. Članom skupine ni treba pričati.</w:t>
      </w:r>
    </w:p>
    <w:p>
      <w:pPr>
        <w:rPr>
          <w:i/>
          <w:noProof/>
        </w:rPr>
      </w:pPr>
      <w:r>
        <w:rPr>
          <w:i/>
          <w:noProof/>
        </w:rPr>
        <w:t xml:space="preserve">Akreditacijska listina </w:t>
      </w:r>
    </w:p>
    <w:p>
      <w:pPr>
        <w:spacing w:after="240"/>
        <w:rPr>
          <w:rFonts w:eastAsia="Times New Roman"/>
          <w:noProof/>
          <w:color w:val="000000"/>
          <w:szCs w:val="24"/>
        </w:rPr>
      </w:pPr>
      <w:r>
        <w:rPr>
          <w:noProof/>
          <w:color w:val="000000"/>
        </w:rPr>
        <w:t>Agencija v sodelovanju z Republiko Albanijo članom skupine izda akreditacijsko listino za namene identifikacije pred nacionalnimi organi Republike Albanije, ki je dokaz o pravicah imetnika za opravljanje nalog in izvajanje pooblastil, podeljenih na podlagi tega sporazuma ter v operativnem načrtu. Z akreditacijsko listino skupaj z veljavno potno listino sme član skupine vstopiti v Republiko Albanijo, ne da bi za to potreboval vizum ali predhodno dovoljenje.</w:t>
      </w:r>
    </w:p>
    <w:p>
      <w:pPr>
        <w:rPr>
          <w:rFonts w:eastAsia="Times New Roman"/>
          <w:i/>
          <w:noProof/>
          <w:color w:val="000000"/>
          <w:szCs w:val="24"/>
        </w:rPr>
      </w:pPr>
      <w:r>
        <w:rPr>
          <w:i/>
          <w:noProof/>
          <w:color w:val="000000"/>
        </w:rPr>
        <w:t>Temeljne pravice</w:t>
      </w:r>
    </w:p>
    <w:p>
      <w:pPr>
        <w:rPr>
          <w:rFonts w:eastAsia="Times New Roman"/>
          <w:noProof/>
          <w:color w:val="000000"/>
          <w:szCs w:val="24"/>
        </w:rPr>
      </w:pPr>
      <w:r>
        <w:rPr>
          <w:noProof/>
          <w:color w:val="000000"/>
        </w:rPr>
        <w:t>Člani skupine pri opravljanju svojih nalog ter izvajanju svojih pooblastil v celoti spoštujejo temeljne pravice in svoboščine, vključno glede dostopa do azilnih postopkov, človekovega dostojanstva in prepovedi mučenja ter nečloveškega ali ponižujočega ravnanja, pravice do svobode, načela nevračanja in prepovedi kolektivnega izgona, otrokovih pravic ter pravice do spoštovanja zasebnega in družinskega življenja. Pri tem ne diskriminirajo samovoljno oseb na nobeni podlagi, vključno s spolom, rasnim ali etničnim poreklom, vero ali prepričanjem, invalidnostjo, starostjo, spolno usmerjenostjo ali spolno identiteto. Vsi ukrepi, ki posegajo v te temeljne pravice in svoboščine, so sorazmerni s cilji navedenih ukrepov ter spoštujejo bistvo teh temeljnih pravic in svoboščin.</w:t>
      </w:r>
    </w:p>
    <w:p>
      <w:pPr>
        <w:spacing w:after="240"/>
        <w:rPr>
          <w:rFonts w:eastAsia="Times New Roman"/>
          <w:noProof/>
          <w:color w:val="000000"/>
          <w:szCs w:val="24"/>
        </w:rPr>
      </w:pPr>
      <w:r>
        <w:rPr>
          <w:noProof/>
          <w:color w:val="000000"/>
        </w:rPr>
        <w:t xml:space="preserve">Vsaka pogodbenica mora imeti vzpostavljen pritožbeni mehanizem za obravnavo domnevnih kršitev temeljnih pravic s strani svojega osebja. Agencija je to obveznost izpolnila z vzpostavitvijo pritožbenega mehanizma iz člena 72 Uredbe (EU) 2016/1624 o evropski mejni in obalni straži. Takšne domnevne kršitve bi lahko obravnaval albanski varuh človekovih pravic, razen če se albanski organi odločijo za vzpostavitev mehanizma, ki bo posebej zadolžen za obravnavanje pritožb, vloženih na podlagi tega sporazuma.  </w:t>
      </w:r>
    </w:p>
    <w:p>
      <w:pPr>
        <w:rPr>
          <w:rFonts w:eastAsia="Times New Roman"/>
          <w:i/>
          <w:noProof/>
          <w:color w:val="000000"/>
          <w:szCs w:val="24"/>
        </w:rPr>
      </w:pPr>
      <w:r>
        <w:rPr>
          <w:i/>
          <w:noProof/>
          <w:color w:val="000000"/>
        </w:rPr>
        <w:t>Obdelava osebnih podatkov</w:t>
      </w:r>
    </w:p>
    <w:p>
      <w:pPr>
        <w:rPr>
          <w:rFonts w:eastAsia="Times New Roman"/>
          <w:i/>
          <w:noProof/>
          <w:color w:val="000000"/>
          <w:szCs w:val="24"/>
        </w:rPr>
      </w:pPr>
      <w:r>
        <w:rPr>
          <w:noProof/>
          <w:color w:val="000000"/>
        </w:rPr>
        <w:lastRenderedPageBreak/>
        <w:t xml:space="preserve">Osebne podatke po potrebi obdelujejo člani skupine v skladu v skladu s pravili, ki se uporabljajo za Agencijo in države članice EU. Za obdelavo osebnih podatkov s strani albanskih organov velja albanska zakonodaja. </w:t>
      </w:r>
    </w:p>
    <w:p>
      <w:pPr>
        <w:spacing w:after="240"/>
        <w:rPr>
          <w:rFonts w:eastAsia="Times New Roman"/>
          <w:i/>
          <w:noProof/>
          <w:color w:val="000000"/>
          <w:szCs w:val="24"/>
        </w:rPr>
      </w:pPr>
      <w:r>
        <w:rPr>
          <w:noProof/>
          <w:color w:val="000000"/>
        </w:rPr>
        <w:t>Agencija, sodelujoče države članice in albanski organi ob koncu vsakega ukrepa pripravijo skupno poročilo o obdelavi osebnih podatkov s strani članov skupine. To poročilo se pošlje uradniku za temeljne pravice in uradni osebi za varstvo podatkov Agencije. Ti osebi poročata izvršnemu direktorju Agencije.</w:t>
      </w:r>
    </w:p>
    <w:p>
      <w:pPr>
        <w:rPr>
          <w:rFonts w:eastAsia="Times New Roman"/>
          <w:i/>
          <w:noProof/>
          <w:color w:val="000000"/>
          <w:szCs w:val="24"/>
        </w:rPr>
      </w:pPr>
      <w:r>
        <w:rPr>
          <w:i/>
          <w:noProof/>
          <w:color w:val="000000"/>
        </w:rPr>
        <w:t>Pristojni organi za izvajanje Sporazuma</w:t>
      </w:r>
    </w:p>
    <w:p>
      <w:pPr>
        <w:spacing w:after="240"/>
        <w:rPr>
          <w:rFonts w:eastAsia="Times New Roman"/>
          <w:b/>
          <w:noProof/>
          <w:color w:val="000000"/>
          <w:szCs w:val="24"/>
        </w:rPr>
      </w:pPr>
      <w:r>
        <w:rPr>
          <w:noProof/>
          <w:color w:val="000000"/>
        </w:rPr>
        <w:t>Za Republiko Albanijo je pristojni organ za izvajanje tega sporazuma ministrstvo za notranje zadeve, za Evropsko unijo pa Evropska agencija za mejno in obalno stražo.</w:t>
      </w:r>
    </w:p>
    <w:p>
      <w:pPr>
        <w:rPr>
          <w:rFonts w:eastAsia="Times New Roman"/>
          <w:i/>
          <w:noProof/>
          <w:color w:val="000000"/>
          <w:szCs w:val="24"/>
        </w:rPr>
      </w:pPr>
      <w:r>
        <w:rPr>
          <w:i/>
          <w:noProof/>
          <w:color w:val="000000"/>
        </w:rPr>
        <w:t>Spori in razlaga</w:t>
      </w:r>
    </w:p>
    <w:p>
      <w:pPr>
        <w:spacing w:before="0"/>
        <w:rPr>
          <w:rFonts w:eastAsia="Times New Roman"/>
          <w:noProof/>
          <w:color w:val="000000"/>
          <w:szCs w:val="24"/>
        </w:rPr>
      </w:pPr>
      <w:r>
        <w:rPr>
          <w:noProof/>
          <w:color w:val="000000"/>
        </w:rPr>
        <w:t xml:space="preserve">Vsa vprašanja v zvezi z uporabo tega sporazuma skupaj obravnavajo predstavniki albanskih pristojnih organov in predstavniki Agencije. Slednja se posvetuje z državo članico ali državami članicami, ki mejijo na Republiko Albanijo. </w:t>
      </w:r>
    </w:p>
    <w:p>
      <w:pPr>
        <w:spacing w:before="0"/>
        <w:rPr>
          <w:rFonts w:eastAsia="Times New Roman"/>
          <w:noProof/>
          <w:color w:val="000000"/>
          <w:szCs w:val="24"/>
        </w:rPr>
      </w:pPr>
      <w:r>
        <w:rPr>
          <w:noProof/>
          <w:color w:val="000000"/>
        </w:rPr>
        <w:t>Če sporov v zvezi z razlago ali uporabo tega sporazuma ni mogoče rešiti prej, se rešujejo izključno s pogajanji med Republiko Albanijo in Evropsko komisijo, ki se po potrebi posvetuje s katero koli državo članico, ki meji na Republiko Albanijo.</w:t>
      </w:r>
    </w:p>
    <w:p>
      <w:pPr>
        <w:spacing w:after="240" w:line="360" w:lineRule="auto"/>
        <w:jc w:val="center"/>
        <w:rPr>
          <w:rFonts w:eastAsia="Times New Roman"/>
          <w:noProof/>
          <w:color w:val="000000"/>
          <w:szCs w:val="24"/>
        </w:rPr>
      </w:pPr>
    </w:p>
    <w:p>
      <w:pPr>
        <w:spacing w:after="240" w:line="360" w:lineRule="auto"/>
        <w:jc w:val="center"/>
        <w:rPr>
          <w:rFonts w:eastAsia="Times New Roman"/>
          <w:noProof/>
          <w:color w:val="000000"/>
          <w:szCs w:val="24"/>
        </w:rPr>
      </w:pP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2018/0242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podpisu, v imenu Unije, sporazuma o statusu med Evropsko unijo in Republiko Albanijo glede ukrepov, ki jih izvaja Evropska agencija za mejno in obalno stražo v Republiki Albaniji </w:t>
      </w:r>
    </w:p>
    <w:p>
      <w:pPr>
        <w:pStyle w:val="Institutionquiagit"/>
        <w:rPr>
          <w:noProof/>
        </w:rPr>
      </w:pPr>
      <w:r>
        <w:rPr>
          <w:noProof/>
        </w:rPr>
        <w:t>SVET EVROPSKE UNIJE JE –</w:t>
      </w:r>
    </w:p>
    <w:p>
      <w:pPr>
        <w:rPr>
          <w:noProof/>
        </w:rPr>
      </w:pPr>
      <w:r>
        <w:rPr>
          <w:noProof/>
        </w:rPr>
        <w:t>ob upoštevanju Pogodbe o delovanju Evropske unije ter zlasti člena 77(2)(b) in (d) ter člena 79(2)(c) v povezavi s členom 218(5)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V skladu s členom 54(4) Uredbe (EU) 2016/1624 Unija v primerih, ko je predvideno, da bodo skupine evropske mejne in obalne straže napotene v tretjo državo zaradi izvajanja ukrepov, pri katerih bodo člani skupin imeli izvršilna pooblastila, ali kadar izvajanje drugih ukrepov v tretji državi zahteva takšno pooblastilo, z zadevno tretjo državo sklene sporazum o statusu.</w:t>
      </w:r>
    </w:p>
    <w:p>
      <w:pPr>
        <w:pStyle w:val="ManualConsidrant"/>
        <w:rPr>
          <w:noProof/>
        </w:rPr>
      </w:pPr>
      <w:r>
        <w:t>(2)</w:t>
      </w:r>
      <w:r>
        <w:tab/>
      </w:r>
      <w:r>
        <w:rPr>
          <w:noProof/>
        </w:rPr>
        <w:t xml:space="preserve">Svet je 16. oktobra 2017 pooblastil Komisijo, da začne pogajanja z Republiko Albanijo za sporazum o statusu glede ukrepov, ki jih izvaja Evropska agencija za mejno in obalno stražo v Republiki Albaniji. </w:t>
      </w:r>
    </w:p>
    <w:p>
      <w:pPr>
        <w:pStyle w:val="ManualConsidrant"/>
        <w:rPr>
          <w:noProof/>
        </w:rPr>
      </w:pPr>
      <w:r>
        <w:t>(3)</w:t>
      </w:r>
      <w:r>
        <w:tab/>
      </w:r>
      <w:r>
        <w:rPr>
          <w:noProof/>
        </w:rPr>
        <w:t>Pogajanja za sporazum o statusu so se začela 13. decembra 2017 in se uspešno zaključila s parafiranjem sporazuma 12. februarja 2018.</w:t>
      </w:r>
    </w:p>
    <w:p>
      <w:pPr>
        <w:pStyle w:val="ManualConsidrant"/>
        <w:rPr>
          <w:noProof/>
        </w:rPr>
      </w:pPr>
      <w:r>
        <w:t>(4)</w:t>
      </w:r>
      <w:r>
        <w:tab/>
      </w:r>
      <w:r>
        <w:rPr>
          <w:noProof/>
        </w:rPr>
        <w:t>Ta sklep predstavlja razvoj določb schengenskega pravnega reda, pri katerih Združeno kraljestvo ne sodeluje v skladu s Sklepom Sveta 2000/365/ES</w:t>
      </w:r>
      <w:r>
        <w:rPr>
          <w:rStyle w:val="FootnoteReference"/>
          <w:noProof/>
          <w:sz w:val="23"/>
        </w:rPr>
        <w:footnoteReference w:id="4"/>
      </w:r>
      <w:r>
        <w:rPr>
          <w:noProof/>
        </w:rPr>
        <w:t xml:space="preserve">; Združeno kraljestvo torej ne sodeluje pri sprejetju tega sklepa, ki zato zanj ni zavezujoč in se v njem ne uporablja. </w:t>
      </w:r>
    </w:p>
    <w:p>
      <w:pPr>
        <w:pStyle w:val="ManualConsidrant"/>
        <w:rPr>
          <w:noProof/>
        </w:rPr>
      </w:pPr>
      <w:r>
        <w:t>(5)</w:t>
      </w:r>
      <w:r>
        <w:tab/>
      </w:r>
      <w:r>
        <w:rPr>
          <w:noProof/>
        </w:rPr>
        <w:t>Ta sklep predstavlja razvoj določb schengenskega pravnega reda, pri katerih Irska ne sodeluje v skladu s Sklepom Sveta 2002/192/ES</w:t>
      </w:r>
      <w:r>
        <w:rPr>
          <w:rStyle w:val="FootnoteReference"/>
          <w:noProof/>
          <w:sz w:val="23"/>
        </w:rPr>
        <w:footnoteReference w:id="5"/>
      </w:r>
      <w:r>
        <w:rPr>
          <w:noProof/>
        </w:rPr>
        <w:t>; Irska torej ne sodeluje pri sprejetju tega sklepa, ki zato zanjo ni zavezujoč in se v njej ne uporablja.</w:t>
      </w:r>
    </w:p>
    <w:p>
      <w:pPr>
        <w:pStyle w:val="ManualConsidrant"/>
        <w:rPr>
          <w:noProof/>
        </w:rPr>
      </w:pPr>
      <w:r>
        <w:t>(6)</w:t>
      </w:r>
      <w:r>
        <w:tab/>
      </w:r>
      <w:r>
        <w:rPr>
          <w:noProof/>
        </w:rPr>
        <w:t>V skladu s členoma 1 in 2 Protokola št. 22 o stališču Danske, ki je priložen Pogodbi o Evropski uniji in Pogodbi o delovanju Evropske unije, Danska ne sodeluje pri sprejetju tega sklepa, ki zato zanjo ni zavezujoč in se v njej ne uporablja.</w:t>
      </w:r>
    </w:p>
    <w:p>
      <w:pPr>
        <w:pStyle w:val="ManualConsidrant"/>
        <w:rPr>
          <w:noProof/>
        </w:rPr>
      </w:pPr>
      <w:r>
        <w:t>(7)</w:t>
      </w:r>
      <w:r>
        <w:tab/>
      </w:r>
      <w:r>
        <w:rPr>
          <w:noProof/>
        </w:rPr>
        <w:t>V imenu Unije bi bilo treba podpisati sporazum o statusu in odobriti izjavo, ki je priložena Sporazumu, s pridržkom poznejše sklenitve Sporazuma ‒</w:t>
      </w:r>
    </w:p>
    <w:p>
      <w:pPr>
        <w:pStyle w:val="Formuledadoption"/>
        <w:rPr>
          <w:noProof/>
        </w:rPr>
      </w:pPr>
      <w:r>
        <w:rPr>
          <w:noProof/>
        </w:rPr>
        <w:lastRenderedPageBreak/>
        <w:t xml:space="preserve">SPREJEL NASLEDNJI SKLEP: </w:t>
      </w:r>
    </w:p>
    <w:p>
      <w:pPr>
        <w:pStyle w:val="Titrearticle"/>
        <w:rPr>
          <w:noProof/>
        </w:rPr>
      </w:pPr>
      <w:r>
        <w:rPr>
          <w:noProof/>
        </w:rPr>
        <w:t>Člen 1</w:t>
      </w:r>
    </w:p>
    <w:p>
      <w:pPr>
        <w:rPr>
          <w:noProof/>
        </w:rPr>
      </w:pPr>
      <w:r>
        <w:rPr>
          <w:noProof/>
        </w:rPr>
        <w:t>Podpis, v imenu Unije, sporazuma o statusu med Evropsko unijo in Republiko Albanijo glede ukrepov, ki jih izvaja Evropska agencija za mejno in obalno stražo v Republiki Albaniji, se odobri s pridržkom sklenitve navedenega sporazuma.</w:t>
      </w:r>
    </w:p>
    <w:p>
      <w:pPr>
        <w:rPr>
          <w:noProof/>
        </w:rPr>
      </w:pPr>
      <w:r>
        <w:rPr>
          <w:noProof/>
        </w:rPr>
        <w:t xml:space="preserve">Besedilo sporazuma je priloženo temu sklepu. </w:t>
      </w:r>
    </w:p>
    <w:p>
      <w:pPr>
        <w:pStyle w:val="Titrearticle"/>
        <w:keepNext w:val="0"/>
      </w:pPr>
      <w:r>
        <w:rPr>
          <w:noProof/>
        </w:rPr>
        <w:t>Člen 2</w:t>
      </w:r>
    </w:p>
    <w:p>
      <w:pPr>
        <w:rPr>
          <w:noProof/>
        </w:rPr>
      </w:pPr>
      <w:r>
        <w:rPr>
          <w:noProof/>
        </w:rPr>
        <w:t xml:space="preserve">Izjava, priložena temu sklepu, se odobri v imenu Unije. </w:t>
      </w:r>
    </w:p>
    <w:p>
      <w:pPr>
        <w:pStyle w:val="Titrearticle"/>
        <w:keepNext w:val="0"/>
      </w:pPr>
      <w:r>
        <w:rPr>
          <w:noProof/>
        </w:rPr>
        <w:t xml:space="preserve">Člen 3 </w:t>
      </w:r>
    </w:p>
    <w:p>
      <w:pPr>
        <w:rPr>
          <w:noProof/>
        </w:rPr>
      </w:pPr>
      <w:r>
        <w:rPr>
          <w:noProof/>
        </w:rPr>
        <w:t>Generalni sekretariat Sveta pripravi pooblastilo za podpis sporazuma, s pridržkom njegove sklenitve za osebe, ki jih določi pogajalec sporazuma.</w:t>
      </w:r>
    </w:p>
    <w:p>
      <w:pPr>
        <w:pStyle w:val="Titrearticle"/>
        <w:rPr>
          <w:noProof/>
        </w:rPr>
      </w:pPr>
      <w:r>
        <w:rPr>
          <w:noProof/>
        </w:rPr>
        <w:t>Člen 4</w:t>
      </w:r>
    </w:p>
    <w:p>
      <w:pPr>
        <w:keepLines/>
        <w:rPr>
          <w:noProof/>
        </w:rPr>
      </w:pPr>
      <w:r>
        <w:rPr>
          <w:noProof/>
        </w:rPr>
        <w:t xml:space="preserve">Ta sklep začne veljati na dan sprejetja. </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251, 16.9.2016, str. 1.</w:t>
      </w:r>
    </w:p>
  </w:footnote>
  <w:footnote w:id="2">
    <w:p>
      <w:pPr>
        <w:pStyle w:val="FootnoteText"/>
        <w:ind w:left="709" w:hanging="709"/>
        <w:rPr>
          <w:rFonts w:ascii="Calibri" w:hAnsi="Calibri"/>
        </w:rPr>
      </w:pPr>
      <w:r>
        <w:rPr>
          <w:rStyle w:val="FootnoteReference"/>
        </w:rPr>
        <w:t>*</w:t>
      </w:r>
      <w:r>
        <w:t xml:space="preserve"> </w:t>
      </w:r>
      <w:r>
        <w:tab/>
        <w:t>To poimenovanje ne posega v stališča glede statusa ter je v skladu z RVSZN 1244/1999 in mnenjem Meddržavnega sodišča o razglasitvi neodvisnosti Kosova.</w:t>
      </w:r>
    </w:p>
  </w:footnote>
  <w:footnote w:id="3">
    <w:p>
      <w:pPr>
        <w:pStyle w:val="FootnoteText"/>
      </w:pPr>
      <w:r>
        <w:rPr>
          <w:rStyle w:val="FootnoteReference"/>
        </w:rPr>
        <w:footnoteRef/>
      </w:r>
      <w:r>
        <w:tab/>
        <w:t>UL L 124, 17.5.2005, str. 22.</w:t>
      </w:r>
    </w:p>
  </w:footnote>
  <w:footnote w:id="4">
    <w:p>
      <w:pPr>
        <w:pStyle w:val="FootnoteText"/>
      </w:pPr>
      <w:r>
        <w:rPr>
          <w:rStyle w:val="FootnoteReference"/>
        </w:rPr>
        <w:footnoteRef/>
      </w:r>
      <w:r>
        <w:tab/>
        <w:t>Sklep Sveta 2000/365/ES z dne 29. maja 2000 o prošnji Združenega kraljestva Velike Britanije in Severne Irske za sodelovanje pri izvajanju nekaterih določb schengenskega pravnega reda (UL L 131, 1.6.2000, str. 43).</w:t>
      </w:r>
    </w:p>
  </w:footnote>
  <w:footnote w:id="5">
    <w:p>
      <w:pPr>
        <w:pStyle w:val="FootnoteText"/>
      </w:pPr>
      <w:r>
        <w:rPr>
          <w:rStyle w:val="FootnoteReference"/>
        </w:rPr>
        <w:footnoteRef/>
      </w:r>
      <w:r>
        <w:tab/>
        <w:t>Sklep Sveta 2002/192/ES z dne 28. februarja 2002 o prošnji Irske, da sodeluje pri izvajanju nekaterih določb schengenskega pravnega reda (UL L 64, 7.3.2002, str.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C490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D008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6AC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70A4E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26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F034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6A9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84EA93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1 10:46:25"/>
    <w:docVar w:name="DQCResult_Distribution" w:val="0;1"/>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5890789-6D4B-40C6-9B7A-A76A413E6DB8"/>
    <w:docVar w:name="LW_COVERPAGE_TYPE" w:val="1"/>
    <w:docVar w:name="LW_CROSSREFERENCE" w:val="&lt;UNUSED&gt;"/>
    <w:docVar w:name="LW_DocType" w:val="COM"/>
    <w:docVar w:name="LW_EMISSION" w:val="13.6.2018"/>
    <w:docVar w:name="LW_EMISSION_ISODATE" w:val="2018-06-13"/>
    <w:docVar w:name="LW_EMISSION_LOCATION" w:val="BRX"/>
    <w:docVar w:name="LW_EMISSION_PREFIX" w:val="Bruselj,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42"/>
    <w:docVar w:name="LW_REF.II.NEW.CP_YEAR" w:val="2018"/>
    <w:docVar w:name="LW_REF.INST.NEW" w:val="COM"/>
    <w:docVar w:name="LW_REF.INST.NEW_ADOPTED" w:val="final"/>
    <w:docVar w:name="LW_REF.INST.NEW_TEXT" w:val="(2018)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odpisu, v imenu Unije, sporazuma o statusu med Evropsko unijo in Republiko Albanijo glede ukrepov, ki jih izvaja Evropska agencija za mejno in obalno stra\u382?o v Republiki Albaniji "/>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307">
      <w:bodyDiv w:val="1"/>
      <w:marLeft w:val="0"/>
      <w:marRight w:val="0"/>
      <w:marTop w:val="0"/>
      <w:marBottom w:val="0"/>
      <w:divBdr>
        <w:top w:val="none" w:sz="0" w:space="0" w:color="auto"/>
        <w:left w:val="none" w:sz="0" w:space="0" w:color="auto"/>
        <w:bottom w:val="none" w:sz="0" w:space="0" w:color="auto"/>
        <w:right w:val="none" w:sz="0" w:space="0" w:color="auto"/>
      </w:divBdr>
    </w:div>
    <w:div w:id="1168207489">
      <w:bodyDiv w:val="1"/>
      <w:marLeft w:val="0"/>
      <w:marRight w:val="0"/>
      <w:marTop w:val="0"/>
      <w:marBottom w:val="0"/>
      <w:divBdr>
        <w:top w:val="none" w:sz="0" w:space="0" w:color="auto"/>
        <w:left w:val="none" w:sz="0" w:space="0" w:color="auto"/>
        <w:bottom w:val="none" w:sz="0" w:space="0" w:color="auto"/>
        <w:right w:val="none" w:sz="0" w:space="0" w:color="auto"/>
      </w:divBdr>
    </w:div>
    <w:div w:id="2016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ur-lex.europa.eu/legal-content/SL/TXT/?qid=1464195285121&amp;uri=CELEX:22005A0517(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0340-238A-4905-BD34-878112CF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3166</Words>
  <Characters>18717</Characters>
  <Application>Microsoft Office Word</Application>
  <DocSecurity>0</DocSecurity>
  <Lines>317</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2018-04-16T11:35:00Z</cp:lastPrinted>
  <dcterms:created xsi:type="dcterms:W3CDTF">2018-05-31T14:09:00Z</dcterms:created>
  <dcterms:modified xsi:type="dcterms:W3CDTF">2018-06-11T08:46:00Z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