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4C6D2087-FFE5-40DC-97CF-705E08B327C6" style="width:450.75pt;height:38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PRILOG I. </w:t>
      </w:r>
      <w:r>
        <w:rPr>
          <w:noProof/>
        </w:rPr>
        <w:br/>
        <w:t>Izračun prosječnih specifičnih emisija, prosječnih ciljanih vrijednosti specifičnih emisija i prekomjernih emisija</w:t>
      </w:r>
    </w:p>
    <w:p>
      <w:pPr>
        <w:pStyle w:val="Heading1"/>
        <w:numPr>
          <w:ilvl w:val="0"/>
          <w:numId w:val="9"/>
        </w:numPr>
        <w:rPr>
          <w:noProof/>
        </w:rPr>
      </w:pPr>
      <w:r>
        <w:rPr>
          <w:noProof/>
        </w:rPr>
        <w:t>PODSKUPINE VOZILA</w:t>
      </w:r>
    </w:p>
    <w:p>
      <w:pPr>
        <w:ind w:left="850"/>
        <w:rPr>
          <w:noProof/>
        </w:rPr>
      </w:pPr>
      <w:r>
        <w:rPr>
          <w:noProof/>
        </w:rPr>
        <w:t>Svako novo teško vozilo uvrštava se u jednu od podskupina utvrđenih u tablici 1. u skladu navedenim uvjetima.</w:t>
      </w:r>
    </w:p>
    <w:p>
      <w:pPr>
        <w:ind w:left="850"/>
        <w:rPr>
          <w:b/>
          <w:noProof/>
        </w:rPr>
      </w:pPr>
      <w:r>
        <w:rPr>
          <w:b/>
          <w:noProof/>
        </w:rPr>
        <w:t>Tablica 1 – podskupine vozila (sg)</w:t>
      </w:r>
    </w:p>
    <w:tbl>
      <w:tblPr>
        <w:tblStyle w:val="TableGrid"/>
        <w:tblW w:w="6913" w:type="dxa"/>
        <w:tblInd w:w="850" w:type="dxa"/>
        <w:tblLayout w:type="fixed"/>
        <w:tblLook w:val="04A0" w:firstRow="1" w:lastRow="0" w:firstColumn="1" w:lastColumn="0" w:noHBand="0" w:noVBand="1"/>
      </w:tblPr>
      <w:tblGrid>
        <w:gridCol w:w="2377"/>
        <w:gridCol w:w="1559"/>
        <w:gridCol w:w="1559"/>
        <w:gridCol w:w="1418"/>
      </w:tblGrid>
      <w:tr>
        <w:tc>
          <w:tcPr>
            <w:tcW w:w="2377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Teška vozila </w:t>
            </w:r>
          </w:p>
        </w:tc>
        <w:tc>
          <w:tcPr>
            <w:tcW w:w="1559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Vrsta kabine</w:t>
            </w:r>
          </w:p>
        </w:tc>
        <w:tc>
          <w:tcPr>
            <w:tcW w:w="1559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Snaga motora</w:t>
            </w:r>
          </w:p>
        </w:tc>
        <w:tc>
          <w:tcPr>
            <w:tcW w:w="1418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Podskupina vozila (sg)</w:t>
            </w:r>
          </w:p>
        </w:tc>
      </w:tr>
      <w:tr>
        <w:tc>
          <w:tcPr>
            <w:tcW w:w="2377" w:type="dxa"/>
            <w:vMerge w:val="restart"/>
          </w:tcPr>
          <w:p>
            <w:pPr>
              <w:rPr>
                <w:noProof/>
              </w:rPr>
            </w:pPr>
            <w:r>
              <w:rPr>
                <w:noProof/>
              </w:rPr>
              <w:t>Kamioni s nadogradnjom s osovinskom konfiguracijom 4x2 i najvećom tehnički dopuštenom masom opterećenog vozila iznad 16 tona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Sve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&lt;170 kW</w:t>
            </w:r>
          </w:p>
        </w:tc>
        <w:tc>
          <w:tcPr>
            <w:tcW w:w="1418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4-UD</w:t>
            </w:r>
          </w:p>
          <w:p>
            <w:pPr>
              <w:rPr>
                <w:b/>
                <w:noProof/>
              </w:rPr>
            </w:pPr>
          </w:p>
        </w:tc>
      </w:tr>
      <w:tr>
        <w:tc>
          <w:tcPr>
            <w:tcW w:w="2377" w:type="dxa"/>
            <w:vMerge/>
          </w:tcPr>
          <w:p>
            <w:pPr>
              <w:rPr>
                <w:noProof/>
              </w:rPr>
            </w:pPr>
          </w:p>
        </w:tc>
        <w:tc>
          <w:tcPr>
            <w:tcW w:w="1559" w:type="dxa"/>
          </w:tcPr>
          <w:p>
            <w:pPr>
              <w:rPr>
                <w:noProof/>
                <w:vertAlign w:val="superscript"/>
              </w:rPr>
            </w:pPr>
            <w:r>
              <w:rPr>
                <w:noProof/>
              </w:rPr>
              <w:t>Skraćena kabina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≥ 170 kW</w:t>
            </w:r>
          </w:p>
        </w:tc>
        <w:tc>
          <w:tcPr>
            <w:tcW w:w="1418" w:type="dxa"/>
            <w:vMerge w:val="restart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4-RD</w:t>
            </w:r>
          </w:p>
        </w:tc>
      </w:tr>
      <w:tr>
        <w:tc>
          <w:tcPr>
            <w:tcW w:w="2377" w:type="dxa"/>
            <w:vMerge/>
          </w:tcPr>
          <w:p>
            <w:pPr>
              <w:rPr>
                <w:noProof/>
              </w:rPr>
            </w:pPr>
          </w:p>
        </w:tc>
        <w:tc>
          <w:tcPr>
            <w:tcW w:w="1559" w:type="dxa"/>
          </w:tcPr>
          <w:p>
            <w:pPr>
              <w:rPr>
                <w:noProof/>
                <w:vertAlign w:val="superscript"/>
              </w:rPr>
            </w:pPr>
            <w:r>
              <w:rPr>
                <w:noProof/>
              </w:rPr>
              <w:t>Produljena kabina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≥ 170 kW i &lt; 265 kW</w:t>
            </w:r>
          </w:p>
        </w:tc>
        <w:tc>
          <w:tcPr>
            <w:tcW w:w="1418" w:type="dxa"/>
            <w:vMerge/>
          </w:tcPr>
          <w:p>
            <w:pPr>
              <w:rPr>
                <w:b/>
                <w:noProof/>
              </w:rPr>
            </w:pPr>
          </w:p>
        </w:tc>
      </w:tr>
      <w:tr>
        <w:tc>
          <w:tcPr>
            <w:tcW w:w="2377" w:type="dxa"/>
            <w:vMerge/>
          </w:tcPr>
          <w:p>
            <w:pPr>
              <w:rPr>
                <w:noProof/>
              </w:rPr>
            </w:pP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Produljena kabina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≥ 265 kW</w:t>
            </w:r>
          </w:p>
        </w:tc>
        <w:tc>
          <w:tcPr>
            <w:tcW w:w="1418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4-LH</w:t>
            </w:r>
          </w:p>
        </w:tc>
      </w:tr>
      <w:tr>
        <w:tc>
          <w:tcPr>
            <w:tcW w:w="2377" w:type="dxa"/>
            <w:vMerge w:val="restart"/>
          </w:tcPr>
          <w:p>
            <w:pPr>
              <w:rPr>
                <w:noProof/>
              </w:rPr>
            </w:pPr>
            <w:r>
              <w:rPr>
                <w:noProof/>
              </w:rPr>
              <w:t>Kamioni s nadogradnjom s osovinskom konfiguracijom 6x2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Skraćena kabina</w:t>
            </w:r>
          </w:p>
        </w:tc>
        <w:tc>
          <w:tcPr>
            <w:tcW w:w="1559" w:type="dxa"/>
            <w:vMerge w:val="restart"/>
          </w:tcPr>
          <w:p>
            <w:pPr>
              <w:rPr>
                <w:noProof/>
              </w:rPr>
            </w:pPr>
            <w:r>
              <w:rPr>
                <w:noProof/>
              </w:rPr>
              <w:t>Sve</w:t>
            </w:r>
          </w:p>
        </w:tc>
        <w:tc>
          <w:tcPr>
            <w:tcW w:w="1418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9-RD</w:t>
            </w:r>
          </w:p>
        </w:tc>
      </w:tr>
      <w:tr>
        <w:tc>
          <w:tcPr>
            <w:tcW w:w="2377" w:type="dxa"/>
            <w:vMerge/>
          </w:tcPr>
          <w:p>
            <w:pPr>
              <w:rPr>
                <w:noProof/>
              </w:rPr>
            </w:pP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Produljena kabina</w:t>
            </w:r>
          </w:p>
        </w:tc>
        <w:tc>
          <w:tcPr>
            <w:tcW w:w="1559" w:type="dxa"/>
            <w:vMerge/>
          </w:tcPr>
          <w:p>
            <w:pPr>
              <w:rPr>
                <w:noProof/>
              </w:rPr>
            </w:pPr>
          </w:p>
        </w:tc>
        <w:tc>
          <w:tcPr>
            <w:tcW w:w="1418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9-LH</w:t>
            </w:r>
          </w:p>
        </w:tc>
      </w:tr>
      <w:tr>
        <w:tc>
          <w:tcPr>
            <w:tcW w:w="2377" w:type="dxa"/>
            <w:vMerge w:val="restart"/>
          </w:tcPr>
          <w:p>
            <w:pPr>
              <w:rPr>
                <w:noProof/>
              </w:rPr>
            </w:pPr>
            <w:r>
              <w:rPr>
                <w:noProof/>
              </w:rPr>
              <w:t>Tegljači s osovinskom konfiguracijom 4x2 i najvećom tehnički dopuštenom masom opterećenog vozila &gt; 16 tona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Skraćena kabina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Sve</w:t>
            </w:r>
          </w:p>
        </w:tc>
        <w:tc>
          <w:tcPr>
            <w:tcW w:w="1418" w:type="dxa"/>
            <w:vMerge w:val="restart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5-RD</w:t>
            </w:r>
          </w:p>
        </w:tc>
      </w:tr>
      <w:tr>
        <w:tc>
          <w:tcPr>
            <w:tcW w:w="2377" w:type="dxa"/>
            <w:vMerge/>
          </w:tcPr>
          <w:p>
            <w:pPr>
              <w:rPr>
                <w:noProof/>
              </w:rPr>
            </w:pP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Produljena kabina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&lt; 265 kW</w:t>
            </w:r>
          </w:p>
        </w:tc>
        <w:tc>
          <w:tcPr>
            <w:tcW w:w="1418" w:type="dxa"/>
            <w:vMerge/>
          </w:tcPr>
          <w:p>
            <w:pPr>
              <w:rPr>
                <w:b/>
                <w:noProof/>
              </w:rPr>
            </w:pPr>
          </w:p>
        </w:tc>
      </w:tr>
      <w:tr>
        <w:tc>
          <w:tcPr>
            <w:tcW w:w="2377" w:type="dxa"/>
            <w:vMerge/>
          </w:tcPr>
          <w:p>
            <w:pPr>
              <w:rPr>
                <w:noProof/>
              </w:rPr>
            </w:pP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Produljena kabina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≥ 265 kW</w:t>
            </w:r>
          </w:p>
        </w:tc>
        <w:tc>
          <w:tcPr>
            <w:tcW w:w="1418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5-LH</w:t>
            </w:r>
          </w:p>
        </w:tc>
      </w:tr>
      <w:tr>
        <w:tc>
          <w:tcPr>
            <w:tcW w:w="2377" w:type="dxa"/>
            <w:vMerge w:val="restart"/>
          </w:tcPr>
          <w:p>
            <w:pPr>
              <w:rPr>
                <w:noProof/>
              </w:rPr>
            </w:pPr>
            <w:r>
              <w:rPr>
                <w:noProof/>
              </w:rPr>
              <w:t>Tegljači s osovinskom konfiguracijom 6x2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Skraćena kabina</w:t>
            </w:r>
          </w:p>
        </w:tc>
        <w:tc>
          <w:tcPr>
            <w:tcW w:w="1559" w:type="dxa"/>
            <w:vMerge w:val="restart"/>
          </w:tcPr>
          <w:p>
            <w:pPr>
              <w:rPr>
                <w:noProof/>
              </w:rPr>
            </w:pPr>
            <w:r>
              <w:rPr>
                <w:noProof/>
              </w:rPr>
              <w:t>Sve</w:t>
            </w:r>
          </w:p>
        </w:tc>
        <w:tc>
          <w:tcPr>
            <w:tcW w:w="1418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10-RD</w:t>
            </w:r>
          </w:p>
        </w:tc>
      </w:tr>
      <w:tr>
        <w:tc>
          <w:tcPr>
            <w:tcW w:w="2377" w:type="dxa"/>
            <w:vMerge/>
          </w:tcPr>
          <w:p>
            <w:pPr>
              <w:rPr>
                <w:noProof/>
              </w:rPr>
            </w:pP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Produljena kabina</w:t>
            </w:r>
          </w:p>
        </w:tc>
        <w:tc>
          <w:tcPr>
            <w:tcW w:w="1559" w:type="dxa"/>
            <w:vMerge/>
          </w:tcPr>
          <w:p>
            <w:pPr>
              <w:rPr>
                <w:noProof/>
              </w:rPr>
            </w:pPr>
          </w:p>
        </w:tc>
        <w:tc>
          <w:tcPr>
            <w:tcW w:w="1418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10-LH</w:t>
            </w:r>
          </w:p>
        </w:tc>
      </w:tr>
    </w:tbl>
    <w:p>
      <w:pPr>
        <w:spacing w:before="0" w:after="0"/>
        <w:ind w:left="720"/>
        <w:jc w:val="left"/>
        <w:rPr>
          <w:rFonts w:ascii="Calibri" w:eastAsia="Times New Roman" w:hAnsi="Calibri"/>
          <w:noProof/>
          <w:sz w:val="22"/>
          <w:shd w:val="clear" w:color="auto" w:fill="FFFF00"/>
        </w:rPr>
      </w:pPr>
    </w:p>
    <w:p>
      <w:pPr>
        <w:ind w:left="850"/>
        <w:rPr>
          <w:noProof/>
          <w:sz w:val="22"/>
        </w:rPr>
      </w:pPr>
      <w:r>
        <w:rPr>
          <w:noProof/>
          <w:sz w:val="22"/>
        </w:rPr>
        <w:t xml:space="preserve">„Produljena kabina“ znači vrsta kabine s odjeljkom iza vozačeva sjedala namijenjenim za spavanje kako je deklarirano u skladu s Uredbom (EU) br. …/2018 [HDV M&amp;R]. </w:t>
      </w:r>
    </w:p>
    <w:p>
      <w:pPr>
        <w:ind w:left="850"/>
        <w:rPr>
          <w:noProof/>
          <w:sz w:val="22"/>
        </w:rPr>
      </w:pPr>
      <w:r>
        <w:rPr>
          <w:noProof/>
          <w:sz w:val="22"/>
        </w:rPr>
        <w:t>„Skraćena kabina” znači vrsta kabine koja nije produljena kabina.</w:t>
      </w:r>
    </w:p>
    <w:p>
      <w:pPr>
        <w:ind w:left="850"/>
        <w:rPr>
          <w:noProof/>
          <w:sz w:val="22"/>
        </w:rPr>
      </w:pPr>
      <w:r>
        <w:rPr>
          <w:noProof/>
          <w:sz w:val="22"/>
        </w:rPr>
        <w:lastRenderedPageBreak/>
        <w:t>Ako se novo teško vozilo ne može uvrstiti u podskupinu vozila zato što nisu dostupne informacije o vrsti kabine ili snazi motora, uvrštava se u podskupinu vozila za velike udaljenosti (LH) u skladu s tipom šasije (kamion s nadogradnjom ili tegljač) i osovinskom konfiguracijom (4x2 ili 6x2).</w:t>
      </w:r>
    </w:p>
    <w:p>
      <w:pPr>
        <w:ind w:left="851"/>
        <w:rPr>
          <w:noProof/>
          <w:sz w:val="22"/>
        </w:rPr>
      </w:pPr>
      <w:r>
        <w:rPr>
          <w:noProof/>
          <w:sz w:val="22"/>
        </w:rPr>
        <w:t>Ako se novo teško vozilo uvrsti u podskupinu 4-UD, ali nisu dostupni podaci o emisijama CO</w:t>
      </w:r>
      <w:r>
        <w:rPr>
          <w:noProof/>
          <w:sz w:val="22"/>
          <w:vertAlign w:val="subscript"/>
        </w:rPr>
        <w:t>2</w:t>
      </w:r>
      <w:r>
        <w:rPr>
          <w:noProof/>
          <w:sz w:val="22"/>
        </w:rPr>
        <w:t xml:space="preserve"> u g/km za UDL ili UDR namjenske profile kako je utvrđeno u odjeljku 2. tablici 2., novo teško vozilo uvrštava se u podskupinu 4-RD.</w:t>
      </w:r>
    </w:p>
    <w:p>
      <w:pPr>
        <w:pStyle w:val="Heading1"/>
        <w:rPr>
          <w:noProof/>
        </w:rPr>
      </w:pPr>
      <w:r>
        <w:rPr>
          <w:noProof/>
        </w:rPr>
        <w:t>Izračun prosječnih specifičnih emisija proizvođača</w:t>
      </w:r>
    </w:p>
    <w:p>
      <w:pPr>
        <w:pStyle w:val="Heading2"/>
        <w:rPr>
          <w:noProof/>
        </w:rPr>
      </w:pPr>
      <w:r>
        <w:rPr>
          <w:noProof/>
        </w:rPr>
        <w:t>Izračun specifičnih emisija CO</w:t>
      </w:r>
      <w:r>
        <w:rPr>
          <w:noProof/>
          <w:vertAlign w:val="subscript"/>
        </w:rPr>
        <w:t>2</w:t>
      </w:r>
      <w:r>
        <w:rPr>
          <w:noProof/>
        </w:rPr>
        <w:t xml:space="preserve"> novog teškog vozila</w:t>
      </w:r>
    </w:p>
    <w:p>
      <w:pPr>
        <w:ind w:left="850"/>
        <w:rPr>
          <w:noProof/>
        </w:rPr>
      </w:pPr>
      <w:r>
        <w:rPr>
          <w:noProof/>
        </w:rPr>
        <w:t>Specifične emisije u g/km (</w:t>
      </w:r>
      <w:r>
        <w:rPr>
          <w:rFonts w:eastAsiaTheme="minorEastAsia"/>
          <w:i/>
          <w:noProof/>
        </w:rPr>
        <w:t>CO2</w:t>
      </w:r>
      <w:r>
        <w:rPr>
          <w:rFonts w:eastAsiaTheme="minorEastAsia"/>
          <w:i/>
          <w:noProof/>
          <w:vertAlign w:val="subscript"/>
        </w:rPr>
        <w:t>v</w:t>
      </w:r>
      <w:r>
        <w:rPr>
          <w:noProof/>
        </w:rPr>
        <w:t xml:space="preserve">) novog teškog vozila </w:t>
      </w:r>
      <w:r>
        <w:rPr>
          <w:i/>
          <w:noProof/>
        </w:rPr>
        <w:t>v</w:t>
      </w:r>
      <w:r>
        <w:rPr>
          <w:noProof/>
        </w:rPr>
        <w:t xml:space="preserve"> uvrštenog u podskupinu </w:t>
      </w:r>
      <w:r>
        <w:rPr>
          <w:i/>
          <w:noProof/>
        </w:rPr>
        <w:t>sg</w:t>
      </w:r>
      <w:r>
        <w:rPr>
          <w:noProof/>
        </w:rPr>
        <w:t xml:space="preserve"> izračunavaju se u skladu sa sljedećom formulom:</w:t>
      </w:r>
    </w:p>
    <w:p>
      <w:pPr>
        <w:ind w:left="850"/>
        <w:rPr>
          <w:noProof/>
        </w:rPr>
      </w:pPr>
    </w:p>
    <w:p>
      <w:pPr>
        <w:pStyle w:val="Text4"/>
        <w:rPr>
          <w:noProof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CO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e>
            <m:sub>
              <m:r>
                <w:rPr>
                  <w:rFonts w:ascii="Cambria Math" w:hAnsi="Cambria Math"/>
                  <w:noProof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noProof/>
                </w:rPr>
              </m:ctrlPr>
            </m:naryPr>
            <m:sub>
              <m:r>
                <w:rPr>
                  <w:rFonts w:ascii="Cambria Math" w:hAnsi="Cambria Math"/>
                  <w:noProof/>
                </w:rPr>
                <m:t>mp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,</m:t>
                  </m:r>
                  <m:r>
                    <w:rPr>
                      <w:rFonts w:ascii="Cambria Math" w:hAnsi="Cambria Math"/>
                      <w:noProof/>
                    </w:rPr>
                    <m:t>mp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noProof/>
            </w:rPr>
            <m:t>×</m:t>
          </m:r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CO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e>
            <m:sub>
              <m:r>
                <w:rPr>
                  <w:rFonts w:ascii="Cambria Math" w:hAnsi="Cambria Math"/>
                  <w:noProof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,</m:t>
              </m:r>
              <m:r>
                <w:rPr>
                  <w:rFonts w:ascii="Cambria Math" w:hAnsi="Cambria Math"/>
                  <w:noProof/>
                </w:rPr>
                <m:t>mp</m:t>
              </m:r>
            </m:sub>
          </m:sSub>
        </m:oMath>
      </m:oMathPara>
    </w:p>
    <w:p>
      <w:pPr>
        <w:ind w:left="850"/>
        <w:rPr>
          <w:noProof/>
          <w:szCs w:val="24"/>
        </w:rPr>
      </w:pPr>
      <w:r>
        <w:rPr>
          <w:noProof/>
        </w:rPr>
        <w:t>pri čemu je:</w:t>
      </w:r>
    </w:p>
    <w:p>
      <w:pPr>
        <w:ind w:left="850"/>
        <w:rPr>
          <w:noProof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noProof/>
              </w:rPr>
            </m:ctrlPr>
          </m:naryPr>
          <m:sub/>
          <m:sup/>
          <m:e>
            <m:r>
              <w:rPr>
                <w:rFonts w:ascii="Cambria Math" w:hAnsi="Cambria Math"/>
                <w:noProof/>
              </w:rPr>
              <m:t>mp</m:t>
            </m:r>
          </m:e>
        </m:nary>
      </m:oMath>
      <w:r>
        <w:rPr>
          <w:noProof/>
        </w:rPr>
        <w:tab/>
      </w:r>
      <w:r>
        <w:rPr>
          <w:noProof/>
        </w:rPr>
        <w:tab/>
        <w:t xml:space="preserve">zbroj za sve namjenske profile </w:t>
      </w:r>
      <w:r>
        <w:rPr>
          <w:i/>
          <w:noProof/>
        </w:rPr>
        <w:t>mp</w:t>
      </w:r>
      <w:r>
        <w:rPr>
          <w:noProof/>
        </w:rPr>
        <w:t xml:space="preserve"> navedenih u tablici 2.,</w:t>
      </w:r>
    </w:p>
    <w:p>
      <w:pPr>
        <w:ind w:left="2155" w:hanging="1305"/>
        <w:rPr>
          <w:noProof/>
          <w:szCs w:val="24"/>
        </w:rPr>
      </w:pPr>
      <w:r>
        <w:rPr>
          <w:i/>
          <w:noProof/>
        </w:rPr>
        <w:t>sg</w:t>
      </w:r>
      <w:r>
        <w:rPr>
          <w:noProof/>
        </w:rPr>
        <w:tab/>
        <w:t xml:space="preserve">podskupina u koju je uvršteno novo teško vozilo </w:t>
      </w:r>
      <w:r>
        <w:rPr>
          <w:i/>
          <w:noProof/>
        </w:rPr>
        <w:t>v</w:t>
      </w:r>
      <w:r>
        <w:rPr>
          <w:noProof/>
        </w:rPr>
        <w:t xml:space="preserve"> u skladu s odjeljkom 1. ovog Priloga,</w:t>
      </w:r>
    </w:p>
    <w:p>
      <w:pPr>
        <w:ind w:left="2155" w:hanging="1305"/>
        <w:rPr>
          <w:noProof/>
          <w:szCs w:val="24"/>
        </w:rPr>
      </w:pPr>
      <w:r>
        <w:rPr>
          <w:noProof/>
        </w:rPr>
        <w:t>W</w:t>
      </w:r>
      <w:r>
        <w:rPr>
          <w:noProof/>
          <w:vertAlign w:val="subscript"/>
        </w:rPr>
        <w:t>sg,mp,</w:t>
      </w:r>
      <w:r>
        <w:rPr>
          <w:noProof/>
        </w:rPr>
        <w:t xml:space="preserve"> </w:t>
      </w:r>
      <w:r>
        <w:rPr>
          <w:noProof/>
        </w:rPr>
        <w:tab/>
        <w:t>ponder namjenskog profila naveden u tablici 2.,</w:t>
      </w:r>
    </w:p>
    <w:p>
      <w:pPr>
        <w:ind w:left="2155" w:hanging="1305"/>
        <w:rPr>
          <w:noProof/>
          <w:szCs w:val="24"/>
        </w:rPr>
      </w:pPr>
      <w:r>
        <w:rPr>
          <w:noProof/>
        </w:rPr>
        <w:t>CO2</w:t>
      </w:r>
      <w:r>
        <w:rPr>
          <w:noProof/>
          <w:vertAlign w:val="subscript"/>
        </w:rPr>
        <w:t>v,mp</w:t>
      </w:r>
      <w:r>
        <w:rPr>
          <w:noProof/>
        </w:rPr>
        <w:tab/>
        <w:t>emisije CO</w:t>
      </w:r>
      <w:r>
        <w:rPr>
          <w:noProof/>
          <w:vertAlign w:val="subscript"/>
        </w:rPr>
        <w:t>2</w:t>
      </w:r>
      <w:r>
        <w:rPr>
          <w:noProof/>
        </w:rPr>
        <w:t xml:space="preserve"> novog teškog vozila </w:t>
      </w:r>
      <w:r>
        <w:rPr>
          <w:i/>
          <w:noProof/>
        </w:rPr>
        <w:t>v</w:t>
      </w:r>
      <w:r>
        <w:rPr>
          <w:noProof/>
        </w:rPr>
        <w:t xml:space="preserve"> u g/km utvrđene za namjenski profil </w:t>
      </w:r>
      <w:r>
        <w:rPr>
          <w:i/>
          <w:noProof/>
        </w:rPr>
        <w:t>mp</w:t>
      </w:r>
      <w:r>
        <w:rPr>
          <w:noProof/>
        </w:rPr>
        <w:t xml:space="preserve"> i dostavljene u skladu s Uredbom (EU) br. …/2018 [HDV M&amp;R]. </w:t>
      </w:r>
    </w:p>
    <w:p>
      <w:pPr>
        <w:ind w:left="851"/>
        <w:rPr>
          <w:noProof/>
        </w:rPr>
      </w:pPr>
      <w:r>
        <w:rPr>
          <w:noProof/>
        </w:rPr>
        <w:t>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teškog vozila s nultim emisijama postavljaju se na 0 g CO</w:t>
      </w:r>
      <w:r>
        <w:rPr>
          <w:noProof/>
          <w:vertAlign w:val="subscript"/>
        </w:rPr>
        <w:t>2</w:t>
      </w:r>
      <w:r>
        <w:rPr>
          <w:noProof/>
        </w:rPr>
        <w:t>/km.</w:t>
      </w:r>
    </w:p>
    <w:p>
      <w:pPr>
        <w:ind w:left="851"/>
        <w:rPr>
          <w:noProof/>
        </w:rPr>
      </w:pPr>
      <w:r>
        <w:rPr>
          <w:noProof/>
        </w:rPr>
        <w:t>Specifične emisije O</w:t>
      </w:r>
      <w:r>
        <w:rPr>
          <w:noProof/>
          <w:vertAlign w:val="subscript"/>
        </w:rPr>
        <w:t>2</w:t>
      </w:r>
      <w:r>
        <w:rPr>
          <w:noProof/>
        </w:rPr>
        <w:t xml:space="preserve"> namjenskog vozila jednake su prosječnim vrijednostima emisija CO</w:t>
      </w:r>
      <w:r>
        <w:rPr>
          <w:noProof/>
          <w:vertAlign w:val="subscript"/>
        </w:rPr>
        <w:t>2</w:t>
      </w:r>
      <w:r>
        <w:rPr>
          <w:noProof/>
        </w:rPr>
        <w:t xml:space="preserve"> u g/km dostavljenima u skladu s Uredbom (EU) br. …/2018 [HDV M&amp;R].</w:t>
      </w:r>
    </w:p>
    <w:p>
      <w:pPr>
        <w:ind w:left="850"/>
        <w:rPr>
          <w:b/>
          <w:noProof/>
        </w:rPr>
      </w:pPr>
      <w:r>
        <w:rPr>
          <w:b/>
          <w:noProof/>
        </w:rPr>
        <w:t>Tablica 2. – Ponderi namjenskih profila</w:t>
      </w:r>
      <w:r>
        <w:rPr>
          <w:noProof/>
        </w:rPr>
        <w:t xml:space="preserve"> (</w:t>
      </w:r>
      <w:r>
        <w:rPr>
          <w:b/>
          <w:noProof/>
        </w:rPr>
        <w:t>W</w:t>
      </w:r>
      <w:r>
        <w:rPr>
          <w:b/>
          <w:noProof/>
          <w:vertAlign w:val="subscript"/>
        </w:rPr>
        <w:t>sg,mp</w:t>
      </w:r>
      <w:r>
        <w:rPr>
          <w:b/>
          <w:noProof/>
        </w:rPr>
        <w:t>)</w:t>
      </w:r>
    </w:p>
    <w:tbl>
      <w:tblPr>
        <w:tblStyle w:val="TableGrid"/>
        <w:tblW w:w="0" w:type="auto"/>
        <w:tblInd w:w="850" w:type="dxa"/>
        <w:tblLook w:val="04A0" w:firstRow="1" w:lastRow="0" w:firstColumn="1" w:lastColumn="0" w:noHBand="0" w:noVBand="1"/>
      </w:tblPr>
      <w:tblGrid>
        <w:gridCol w:w="1431"/>
        <w:gridCol w:w="834"/>
        <w:gridCol w:w="850"/>
        <w:gridCol w:w="851"/>
        <w:gridCol w:w="992"/>
        <w:gridCol w:w="723"/>
        <w:gridCol w:w="978"/>
        <w:gridCol w:w="1701"/>
      </w:tblGrid>
      <w:tr>
        <w:tc>
          <w:tcPr>
            <w:tcW w:w="976" w:type="dxa"/>
            <w:vMerge w:val="restart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Podskupina vozila</w:t>
            </w:r>
          </w:p>
          <w:p>
            <w:pPr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(sg)</w:t>
            </w:r>
          </w:p>
        </w:tc>
        <w:tc>
          <w:tcPr>
            <w:tcW w:w="6929" w:type="dxa"/>
            <w:gridSpan w:val="7"/>
          </w:tcPr>
          <w:p>
            <w:pPr>
              <w:jc w:val="center"/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Namjenski profil</w:t>
            </w:r>
            <w:r>
              <w:rPr>
                <w:b/>
                <w:i/>
                <w:noProof/>
                <w:vertAlign w:val="superscript"/>
              </w:rPr>
              <w:t>1</w:t>
            </w:r>
            <w:r>
              <w:rPr>
                <w:b/>
                <w:noProof/>
              </w:rPr>
              <w:t xml:space="preserve"> (</w:t>
            </w:r>
            <w:r>
              <w:rPr>
                <w:b/>
                <w:i/>
                <w:noProof/>
              </w:rPr>
              <w:t>mp)</w:t>
            </w:r>
            <w:r>
              <w:rPr>
                <w:b/>
                <w:noProof/>
                <w:vertAlign w:val="superscript"/>
              </w:rPr>
              <w:t xml:space="preserve"> </w:t>
            </w:r>
          </w:p>
          <w:p>
            <w:pPr>
              <w:jc w:val="center"/>
              <w:rPr>
                <w:b/>
                <w:noProof/>
                <w:highlight w:val="yellow"/>
              </w:rPr>
            </w:pPr>
          </w:p>
        </w:tc>
      </w:tr>
      <w:tr>
        <w:tc>
          <w:tcPr>
            <w:tcW w:w="976" w:type="dxa"/>
            <w:vMerge/>
          </w:tcPr>
          <w:p>
            <w:pPr>
              <w:rPr>
                <w:b/>
                <w:noProof/>
              </w:rPr>
            </w:pPr>
          </w:p>
        </w:tc>
        <w:tc>
          <w:tcPr>
            <w:tcW w:w="834" w:type="dxa"/>
          </w:tcPr>
          <w:p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RDL</w:t>
            </w:r>
          </w:p>
        </w:tc>
        <w:tc>
          <w:tcPr>
            <w:tcW w:w="850" w:type="dxa"/>
          </w:tcPr>
          <w:p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RDR</w:t>
            </w:r>
          </w:p>
        </w:tc>
        <w:tc>
          <w:tcPr>
            <w:tcW w:w="851" w:type="dxa"/>
          </w:tcPr>
          <w:p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LHL</w:t>
            </w:r>
          </w:p>
        </w:tc>
        <w:tc>
          <w:tcPr>
            <w:tcW w:w="992" w:type="dxa"/>
          </w:tcPr>
          <w:p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LHR</w:t>
            </w:r>
          </w:p>
        </w:tc>
        <w:tc>
          <w:tcPr>
            <w:tcW w:w="723" w:type="dxa"/>
          </w:tcPr>
          <w:p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UDL</w:t>
            </w:r>
          </w:p>
        </w:tc>
        <w:tc>
          <w:tcPr>
            <w:tcW w:w="978" w:type="dxa"/>
          </w:tcPr>
          <w:p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UDR</w:t>
            </w:r>
          </w:p>
        </w:tc>
        <w:tc>
          <w:tcPr>
            <w:tcW w:w="1701" w:type="dxa"/>
          </w:tcPr>
          <w:p>
            <w:pPr>
              <w:jc w:val="left"/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REL, RER, LEL, LER</w:t>
            </w:r>
          </w:p>
        </w:tc>
      </w:tr>
      <w:tr>
        <w:tc>
          <w:tcPr>
            <w:tcW w:w="97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4-UD</w:t>
            </w:r>
          </w:p>
        </w:tc>
        <w:tc>
          <w:tcPr>
            <w:tcW w:w="834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5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5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23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78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70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7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4-RD</w:t>
            </w:r>
          </w:p>
        </w:tc>
        <w:tc>
          <w:tcPr>
            <w:tcW w:w="834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5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5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992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723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7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4-LH</w:t>
            </w:r>
          </w:p>
        </w:tc>
        <w:tc>
          <w:tcPr>
            <w:tcW w:w="834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85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85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92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23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7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9-RD</w:t>
            </w:r>
          </w:p>
        </w:tc>
        <w:tc>
          <w:tcPr>
            <w:tcW w:w="834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85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5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992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723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7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9-LH</w:t>
            </w:r>
          </w:p>
        </w:tc>
        <w:tc>
          <w:tcPr>
            <w:tcW w:w="834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85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85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92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23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7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5-RD</w:t>
            </w:r>
          </w:p>
        </w:tc>
        <w:tc>
          <w:tcPr>
            <w:tcW w:w="834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85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5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992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723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7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5-LH</w:t>
            </w:r>
          </w:p>
        </w:tc>
        <w:tc>
          <w:tcPr>
            <w:tcW w:w="834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85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85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92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23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76" w:type="dxa"/>
          </w:tcPr>
          <w:p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10-RD</w:t>
            </w:r>
          </w:p>
        </w:tc>
        <w:tc>
          <w:tcPr>
            <w:tcW w:w="834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85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5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992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723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7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10-LH</w:t>
            </w:r>
          </w:p>
        </w:tc>
        <w:tc>
          <w:tcPr>
            <w:tcW w:w="834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85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85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92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23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>
      <w:pPr>
        <w:ind w:left="850"/>
        <w:rPr>
          <w:b/>
          <w:noProof/>
          <w:vertAlign w:val="superscript"/>
        </w:rPr>
      </w:pPr>
    </w:p>
    <w:p>
      <w:pPr>
        <w:ind w:left="850"/>
        <w:rPr>
          <w:noProof/>
        </w:rPr>
      </w:pPr>
      <w:r>
        <w:rPr>
          <w:b/>
          <w:noProof/>
          <w:vertAlign w:val="superscript"/>
        </w:rPr>
        <w:t>1</w:t>
      </w:r>
      <w:r>
        <w:rPr>
          <w:b/>
          <w:noProof/>
        </w:rPr>
        <w:t xml:space="preserve">Definicije namjenskog profila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5568"/>
      </w:tblGrid>
      <w:tr>
        <w:tc>
          <w:tcPr>
            <w:tcW w:w="890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RDL </w:t>
            </w:r>
          </w:p>
        </w:tc>
        <w:tc>
          <w:tcPr>
            <w:tcW w:w="556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Regional delivery payload low (regionalna dostava s malom masom korisnog tereta)</w:t>
            </w:r>
          </w:p>
        </w:tc>
      </w:tr>
      <w:tr>
        <w:tc>
          <w:tcPr>
            <w:tcW w:w="890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RDR </w:t>
            </w:r>
          </w:p>
        </w:tc>
        <w:tc>
          <w:tcPr>
            <w:tcW w:w="5568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Regional delivery payload representative (regionalna dostava s reprezentativnom masom korisnog tereta) </w:t>
            </w:r>
          </w:p>
        </w:tc>
      </w:tr>
      <w:tr>
        <w:tc>
          <w:tcPr>
            <w:tcW w:w="890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LHL</w:t>
            </w:r>
          </w:p>
        </w:tc>
        <w:tc>
          <w:tcPr>
            <w:tcW w:w="5568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Long haul payload low (velike udaljenosti s malom masom korisnog tereta) </w:t>
            </w:r>
          </w:p>
        </w:tc>
      </w:tr>
      <w:tr>
        <w:tc>
          <w:tcPr>
            <w:tcW w:w="890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LHR</w:t>
            </w:r>
          </w:p>
        </w:tc>
        <w:tc>
          <w:tcPr>
            <w:tcW w:w="5568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Long haul payload representative (elike udaljenosti s reprezentativnom masom korisnog tereta) </w:t>
            </w:r>
          </w:p>
        </w:tc>
      </w:tr>
      <w:tr>
        <w:tc>
          <w:tcPr>
            <w:tcW w:w="890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UDL</w:t>
            </w:r>
          </w:p>
        </w:tc>
        <w:tc>
          <w:tcPr>
            <w:tcW w:w="556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Urban delivery payload low (gradska dostava s malom masom korisnog tereta)</w:t>
            </w:r>
          </w:p>
        </w:tc>
      </w:tr>
      <w:tr>
        <w:tc>
          <w:tcPr>
            <w:tcW w:w="890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UDR</w:t>
            </w:r>
          </w:p>
        </w:tc>
        <w:tc>
          <w:tcPr>
            <w:tcW w:w="556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Urban delivery payload representative (gradska dostava s reprezentativnom masom korisnog tereta)</w:t>
            </w:r>
          </w:p>
        </w:tc>
      </w:tr>
      <w:tr>
        <w:tc>
          <w:tcPr>
            <w:tcW w:w="890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REL</w:t>
            </w:r>
          </w:p>
        </w:tc>
        <w:tc>
          <w:tcPr>
            <w:tcW w:w="556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Regional delivery (EMS) payload low (regionalna dostava (EMS) s malom masom korisnog tereta)</w:t>
            </w:r>
          </w:p>
        </w:tc>
      </w:tr>
      <w:tr>
        <w:tc>
          <w:tcPr>
            <w:tcW w:w="890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RER</w:t>
            </w:r>
          </w:p>
        </w:tc>
        <w:tc>
          <w:tcPr>
            <w:tcW w:w="556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Regional delivery (EMS) payload representative (regionalna dostava (EMS) s reprezentativnom masom korisnog tereta)</w:t>
            </w:r>
          </w:p>
        </w:tc>
      </w:tr>
      <w:tr>
        <w:tc>
          <w:tcPr>
            <w:tcW w:w="890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LEL</w:t>
            </w:r>
          </w:p>
        </w:tc>
        <w:tc>
          <w:tcPr>
            <w:tcW w:w="556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Long haul (EMS) payload low (velike udaljenosti (EMS) s malom masom korisnog tereta)</w:t>
            </w:r>
          </w:p>
        </w:tc>
      </w:tr>
      <w:tr>
        <w:tc>
          <w:tcPr>
            <w:tcW w:w="890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LER</w:t>
            </w:r>
          </w:p>
        </w:tc>
        <w:tc>
          <w:tcPr>
            <w:tcW w:w="556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Long haul (EMS) payload representative (velike udaljenosti (EMS) s reprezentativnom masom korisnog tereta)</w:t>
            </w:r>
          </w:p>
        </w:tc>
      </w:tr>
    </w:tbl>
    <w:p>
      <w:pPr>
        <w:ind w:left="850"/>
        <w:rPr>
          <w:noProof/>
        </w:rPr>
      </w:pPr>
    </w:p>
    <w:p>
      <w:pPr>
        <w:pStyle w:val="Heading2"/>
        <w:rPr>
          <w:noProof/>
        </w:rPr>
      </w:pPr>
      <w:r>
        <w:rPr>
          <w:noProof/>
        </w:rPr>
        <w:t>Prosječne 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svih novih teških vozila u podskupini za proizvođača</w:t>
      </w:r>
    </w:p>
    <w:p>
      <w:pPr>
        <w:ind w:left="850"/>
        <w:rPr>
          <w:noProof/>
        </w:rPr>
      </w:pPr>
      <w:r>
        <w:rPr>
          <w:noProof/>
        </w:rPr>
        <w:t>Prosječne 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u g/tkm (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 xml:space="preserve"> avgCO2</m:t>
            </m:r>
          </m:e>
          <m:sub>
            <m:r>
              <w:rPr>
                <w:rFonts w:ascii="Cambria Math" w:hAnsi="Cambria Math"/>
                <w:noProof/>
              </w:rPr>
              <m:t>sg</m:t>
            </m:r>
          </m:sub>
        </m:sSub>
      </m:oMath>
      <w:r>
        <w:rPr>
          <w:noProof/>
        </w:rPr>
        <w:t xml:space="preserve">) svih novih teških vozila u podskupini </w:t>
      </w:r>
      <w:r>
        <w:rPr>
          <w:i/>
          <w:noProof/>
        </w:rPr>
        <w:t>sg</w:t>
      </w:r>
      <w:r>
        <w:rPr>
          <w:noProof/>
        </w:rPr>
        <w:t xml:space="preserve"> izračunavaju se za svakog proizvođača i svaku kalendarsku godinu na sljedeći način:</w:t>
      </w:r>
    </w:p>
    <w:p>
      <w:pPr>
        <w:pStyle w:val="Text3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avgCO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e>
            <m:sub>
              <m:r>
                <w:rPr>
                  <w:rFonts w:ascii="Cambria Math" w:hAnsi="Cambria Math"/>
                  <w:noProof/>
                </w:rPr>
                <m:t>sg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noProof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noProof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</w:rPr>
                    <m:t>v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CO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v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 xml:space="preserve"> × </m:t>
              </m:r>
              <m:sSub>
                <m:sSubPr>
                  <m:ctrlPr>
                    <w:rPr>
                      <w:rFonts w:ascii="Cambria Math" w:eastAsiaTheme="minorEastAsia" w:hAnsi="Cambria Math"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PL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sg</m:t>
                  </m:r>
                </m:sub>
              </m:sSub>
            </m:den>
          </m:f>
        </m:oMath>
      </m:oMathPara>
    </w:p>
    <w:p>
      <w:pPr>
        <w:ind w:left="850"/>
        <w:rPr>
          <w:noProof/>
        </w:rPr>
      </w:pPr>
      <w:r>
        <w:rPr>
          <w:noProof/>
        </w:rPr>
        <w:t>pri čemu je:</w:t>
      </w:r>
    </w:p>
    <w:p>
      <w:pPr>
        <w:ind w:left="2155" w:hanging="1304"/>
        <w:rPr>
          <w:noProof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noProof/>
              </w:rPr>
            </m:ctrlPr>
          </m:naryPr>
          <m:sub/>
          <m:sup/>
          <m:e>
            <m:r>
              <w:rPr>
                <w:rFonts w:ascii="Cambria Math" w:hAnsi="Cambria Math"/>
                <w:noProof/>
              </w:rPr>
              <m:t>v</m:t>
            </m:r>
          </m:e>
        </m:nary>
      </m:oMath>
      <w:r>
        <w:rPr>
          <w:noProof/>
        </w:rPr>
        <w:tab/>
        <w:t xml:space="preserve">zbroj za sva nova teška vozila proizvođača u podskupini </w:t>
      </w:r>
      <w:r>
        <w:rPr>
          <w:i/>
          <w:noProof/>
        </w:rPr>
        <w:t>sg</w:t>
      </w:r>
      <w:r>
        <w:rPr>
          <w:noProof/>
        </w:rPr>
        <w:t>, ne računajući sva namjenska vozila u skladu s člankom 4. točkom (a),</w:t>
      </w:r>
    </w:p>
    <w:p>
      <w:pPr>
        <w:ind w:left="2155" w:hanging="1305"/>
        <w:rPr>
          <w:noProof/>
          <w:vertAlign w:val="subscript"/>
        </w:rPr>
      </w:pPr>
      <w:r>
        <w:rPr>
          <w:noProof/>
        </w:rPr>
        <w:t>CO2</w:t>
      </w:r>
      <w:r>
        <w:rPr>
          <w:noProof/>
          <w:vertAlign w:val="subscript"/>
        </w:rPr>
        <w:t>v</w:t>
      </w:r>
      <w:r>
        <w:rPr>
          <w:noProof/>
        </w:rPr>
        <w:tab/>
        <w:t>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novog teškog vozila </w:t>
      </w:r>
      <w:r>
        <w:rPr>
          <w:i/>
          <w:noProof/>
        </w:rPr>
        <w:t>v</w:t>
      </w:r>
      <w:r>
        <w:rPr>
          <w:noProof/>
        </w:rPr>
        <w:t xml:space="preserve"> utvrđene u skladu s točkom 2.1.,</w:t>
      </w:r>
    </w:p>
    <w:p>
      <w:pPr>
        <w:ind w:left="2155" w:hanging="1304"/>
        <w:rPr>
          <w:noProof/>
        </w:rPr>
      </w:pPr>
      <w:r>
        <w:rPr>
          <w:noProof/>
        </w:rPr>
        <w:t>V</w:t>
      </w:r>
      <w:r>
        <w:rPr>
          <w:noProof/>
          <w:vertAlign w:val="subscript"/>
        </w:rPr>
        <w:t>sg</w:t>
      </w:r>
      <w:r>
        <w:rPr>
          <w:noProof/>
        </w:rPr>
        <w:tab/>
        <w:t xml:space="preserve">broj novih teških vozila proizvođača u podskupini </w:t>
      </w:r>
      <w:r>
        <w:rPr>
          <w:i/>
          <w:noProof/>
        </w:rPr>
        <w:t>sg</w:t>
      </w:r>
      <w:r>
        <w:rPr>
          <w:noProof/>
        </w:rPr>
        <w:t xml:space="preserve"> osim svih namjenskih vozila u skladu s člankom 4. točkom (a),</w:t>
      </w:r>
    </w:p>
    <w:p>
      <w:pPr>
        <w:spacing w:before="0" w:after="0"/>
        <w:ind w:left="2155" w:hanging="1305"/>
        <w:rPr>
          <w:noProof/>
          <w:szCs w:val="24"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 xml:space="preserve">prosječni korisni teret vozila u podskupini </w:t>
      </w:r>
      <w:r>
        <w:rPr>
          <w:i/>
          <w:noProof/>
        </w:rPr>
        <w:t>sg</w:t>
      </w:r>
      <w:r>
        <w:rPr>
          <w:noProof/>
        </w:rPr>
        <w:t xml:space="preserve"> kako je utvrđeno u točki 2.5.</w:t>
      </w:r>
    </w:p>
    <w:p>
      <w:pPr>
        <w:ind w:left="2155" w:hanging="1304"/>
        <w:rPr>
          <w:noProof/>
        </w:rPr>
      </w:pPr>
    </w:p>
    <w:p>
      <w:pPr>
        <w:pStyle w:val="Heading2"/>
        <w:rPr>
          <w:noProof/>
        </w:rPr>
      </w:pPr>
      <w:r>
        <w:rPr>
          <w:noProof/>
        </w:rPr>
        <w:t>Izračun faktora nultih i niskih emisija iz članka 5.</w:t>
      </w:r>
    </w:p>
    <w:p>
      <w:pPr>
        <w:ind w:left="850"/>
        <w:rPr>
          <w:noProof/>
        </w:rPr>
      </w:pPr>
      <w:r>
        <w:rPr>
          <w:noProof/>
        </w:rPr>
        <w:t>Za svakog proizvođača i kalendarsku godinu faktor nultih i niskih emisija (ZLEV) naveden u članku 5. izračunava se na sljedeći način:</w:t>
      </w:r>
    </w:p>
    <w:p>
      <w:pPr>
        <w:spacing w:before="0" w:after="200" w:line="276" w:lineRule="auto"/>
        <w:ind w:left="130" w:firstLine="720"/>
        <w:jc w:val="left"/>
        <w:rPr>
          <w:i/>
          <w:noProof/>
          <w:sz w:val="22"/>
        </w:rPr>
      </w:pPr>
      <w:r>
        <w:rPr>
          <w:i/>
          <w:noProof/>
          <w:sz w:val="22"/>
        </w:rPr>
        <w:t xml:space="preserve">ZLEV = </w:t>
      </w:r>
      <w:r>
        <w:rPr>
          <w:i/>
          <w:noProof/>
        </w:rPr>
        <w:t>V</w:t>
      </w:r>
      <w:r>
        <w:rPr>
          <w:i/>
          <w:noProof/>
          <w:sz w:val="22"/>
        </w:rPr>
        <w:t xml:space="preserve"> / </w:t>
      </w:r>
      <w:r>
        <w:rPr>
          <w:i/>
          <w:noProof/>
        </w:rPr>
        <w:t xml:space="preserve">(Vconv + Vzlev)  </w:t>
      </w:r>
      <w:r>
        <w:rPr>
          <w:noProof/>
        </w:rPr>
        <w:tab/>
      </w:r>
      <w:r>
        <w:rPr>
          <w:i/>
          <w:noProof/>
        </w:rPr>
        <w:t xml:space="preserve"> s minimalnom vrijednošću od 0,97</w:t>
      </w:r>
    </w:p>
    <w:p>
      <w:pPr>
        <w:spacing w:before="0" w:after="200" w:line="276" w:lineRule="auto"/>
        <w:ind w:left="130" w:firstLine="720"/>
        <w:jc w:val="left"/>
        <w:rPr>
          <w:noProof/>
          <w:sz w:val="22"/>
        </w:rPr>
      </w:pPr>
      <w:r>
        <w:rPr>
          <w:noProof/>
          <w:sz w:val="22"/>
        </w:rPr>
        <w:t>pri čemu je:</w:t>
      </w:r>
    </w:p>
    <w:p>
      <w:pPr>
        <w:ind w:left="2155" w:hanging="1305"/>
        <w:rPr>
          <w:i/>
          <w:noProof/>
        </w:rPr>
      </w:pPr>
      <w:r>
        <w:rPr>
          <w:noProof/>
        </w:rPr>
        <w:t>V</w:t>
      </w:r>
      <w:r>
        <w:rPr>
          <w:noProof/>
        </w:rPr>
        <w:tab/>
        <w:t xml:space="preserve">broj novih teških vozila proizvođača osim svih namjenskih vozila u skladu s člankom 4. točkom (a), </w:t>
      </w:r>
    </w:p>
    <w:p>
      <w:pPr>
        <w:ind w:left="2155" w:hanging="1305"/>
        <w:rPr>
          <w:noProof/>
        </w:rPr>
      </w:pPr>
      <w:r>
        <w:rPr>
          <w:i/>
          <w:noProof/>
        </w:rPr>
        <w:t>Vconv</w:t>
      </w:r>
      <w:r>
        <w:rPr>
          <w:noProof/>
        </w:rPr>
        <w:tab/>
        <w:t xml:space="preserve">broj novih teških vozila proizvođača osim svih namjenskih vozila u skladu s člankom 4. točkom (a) i teških vozila s nultim i niskim emisijama,   </w:t>
      </w:r>
    </w:p>
    <w:p>
      <w:pPr>
        <w:ind w:left="850"/>
        <w:rPr>
          <w:i/>
          <w:noProof/>
          <w:sz w:val="22"/>
          <w:vertAlign w:val="subscript"/>
        </w:rPr>
      </w:pPr>
      <w:r>
        <w:rPr>
          <w:i/>
          <w:noProof/>
          <w:sz w:val="22"/>
        </w:rPr>
        <w:t>Vzlev</w:t>
      </w:r>
      <w:r>
        <w:rPr>
          <w:noProof/>
        </w:rPr>
        <w:tab/>
      </w:r>
      <w:r>
        <w:rPr>
          <w:noProof/>
        </w:rPr>
        <w:tab/>
        <w:t xml:space="preserve">zbroj vrijednosti </w:t>
      </w:r>
      <w:r>
        <w:rPr>
          <w:i/>
          <w:noProof/>
          <w:sz w:val="22"/>
        </w:rPr>
        <w:t>Vin</w:t>
      </w:r>
      <w:r>
        <w:rPr>
          <w:noProof/>
        </w:rPr>
        <w:t xml:space="preserve"> i </w:t>
      </w:r>
      <w:r>
        <w:rPr>
          <w:i/>
          <w:noProof/>
          <w:sz w:val="22"/>
        </w:rPr>
        <w:t>Vout,</w:t>
      </w:r>
    </w:p>
    <w:p>
      <w:pPr>
        <w:ind w:left="850"/>
        <w:rPr>
          <w:noProof/>
          <w:szCs w:val="24"/>
        </w:rPr>
      </w:pPr>
      <w:r>
        <w:rPr>
          <w:noProof/>
        </w:rPr>
        <w:tab/>
      </w:r>
      <w:r>
        <w:rPr>
          <w:noProof/>
          <w:sz w:val="22"/>
        </w:rPr>
        <w:t>pri čemu je:</w:t>
      </w:r>
    </w:p>
    <w:p>
      <w:pPr>
        <w:spacing w:before="0" w:after="200" w:line="276" w:lineRule="auto"/>
        <w:ind w:left="720" w:firstLine="720"/>
        <w:contextualSpacing/>
        <w:rPr>
          <w:noProof/>
          <w:szCs w:val="24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2676525" cy="230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80769" cy="23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200" w:line="276" w:lineRule="auto"/>
        <w:ind w:left="2880"/>
        <w:contextualSpacing/>
        <w:rPr>
          <w:noProof/>
          <w:szCs w:val="24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311150" cy="158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556" cy="1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zbroj za sva nova teška vozila s nultim i niskim emisijama s karakteristikama utvrđenima u članku 2. stavku 1. točkama od (a) do (d), </w:t>
      </w:r>
    </w:p>
    <w:p>
      <w:pPr>
        <w:spacing w:before="0" w:after="200" w:line="276" w:lineRule="auto"/>
        <w:ind w:left="2880" w:hanging="1440"/>
        <w:contextualSpacing/>
        <w:rPr>
          <w:noProof/>
          <w:szCs w:val="24"/>
        </w:rPr>
      </w:pPr>
      <w:r>
        <w:rPr>
          <w:i/>
          <w:noProof/>
        </w:rPr>
        <w:t>CO2</w:t>
      </w:r>
      <w:r>
        <w:rPr>
          <w:i/>
          <w:noProof/>
          <w:vertAlign w:val="subscript"/>
        </w:rPr>
        <w:t>v</w:t>
      </w:r>
      <w:r>
        <w:rPr>
          <w:noProof/>
        </w:rPr>
        <w:tab/>
        <w:t>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u g/km teškog vozila s nultim i niskim emisijama </w:t>
      </w:r>
      <w:r>
        <w:rPr>
          <w:i/>
          <w:noProof/>
        </w:rPr>
        <w:t>v</w:t>
      </w:r>
      <w:r>
        <w:rPr>
          <w:noProof/>
        </w:rPr>
        <w:t xml:space="preserve"> utvrđene u skladu s točkom 2.1.,</w:t>
      </w:r>
    </w:p>
    <w:p>
      <w:pPr>
        <w:ind w:left="2880" w:hanging="1440"/>
        <w:rPr>
          <w:noProof/>
          <w:szCs w:val="24"/>
        </w:rPr>
      </w:pPr>
      <w:r>
        <w:rPr>
          <w:i/>
          <w:noProof/>
          <w:sz w:val="22"/>
        </w:rPr>
        <w:t>Vout</w:t>
      </w:r>
      <w:r>
        <w:rPr>
          <w:noProof/>
        </w:rPr>
        <w:t xml:space="preserve"> </w:t>
      </w:r>
      <w:r>
        <w:rPr>
          <w:noProof/>
        </w:rPr>
        <w:tab/>
        <w:t xml:space="preserve">ukupni broj teških vozila s nultim emisijama u kategorijama navedenima u članku 2. stavku 1. drugom podstavku pomnožen s 2 i s maksimalnom vrijednošću od 1,5 % vrijednosti </w:t>
      </w:r>
      <w:r>
        <w:rPr>
          <w:i/>
          <w:noProof/>
        </w:rPr>
        <w:t>Vconv</w:t>
      </w:r>
      <w:r>
        <w:rPr>
          <w:noProof/>
        </w:rPr>
        <w:t xml:space="preserve">. </w:t>
      </w:r>
    </w:p>
    <w:p>
      <w:pPr>
        <w:pStyle w:val="Heading2"/>
        <w:rPr>
          <w:noProof/>
        </w:rPr>
      </w:pPr>
      <w:r>
        <w:rPr>
          <w:noProof/>
        </w:rPr>
        <w:t>Izračun udjela vozila proizvođača u podskupini vozila</w:t>
      </w:r>
    </w:p>
    <w:p>
      <w:pPr>
        <w:ind w:left="850"/>
        <w:rPr>
          <w:noProof/>
        </w:rPr>
      </w:pPr>
      <w:r>
        <w:rPr>
          <w:noProof/>
        </w:rPr>
        <w:t xml:space="preserve">Udio novih teških vozila u podskupini </w:t>
      </w:r>
      <w:r>
        <w:rPr>
          <w:i/>
          <w:noProof/>
        </w:rPr>
        <w:t>share</w:t>
      </w:r>
      <w:r>
        <w:rPr>
          <w:i/>
          <w:noProof/>
          <w:vertAlign w:val="subscript"/>
        </w:rPr>
        <w:t>sg</w:t>
      </w:r>
      <w:r>
        <w:rPr>
          <w:noProof/>
        </w:rPr>
        <w:t xml:space="preserve"> izračunava se za svakog proizvođača i svaku kalendarsku godinu na sljedeći način:</w:t>
      </w:r>
    </w:p>
    <w:p>
      <w:pPr>
        <w:rPr>
          <w:noProof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share</m:t>
              </m:r>
            </m:e>
            <m:sub>
              <m:r>
                <w:rPr>
                  <w:rFonts w:ascii="Cambria Math" w:hAnsi="Cambria Math"/>
                  <w:noProof/>
                </w:rPr>
                <m:t>sg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/>
              </m:sSub>
            </m:den>
          </m:f>
        </m:oMath>
      </m:oMathPara>
    </w:p>
    <w:p>
      <w:pPr>
        <w:ind w:left="850"/>
        <w:rPr>
          <w:noProof/>
        </w:rPr>
      </w:pPr>
      <w:r>
        <w:rPr>
          <w:noProof/>
        </w:rPr>
        <w:t xml:space="preserve">pri čemu je: </w:t>
      </w:r>
    </w:p>
    <w:p>
      <w:pPr>
        <w:ind w:left="2155" w:hanging="1304"/>
        <w:rPr>
          <w:noProof/>
        </w:rPr>
      </w:pPr>
      <w:r>
        <w:rPr>
          <w:noProof/>
        </w:rPr>
        <w:lastRenderedPageBreak/>
        <w:t>V</w:t>
      </w:r>
      <w:r>
        <w:rPr>
          <w:noProof/>
          <w:vertAlign w:val="subscript"/>
        </w:rPr>
        <w:t>sg</w:t>
      </w:r>
      <w:r>
        <w:rPr>
          <w:noProof/>
        </w:rPr>
        <w:tab/>
        <w:t xml:space="preserve">broj novih teških vozila proizvođača u podskupini </w:t>
      </w:r>
      <w:r>
        <w:rPr>
          <w:i/>
          <w:noProof/>
        </w:rPr>
        <w:t>sg</w:t>
      </w:r>
      <w:r>
        <w:rPr>
          <w:noProof/>
        </w:rPr>
        <w:t xml:space="preserve"> osim svih namjenskih vozila u skladu s člankom 4. točkom (a),</w:t>
      </w:r>
    </w:p>
    <w:p>
      <w:pPr>
        <w:ind w:left="2155" w:hanging="1305"/>
        <w:rPr>
          <w:i/>
          <w:noProof/>
        </w:rPr>
      </w:pPr>
      <w:r>
        <w:rPr>
          <w:noProof/>
        </w:rPr>
        <w:t>V</w:t>
      </w:r>
      <w:r>
        <w:rPr>
          <w:noProof/>
        </w:rPr>
        <w:tab/>
        <w:t xml:space="preserve">broj novih teških vozila proizvođača osim svih namjenskih vozila u skladu s člankom 4. točkom (a), </w:t>
      </w:r>
    </w:p>
    <w:p>
      <w:pPr>
        <w:pStyle w:val="Heading2"/>
        <w:rPr>
          <w:noProof/>
        </w:rPr>
      </w:pPr>
      <w:r>
        <w:rPr>
          <w:noProof/>
        </w:rPr>
        <w:t xml:space="preserve">Izračun prosječne vrijednosti korisnog tereta u podskupini vozila </w:t>
      </w:r>
    </w:p>
    <w:p>
      <w:pPr>
        <w:keepNext/>
        <w:ind w:left="850"/>
        <w:outlineLvl w:val="1"/>
        <w:rPr>
          <w:rFonts w:eastAsiaTheme="majorEastAsia"/>
          <w:bCs/>
          <w:noProof/>
          <w:szCs w:val="26"/>
        </w:rPr>
      </w:pPr>
      <w:r>
        <w:rPr>
          <w:noProof/>
        </w:rPr>
        <w:t xml:space="preserve">Prosječna vrijednost korisnog tereta </w:t>
      </w:r>
      <w:r>
        <w:rPr>
          <w:rFonts w:eastAsiaTheme="majorEastAsia"/>
          <w:i/>
          <w:noProof/>
        </w:rPr>
        <w:t>PL</w:t>
      </w:r>
      <w:r>
        <w:rPr>
          <w:rFonts w:eastAsiaTheme="majorEastAsia"/>
          <w:i/>
          <w:noProof/>
          <w:vertAlign w:val="subscript"/>
        </w:rPr>
        <w:t>sg</w:t>
      </w:r>
      <w:r>
        <w:rPr>
          <w:noProof/>
        </w:rPr>
        <w:t xml:space="preserve"> vozila u podskupini </w:t>
      </w:r>
      <w:r>
        <w:rPr>
          <w:rFonts w:eastAsiaTheme="majorEastAsia"/>
          <w:i/>
          <w:noProof/>
        </w:rPr>
        <w:t>sg</w:t>
      </w:r>
      <w:r>
        <w:rPr>
          <w:noProof/>
        </w:rPr>
        <w:t xml:space="preserve"> izračunava se na sljedeći način:</w:t>
      </w:r>
    </w:p>
    <w:p>
      <w:pPr>
        <w:ind w:left="850"/>
        <w:rPr>
          <w:noProof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0"/>
                  <w:szCs w:val="20"/>
                </w:rPr>
                <m:t>PL</m:t>
              </m:r>
            </m:e>
            <m:sub>
              <m:r>
                <w:rPr>
                  <w:rFonts w:ascii="Cambria Math" w:hAnsi="Cambria Math"/>
                  <w:noProof/>
                  <w:sz w:val="20"/>
                  <w:szCs w:val="20"/>
                </w:rPr>
                <m:t>sg</m:t>
              </m:r>
            </m:sub>
          </m:sSub>
          <m:r>
            <w:rPr>
              <w:rFonts w:ascii="Cambria Math" w:hAnsi="Cambria Math"/>
              <w:noProof/>
              <w:sz w:val="20"/>
              <w:szCs w:val="20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noProof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noProof/>
                  <w:sz w:val="20"/>
                  <w:szCs w:val="20"/>
                </w:rPr>
                <m:t>mp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sg,mp</m:t>
                  </m:r>
                </m:sub>
              </m:sSub>
            </m:e>
          </m:nary>
          <m:r>
            <w:rPr>
              <w:rFonts w:ascii="Cambria Math" w:hAnsi="Cambria Math"/>
              <w:noProof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0"/>
                  <w:szCs w:val="20"/>
                </w:rPr>
                <m:t>PL</m:t>
              </m:r>
            </m:e>
            <m:sub>
              <m:r>
                <w:rPr>
                  <w:rFonts w:ascii="Cambria Math" w:hAnsi="Cambria Math"/>
                  <w:noProof/>
                  <w:sz w:val="20"/>
                  <w:szCs w:val="20"/>
                </w:rPr>
                <m:t>sg,mp</m:t>
              </m:r>
            </m:sub>
          </m:sSub>
        </m:oMath>
      </m:oMathPara>
    </w:p>
    <w:p>
      <w:pPr>
        <w:contextualSpacing/>
        <w:rPr>
          <w:i/>
          <w:noProof/>
        </w:rPr>
      </w:pPr>
    </w:p>
    <w:p>
      <w:pPr>
        <w:ind w:left="1440"/>
        <w:contextualSpacing/>
        <w:rPr>
          <w:noProof/>
        </w:rPr>
      </w:pPr>
      <w:r>
        <w:rPr>
          <w:noProof/>
        </w:rPr>
        <w:t>pri čemu je:</w:t>
      </w:r>
    </w:p>
    <w:p>
      <w:pPr>
        <w:spacing w:before="20" w:after="20"/>
        <w:ind w:left="1440"/>
        <w:contextualSpacing/>
        <w:rPr>
          <w:i/>
          <w:noProof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noProof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noProof/>
                <w:sz w:val="20"/>
                <w:szCs w:val="20"/>
              </w:rPr>
              <m:t>mp</m:t>
            </m:r>
          </m:sub>
          <m:sup/>
          <m:e/>
        </m:nary>
      </m:oMath>
      <w:r>
        <w:rPr>
          <w:noProof/>
        </w:rPr>
        <w:tab/>
        <w:t xml:space="preserve">zbroj za sve namjenske profile </w:t>
      </w:r>
      <w:r>
        <w:rPr>
          <w:i/>
          <w:noProof/>
        </w:rPr>
        <w:t>mp</w:t>
      </w:r>
      <w:r>
        <w:rPr>
          <w:noProof/>
        </w:rPr>
        <w:t>,</w:t>
      </w:r>
    </w:p>
    <w:p>
      <w:pPr>
        <w:spacing w:before="20" w:after="20"/>
        <w:ind w:left="1440"/>
        <w:contextualSpacing/>
        <w:rPr>
          <w:i/>
          <w:noProof/>
        </w:rPr>
      </w:pPr>
      <w:r>
        <w:rPr>
          <w:noProof/>
        </w:rPr>
        <w:t>W</w:t>
      </w:r>
      <w:r>
        <w:rPr>
          <w:noProof/>
          <w:vertAlign w:val="subscript"/>
        </w:rPr>
        <w:t>sg,mp,</w:t>
      </w:r>
      <w:r>
        <w:rPr>
          <w:noProof/>
        </w:rPr>
        <w:t xml:space="preserve"> ponder namjenskog profila određen u tablici 2. pod točkom 2.1.,</w:t>
      </w:r>
    </w:p>
    <w:p>
      <w:pPr>
        <w:spacing w:before="20" w:after="20"/>
        <w:ind w:left="2155" w:hanging="715"/>
        <w:rPr>
          <w:noProof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sg,mp</w:t>
      </w:r>
      <w:r>
        <w:rPr>
          <w:noProof/>
        </w:rPr>
        <w:tab/>
        <w:t xml:space="preserve">vrijednost korisnog tereta vozila u podskupini </w:t>
      </w:r>
      <w:r>
        <w:rPr>
          <w:i/>
          <w:noProof/>
        </w:rPr>
        <w:t>sg</w:t>
      </w:r>
      <w:r>
        <w:rPr>
          <w:noProof/>
        </w:rPr>
        <w:t xml:space="preserve"> za namjenski profil </w:t>
      </w:r>
      <w:r>
        <w:rPr>
          <w:i/>
          <w:noProof/>
        </w:rPr>
        <w:t>mp, as</w:t>
      </w:r>
      <w:r>
        <w:rPr>
          <w:noProof/>
        </w:rPr>
        <w:t xml:space="preserve"> kako je navedeno u tablici 3.</w:t>
      </w:r>
    </w:p>
    <w:p>
      <w:pPr>
        <w:ind w:left="720" w:firstLine="720"/>
        <w:contextualSpacing/>
        <w:rPr>
          <w:noProof/>
        </w:rPr>
      </w:pPr>
    </w:p>
    <w:p>
      <w:pPr>
        <w:ind w:left="2155" w:hanging="1305"/>
        <w:rPr>
          <w:b/>
          <w:noProof/>
        </w:rPr>
      </w:pPr>
      <w:r>
        <w:rPr>
          <w:b/>
          <w:noProof/>
        </w:rPr>
        <w:t>Tablica 3. – Vrijednosti korisnog tereta</w:t>
      </w:r>
      <w:r>
        <w:rPr>
          <w:b/>
          <w:noProof/>
          <w:sz w:val="22"/>
        </w:rPr>
        <w:t xml:space="preserve"> PL</w:t>
      </w:r>
      <w:r>
        <w:rPr>
          <w:b/>
          <w:noProof/>
          <w:sz w:val="22"/>
          <w:vertAlign w:val="subscript"/>
        </w:rPr>
        <w:t xml:space="preserve"> sg, mp</w:t>
      </w:r>
      <w:r>
        <w:rPr>
          <w:b/>
          <w:noProof/>
          <w:sz w:val="22"/>
        </w:rPr>
        <w:t xml:space="preserve"> (u tonama)</w:t>
      </w:r>
    </w:p>
    <w:tbl>
      <w:tblPr>
        <w:tblStyle w:val="TableGrid2"/>
        <w:tblW w:w="8365" w:type="dxa"/>
        <w:tblInd w:w="-34" w:type="dxa"/>
        <w:tblLook w:val="04A0" w:firstRow="1" w:lastRow="0" w:firstColumn="1" w:lastColumn="0" w:noHBand="0" w:noVBand="1"/>
      </w:tblPr>
      <w:tblGrid>
        <w:gridCol w:w="1330"/>
        <w:gridCol w:w="705"/>
        <w:gridCol w:w="705"/>
        <w:gridCol w:w="703"/>
        <w:gridCol w:w="703"/>
        <w:gridCol w:w="705"/>
        <w:gridCol w:w="706"/>
        <w:gridCol w:w="702"/>
        <w:gridCol w:w="703"/>
        <w:gridCol w:w="701"/>
        <w:gridCol w:w="702"/>
      </w:tblGrid>
      <w:tr>
        <w:tc>
          <w:tcPr>
            <w:tcW w:w="1276" w:type="dxa"/>
            <w:vMerge w:val="restart"/>
          </w:tcPr>
          <w:p>
            <w:pPr>
              <w:spacing w:before="0" w:after="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Podskupina vozila </w:t>
            </w:r>
            <w:r>
              <w:rPr>
                <w:b/>
                <w:i/>
                <w:noProof/>
                <w:sz w:val="22"/>
              </w:rPr>
              <w:t>sg</w:t>
            </w:r>
          </w:p>
        </w:tc>
        <w:tc>
          <w:tcPr>
            <w:tcW w:w="7089" w:type="dxa"/>
            <w:gridSpan w:val="10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Namjenski profil</w:t>
            </w:r>
            <w:r>
              <w:rPr>
                <w:b/>
                <w:i/>
                <w:noProof/>
                <w:vertAlign w:val="superscript"/>
              </w:rPr>
              <w:t>1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i/>
                <w:noProof/>
              </w:rPr>
              <w:t>mp</w:t>
            </w:r>
            <w:r>
              <w:rPr>
                <w:b/>
                <w:noProof/>
              </w:rPr>
              <w:t xml:space="preserve"> </w:t>
            </w:r>
          </w:p>
        </w:tc>
      </w:tr>
      <w:tr>
        <w:tc>
          <w:tcPr>
            <w:tcW w:w="1276" w:type="dxa"/>
            <w:vMerge/>
          </w:tcPr>
          <w:p>
            <w:pPr>
              <w:spacing w:before="0" w:after="0"/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709" w:type="dxa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RDL</w:t>
            </w:r>
          </w:p>
        </w:tc>
        <w:tc>
          <w:tcPr>
            <w:tcW w:w="709" w:type="dxa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RDR</w:t>
            </w:r>
          </w:p>
        </w:tc>
        <w:tc>
          <w:tcPr>
            <w:tcW w:w="709" w:type="dxa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LHL</w:t>
            </w:r>
          </w:p>
        </w:tc>
        <w:tc>
          <w:tcPr>
            <w:tcW w:w="708" w:type="dxa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LHR</w:t>
            </w:r>
          </w:p>
        </w:tc>
        <w:tc>
          <w:tcPr>
            <w:tcW w:w="709" w:type="dxa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UDL</w:t>
            </w:r>
          </w:p>
        </w:tc>
        <w:tc>
          <w:tcPr>
            <w:tcW w:w="709" w:type="dxa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UDR</w:t>
            </w:r>
          </w:p>
        </w:tc>
        <w:tc>
          <w:tcPr>
            <w:tcW w:w="709" w:type="dxa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REL</w:t>
            </w:r>
          </w:p>
        </w:tc>
        <w:tc>
          <w:tcPr>
            <w:tcW w:w="709" w:type="dxa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RER</w:t>
            </w:r>
          </w:p>
        </w:tc>
        <w:tc>
          <w:tcPr>
            <w:tcW w:w="709" w:type="dxa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LEL</w:t>
            </w:r>
          </w:p>
        </w:tc>
        <w:tc>
          <w:tcPr>
            <w:tcW w:w="709" w:type="dxa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LER</w:t>
            </w:r>
          </w:p>
        </w:tc>
      </w:tr>
      <w:tr>
        <w:tc>
          <w:tcPr>
            <w:tcW w:w="1276" w:type="dxa"/>
          </w:tcPr>
          <w:p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4-UD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0,9</w:t>
            </w:r>
          </w:p>
          <w:p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4,4</w:t>
            </w:r>
          </w:p>
          <w:p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before="0" w:after="0"/>
              <w:jc w:val="left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1,9</w:t>
            </w:r>
          </w:p>
        </w:tc>
        <w:tc>
          <w:tcPr>
            <w:tcW w:w="708" w:type="dxa"/>
            <w:vMerge w:val="restart"/>
          </w:tcPr>
          <w:p>
            <w:pPr>
              <w:spacing w:before="0" w:after="0"/>
              <w:jc w:val="left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14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0,9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4,4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17,5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26,5</w:t>
            </w:r>
          </w:p>
        </w:tc>
      </w:tr>
      <w:tr>
        <w:tc>
          <w:tcPr>
            <w:tcW w:w="1276" w:type="dxa"/>
          </w:tcPr>
          <w:p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4-RD</w:t>
            </w:r>
          </w:p>
        </w:tc>
        <w:tc>
          <w:tcPr>
            <w:tcW w:w="709" w:type="dxa"/>
            <w:vMerge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8" w:type="dxa"/>
            <w:vMerge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  <w:tr>
        <w:tc>
          <w:tcPr>
            <w:tcW w:w="1276" w:type="dxa"/>
          </w:tcPr>
          <w:p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4-LH</w:t>
            </w:r>
          </w:p>
        </w:tc>
        <w:tc>
          <w:tcPr>
            <w:tcW w:w="709" w:type="dxa"/>
            <w:vMerge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8" w:type="dxa"/>
            <w:vMerge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  <w:tr>
        <w:tc>
          <w:tcPr>
            <w:tcW w:w="1276" w:type="dxa"/>
          </w:tcPr>
          <w:p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5-RD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12,9</w:t>
            </w:r>
          </w:p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</w:tc>
        <w:tc>
          <w:tcPr>
            <w:tcW w:w="708" w:type="dxa"/>
            <w:vMerge w:val="restart"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19,3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2,6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12,9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17,5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26,5</w:t>
            </w:r>
          </w:p>
        </w:tc>
      </w:tr>
      <w:tr>
        <w:tc>
          <w:tcPr>
            <w:tcW w:w="1276" w:type="dxa"/>
          </w:tcPr>
          <w:p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5-LH</w:t>
            </w:r>
          </w:p>
        </w:tc>
        <w:tc>
          <w:tcPr>
            <w:tcW w:w="709" w:type="dxa"/>
            <w:vMerge/>
          </w:tcPr>
          <w:p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8" w:type="dxa"/>
            <w:vMerge/>
          </w:tcPr>
          <w:p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  <w:tr>
        <w:trPr>
          <w:trHeight w:val="224"/>
        </w:trPr>
        <w:tc>
          <w:tcPr>
            <w:tcW w:w="1276" w:type="dxa"/>
          </w:tcPr>
          <w:p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9-RD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1,4</w:t>
            </w:r>
          </w:p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7,1</w:t>
            </w:r>
          </w:p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</w:tc>
        <w:tc>
          <w:tcPr>
            <w:tcW w:w="708" w:type="dxa"/>
            <w:vMerge w:val="restart"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19,3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1,4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7,1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17,5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26,5</w:t>
            </w:r>
          </w:p>
        </w:tc>
      </w:tr>
      <w:tr>
        <w:tc>
          <w:tcPr>
            <w:tcW w:w="1276" w:type="dxa"/>
          </w:tcPr>
          <w:p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9-LH</w:t>
            </w:r>
          </w:p>
        </w:tc>
        <w:tc>
          <w:tcPr>
            <w:tcW w:w="709" w:type="dxa"/>
            <w:vMerge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8" w:type="dxa"/>
            <w:vMerge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  <w:tr>
        <w:tc>
          <w:tcPr>
            <w:tcW w:w="1276" w:type="dxa"/>
          </w:tcPr>
          <w:p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10-RD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12,9</w:t>
            </w:r>
          </w:p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</w:tc>
        <w:tc>
          <w:tcPr>
            <w:tcW w:w="708" w:type="dxa"/>
            <w:vMerge w:val="restart"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19,3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2,6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12,9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17,5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26,5</w:t>
            </w:r>
          </w:p>
        </w:tc>
      </w:tr>
      <w:tr>
        <w:tc>
          <w:tcPr>
            <w:tcW w:w="1276" w:type="dxa"/>
          </w:tcPr>
          <w:p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10-LH</w:t>
            </w:r>
          </w:p>
        </w:tc>
        <w:tc>
          <w:tcPr>
            <w:tcW w:w="709" w:type="dxa"/>
            <w:vMerge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8" w:type="dxa"/>
            <w:vMerge/>
          </w:tcPr>
          <w:p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</w:tbl>
    <w:p>
      <w:pPr>
        <w:spacing w:before="0" w:after="200" w:line="276" w:lineRule="auto"/>
        <w:ind w:left="720" w:firstLine="130"/>
        <w:contextualSpacing/>
        <w:jc w:val="left"/>
        <w:rPr>
          <w:noProof/>
          <w:sz w:val="22"/>
        </w:rPr>
      </w:pPr>
      <w:r>
        <w:rPr>
          <w:noProof/>
          <w:sz w:val="22"/>
          <w:vertAlign w:val="superscript"/>
        </w:rPr>
        <w:t>1</w:t>
      </w:r>
      <w:r>
        <w:rPr>
          <w:noProof/>
          <w:sz w:val="22"/>
        </w:rPr>
        <w:t xml:space="preserve"> Vidjeti definicije namjenskog profila u tablici 2. točke 1.</w:t>
      </w:r>
    </w:p>
    <w:p>
      <w:pPr>
        <w:pStyle w:val="Heading2"/>
        <w:rPr>
          <w:noProof/>
        </w:rPr>
      </w:pPr>
      <w:r>
        <w:rPr>
          <w:noProof/>
        </w:rPr>
        <w:t>Izračun pondera kilometraže i korisnog tereta</w:t>
      </w:r>
    </w:p>
    <w:p>
      <w:pPr>
        <w:ind w:left="720"/>
        <w:rPr>
          <w:noProof/>
        </w:rPr>
      </w:pPr>
      <w:r>
        <w:rPr>
          <w:noProof/>
        </w:rPr>
        <w:t>Ponder kilometraže i korisnog tereta (MPW</w:t>
      </w:r>
      <w:r>
        <w:rPr>
          <w:noProof/>
          <w:vertAlign w:val="subscript"/>
        </w:rPr>
        <w:t>sg</w:t>
      </w:r>
      <w:r>
        <w:rPr>
          <w:noProof/>
        </w:rPr>
        <w:t xml:space="preserve">) podskupine </w:t>
      </w:r>
      <w:r>
        <w:rPr>
          <w:i/>
          <w:noProof/>
        </w:rPr>
        <w:t>sg</w:t>
      </w:r>
      <w:r>
        <w:rPr>
          <w:noProof/>
        </w:rPr>
        <w:t xml:space="preserve"> definira se kao umnožak godišnje kilometraže navedene u tablici 4. i vrijednosti korisnog tereta navedene u tablici 3. točke 2.5. normalizirane na vrijednosti za podskupinu 5-LH i izračunava se na sljedeći način:</w:t>
      </w:r>
    </w:p>
    <w:p>
      <w:pPr>
        <w:rPr>
          <w:noProof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MPW</m:t>
              </m:r>
            </m:e>
            <m:sub>
              <m:r>
                <w:rPr>
                  <w:rFonts w:ascii="Cambria Math" w:hAnsi="Cambria Math"/>
                  <w:noProof/>
                </w:rPr>
                <m:t>sg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AM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 xml:space="preserve">sg </m:t>
                  </m:r>
                </m:sub>
              </m:sSub>
              <m:r>
                <w:rPr>
                  <w:rFonts w:ascii="Cambria Math" w:hAnsi="Cambria Math"/>
                  <w:noProof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PL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sg</m:t>
                  </m:r>
                </m:sub>
              </m:sSub>
              <m:r>
                <w:rPr>
                  <w:rFonts w:ascii="Cambria Math" w:hAnsi="Cambria Math"/>
                  <w:noProof/>
                </w:rPr>
                <m:t>)</m:t>
              </m:r>
            </m:num>
            <m:den>
              <m:r>
                <w:rPr>
                  <w:rFonts w:ascii="Cambria Math" w:hAnsi="Cambria Math"/>
                  <w:noProof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AM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 xml:space="preserve">5-LH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×PL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5-LH</m:t>
                  </m:r>
                </m:sub>
              </m:sSub>
              <m:r>
                <w:rPr>
                  <w:rFonts w:ascii="Cambria Math" w:hAnsi="Cambria Math"/>
                  <w:noProof/>
                </w:rPr>
                <m:t>)</m:t>
              </m:r>
            </m:den>
          </m:f>
        </m:oMath>
      </m:oMathPara>
    </w:p>
    <w:p>
      <w:pPr>
        <w:ind w:left="850"/>
        <w:rPr>
          <w:noProof/>
        </w:rPr>
      </w:pPr>
      <w:r>
        <w:rPr>
          <w:noProof/>
        </w:rPr>
        <w:t>pri čemu je:</w:t>
      </w:r>
    </w:p>
    <w:p>
      <w:pPr>
        <w:ind w:left="2155" w:hanging="1305"/>
        <w:rPr>
          <w:noProof/>
        </w:rPr>
      </w:pPr>
      <w:r>
        <w:rPr>
          <w:i/>
          <w:noProof/>
        </w:rPr>
        <w:t>AM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>godišnja kilometraža iz tablice 4. za vozila u odgovarajućoj podskupini,</w:t>
      </w:r>
    </w:p>
    <w:p>
      <w:pPr>
        <w:ind w:left="2155" w:hanging="1305"/>
        <w:rPr>
          <w:noProof/>
        </w:rPr>
      </w:pPr>
      <w:r>
        <w:rPr>
          <w:i/>
          <w:noProof/>
        </w:rPr>
        <w:t>AM</w:t>
      </w:r>
      <w:r>
        <w:rPr>
          <w:i/>
          <w:noProof/>
          <w:vertAlign w:val="subscript"/>
        </w:rPr>
        <w:t>5-LH</w:t>
      </w:r>
      <w:r>
        <w:rPr>
          <w:noProof/>
        </w:rPr>
        <w:tab/>
        <w:t>godišnja kilometraža za podskupinu 5-LH u tablici 4.,</w:t>
      </w:r>
    </w:p>
    <w:p>
      <w:pPr>
        <w:ind w:left="2155" w:hanging="1305"/>
        <w:rPr>
          <w:noProof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>kako je utvrđen u točki 2.5.;</w:t>
      </w:r>
    </w:p>
    <w:p>
      <w:pPr>
        <w:ind w:left="2155" w:hanging="1305"/>
        <w:rPr>
          <w:noProof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5-LH</w:t>
      </w:r>
      <w:r>
        <w:rPr>
          <w:noProof/>
        </w:rPr>
        <w:tab/>
        <w:t>vrijednost korisnog tereta za podskupinu 5-LH u tablici 3. točke 2.5.,</w:t>
      </w:r>
    </w:p>
    <w:p>
      <w:pPr>
        <w:ind w:left="2155" w:hanging="1305"/>
        <w:rPr>
          <w:b/>
          <w:noProof/>
        </w:rPr>
      </w:pPr>
      <w:r>
        <w:rPr>
          <w:b/>
          <w:noProof/>
        </w:rPr>
        <w:t>Tablica 4. – Godišnje kilometraže</w:t>
      </w:r>
    </w:p>
    <w:tbl>
      <w:tblPr>
        <w:tblStyle w:val="TableGrid1"/>
        <w:tblW w:w="3783" w:type="dxa"/>
        <w:tblInd w:w="720" w:type="dxa"/>
        <w:tblLook w:val="04A0" w:firstRow="1" w:lastRow="0" w:firstColumn="1" w:lastColumn="0" w:noHBand="0" w:noVBand="1"/>
      </w:tblPr>
      <w:tblGrid>
        <w:gridCol w:w="1417"/>
        <w:gridCol w:w="2366"/>
      </w:tblGrid>
      <w:tr>
        <w:trPr>
          <w:trHeight w:val="816"/>
        </w:trPr>
        <w:tc>
          <w:tcPr>
            <w:tcW w:w="1089" w:type="dxa"/>
          </w:tcPr>
          <w:p>
            <w:pPr>
              <w:spacing w:before="0" w:after="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lastRenderedPageBreak/>
              <w:t xml:space="preserve">Vozilo </w:t>
            </w:r>
          </w:p>
          <w:p>
            <w:pPr>
              <w:spacing w:before="0" w:after="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podskupina </w:t>
            </w:r>
            <w:r>
              <w:rPr>
                <w:b/>
                <w:i/>
                <w:noProof/>
              </w:rPr>
              <w:t>sg</w:t>
            </w:r>
          </w:p>
        </w:tc>
        <w:tc>
          <w:tcPr>
            <w:tcW w:w="2694" w:type="dxa"/>
          </w:tcPr>
          <w:p>
            <w:pPr>
              <w:spacing w:before="0" w:after="0"/>
              <w:contextualSpacing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Godišnja kilometraža AM</w:t>
            </w:r>
            <w:r>
              <w:rPr>
                <w:b/>
                <w:noProof/>
                <w:vertAlign w:val="subscript"/>
              </w:rPr>
              <w:t>sg</w:t>
            </w:r>
            <w:r>
              <w:rPr>
                <w:b/>
                <w:noProof/>
              </w:rPr>
              <w:t xml:space="preserve"> (u km)</w:t>
            </w:r>
          </w:p>
        </w:tc>
      </w:tr>
      <w:tr>
        <w:tc>
          <w:tcPr>
            <w:tcW w:w="1089" w:type="dxa"/>
          </w:tcPr>
          <w:p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4-UD</w:t>
            </w:r>
          </w:p>
        </w:tc>
        <w:tc>
          <w:tcPr>
            <w:tcW w:w="2694" w:type="dxa"/>
          </w:tcPr>
          <w:p>
            <w:pPr>
              <w:spacing w:before="0" w:after="0"/>
              <w:contextualSpacing/>
              <w:jc w:val="right"/>
              <w:rPr>
                <w:noProof/>
                <w:szCs w:val="24"/>
                <w:highlight w:val="yellow"/>
              </w:rPr>
            </w:pPr>
            <w:r>
              <w:rPr>
                <w:noProof/>
              </w:rPr>
              <w:t>60 000</w:t>
            </w:r>
          </w:p>
        </w:tc>
      </w:tr>
      <w:tr>
        <w:tc>
          <w:tcPr>
            <w:tcW w:w="1089" w:type="dxa"/>
          </w:tcPr>
          <w:p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4-RD</w:t>
            </w:r>
          </w:p>
        </w:tc>
        <w:tc>
          <w:tcPr>
            <w:tcW w:w="2694" w:type="dxa"/>
            <w:vAlign w:val="center"/>
          </w:tcPr>
          <w:p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78 000</w:t>
            </w:r>
          </w:p>
        </w:tc>
      </w:tr>
      <w:tr>
        <w:tc>
          <w:tcPr>
            <w:tcW w:w="1089" w:type="dxa"/>
          </w:tcPr>
          <w:p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4-LH</w:t>
            </w:r>
          </w:p>
        </w:tc>
        <w:tc>
          <w:tcPr>
            <w:tcW w:w="2694" w:type="dxa"/>
            <w:vAlign w:val="center"/>
          </w:tcPr>
          <w:p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98 000</w:t>
            </w:r>
          </w:p>
        </w:tc>
      </w:tr>
      <w:tr>
        <w:tc>
          <w:tcPr>
            <w:tcW w:w="1089" w:type="dxa"/>
          </w:tcPr>
          <w:p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5-RD</w:t>
            </w:r>
          </w:p>
        </w:tc>
        <w:tc>
          <w:tcPr>
            <w:tcW w:w="2694" w:type="dxa"/>
            <w:vAlign w:val="center"/>
          </w:tcPr>
          <w:p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78 000</w:t>
            </w:r>
          </w:p>
        </w:tc>
      </w:tr>
      <w:tr>
        <w:tc>
          <w:tcPr>
            <w:tcW w:w="1089" w:type="dxa"/>
          </w:tcPr>
          <w:p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5-LH</w:t>
            </w:r>
          </w:p>
        </w:tc>
        <w:tc>
          <w:tcPr>
            <w:tcW w:w="2694" w:type="dxa"/>
            <w:vAlign w:val="center"/>
          </w:tcPr>
          <w:p>
            <w:pPr>
              <w:spacing w:before="0" w:after="0"/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116 000</w:t>
            </w:r>
          </w:p>
        </w:tc>
      </w:tr>
      <w:tr>
        <w:trPr>
          <w:trHeight w:val="224"/>
        </w:trPr>
        <w:tc>
          <w:tcPr>
            <w:tcW w:w="1089" w:type="dxa"/>
          </w:tcPr>
          <w:p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9-RD</w:t>
            </w:r>
          </w:p>
        </w:tc>
        <w:tc>
          <w:tcPr>
            <w:tcW w:w="2694" w:type="dxa"/>
            <w:vAlign w:val="center"/>
          </w:tcPr>
          <w:p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73 000</w:t>
            </w:r>
          </w:p>
        </w:tc>
      </w:tr>
      <w:tr>
        <w:tc>
          <w:tcPr>
            <w:tcW w:w="1089" w:type="dxa"/>
          </w:tcPr>
          <w:p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9-LH</w:t>
            </w:r>
          </w:p>
        </w:tc>
        <w:tc>
          <w:tcPr>
            <w:tcW w:w="2694" w:type="dxa"/>
            <w:vAlign w:val="center"/>
          </w:tcPr>
          <w:p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108 000</w:t>
            </w:r>
          </w:p>
        </w:tc>
      </w:tr>
      <w:tr>
        <w:tc>
          <w:tcPr>
            <w:tcW w:w="1089" w:type="dxa"/>
          </w:tcPr>
          <w:p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10-RD</w:t>
            </w:r>
          </w:p>
        </w:tc>
        <w:tc>
          <w:tcPr>
            <w:tcW w:w="2694" w:type="dxa"/>
            <w:vAlign w:val="center"/>
          </w:tcPr>
          <w:p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68 000</w:t>
            </w:r>
          </w:p>
        </w:tc>
      </w:tr>
      <w:tr>
        <w:tc>
          <w:tcPr>
            <w:tcW w:w="1089" w:type="dxa"/>
          </w:tcPr>
          <w:p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10-LH</w:t>
            </w:r>
          </w:p>
        </w:tc>
        <w:tc>
          <w:tcPr>
            <w:tcW w:w="2694" w:type="dxa"/>
            <w:vAlign w:val="center"/>
          </w:tcPr>
          <w:p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107 000</w:t>
            </w:r>
          </w:p>
        </w:tc>
      </w:tr>
    </w:tbl>
    <w:p>
      <w:pPr>
        <w:rPr>
          <w:noProof/>
        </w:rPr>
      </w:pPr>
    </w:p>
    <w:p>
      <w:pPr>
        <w:pStyle w:val="Heading2"/>
        <w:rPr>
          <w:noProof/>
        </w:rPr>
      </w:pPr>
      <w:r>
        <w:rPr>
          <w:noProof/>
        </w:rPr>
        <w:t>Izračun prosječnih godišnjih emisija CO</w:t>
      </w:r>
      <w:r>
        <w:rPr>
          <w:noProof/>
          <w:vertAlign w:val="subscript"/>
        </w:rPr>
        <w:t>2</w:t>
      </w:r>
      <w:r>
        <w:rPr>
          <w:noProof/>
        </w:rPr>
        <w:t xml:space="preserve"> u g/tkm proizvođača iz članka 4.</w:t>
      </w:r>
    </w:p>
    <w:p>
      <w:pPr>
        <w:ind w:left="850"/>
        <w:rPr>
          <w:noProof/>
        </w:rPr>
      </w:pPr>
      <w:r>
        <w:rPr>
          <w:noProof/>
        </w:rPr>
        <w:t>Prosječne 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u g/tkm (</w:t>
      </w:r>
      <w:r>
        <w:rPr>
          <w:i/>
          <w:noProof/>
          <w:sz w:val="22"/>
        </w:rPr>
        <w:t>CO2</w:t>
      </w:r>
      <w:r>
        <w:rPr>
          <w:noProof/>
        </w:rPr>
        <w:t>) izračunavaju se za svakog proizvođača i svaku kalendarsku godinu na sljedeći način:</w:t>
      </w:r>
    </w:p>
    <w:p>
      <w:pPr>
        <w:spacing w:before="0" w:after="200" w:line="276" w:lineRule="auto"/>
        <w:ind w:left="720" w:firstLine="720"/>
        <w:contextualSpacing/>
        <w:jc w:val="left"/>
        <w:rPr>
          <w:i/>
          <w:noProof/>
          <w:sz w:val="22"/>
        </w:rPr>
      </w:pPr>
      <w:r>
        <w:rPr>
          <w:i/>
          <w:noProof/>
          <w:sz w:val="22"/>
        </w:rPr>
        <w:t>CO2</w:t>
      </w:r>
      <w:r>
        <w:rPr>
          <w:i/>
          <w:noProof/>
          <w:sz w:val="22"/>
          <w:vertAlign w:val="subscript"/>
        </w:rPr>
        <w:t xml:space="preserve"> </w:t>
      </w:r>
      <w:r>
        <w:rPr>
          <w:i/>
          <w:noProof/>
          <w:sz w:val="22"/>
        </w:rPr>
        <w:t xml:space="preserve">= ZLEV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∑ 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  <w:sz w:val="22"/>
        </w:rPr>
        <w:t xml:space="preserve">  share</w:t>
      </w:r>
      <w:r>
        <w:rPr>
          <w:i/>
          <w:noProof/>
          <w:sz w:val="22"/>
          <w:vertAlign w:val="subscript"/>
        </w:rPr>
        <w:t>,sg</w:t>
      </w:r>
      <w:r>
        <w:rPr>
          <w:i/>
          <w:noProof/>
          <w:sz w:val="22"/>
        </w:rPr>
        <w:t xml:space="preserve">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 </w:t>
      </w:r>
      <w:r>
        <w:rPr>
          <w:i/>
          <w:noProof/>
        </w:rPr>
        <w:t>MPW</w:t>
      </w:r>
      <w:r>
        <w:rPr>
          <w:i/>
          <w:noProof/>
          <w:vertAlign w:val="subscript"/>
        </w:rPr>
        <w:t>sg</w:t>
      </w:r>
      <w:r>
        <w:rPr>
          <w:i/>
          <w:noProof/>
          <w:sz w:val="22"/>
        </w:rPr>
        <w:t xml:space="preserve">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avgCO2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  <w:sz w:val="22"/>
        </w:rPr>
        <w:t xml:space="preserve"> </w:t>
      </w:r>
    </w:p>
    <w:p>
      <w:pPr>
        <w:spacing w:before="0" w:after="200" w:line="276" w:lineRule="auto"/>
        <w:ind w:left="720" w:firstLine="720"/>
        <w:contextualSpacing/>
        <w:jc w:val="left"/>
        <w:rPr>
          <w:i/>
          <w:noProof/>
          <w:sz w:val="22"/>
        </w:rPr>
      </w:pPr>
    </w:p>
    <w:p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pri čemu je:</w:t>
      </w:r>
    </w:p>
    <w:p>
      <w:pPr>
        <w:ind w:left="720" w:firstLine="720"/>
        <w:jc w:val="left"/>
        <w:rPr>
          <w:noProof/>
          <w:szCs w:val="24"/>
        </w:rPr>
      </w:pPr>
      <w:r>
        <w:rPr>
          <w:i/>
          <w:noProof/>
          <w:sz w:val="22"/>
        </w:rPr>
        <w:t xml:space="preserve">∑ 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  <w:t>zbroj za sve podskupine,</w:t>
      </w:r>
    </w:p>
    <w:p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  <w:sz w:val="22"/>
        </w:rPr>
        <w:t>ZLEV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kako je utvrđen u točki 2.3.;</w:t>
      </w:r>
    </w:p>
    <w:p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  <w:sz w:val="22"/>
        </w:rPr>
        <w:t>share</w:t>
      </w:r>
      <w:r>
        <w:rPr>
          <w:i/>
          <w:noProof/>
          <w:sz w:val="22"/>
          <w:vertAlign w:val="subscript"/>
        </w:rPr>
        <w:t>,sg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kako je utvrđen u točki 2.4.;</w:t>
      </w:r>
    </w:p>
    <w:p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</w:rPr>
        <w:t>MPW</w:t>
      </w:r>
      <w:r>
        <w:rPr>
          <w:i/>
          <w:noProof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kako je utvrđen u točki 2.6.;</w:t>
      </w:r>
    </w:p>
    <w:p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  <w:sz w:val="22"/>
        </w:rPr>
        <w:t>avgCO2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</w:r>
      <w:r>
        <w:rPr>
          <w:noProof/>
          <w:sz w:val="22"/>
        </w:rPr>
        <w:t>kako je utvrđen u točki 2.2.;</w:t>
      </w:r>
    </w:p>
    <w:p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>
      <w:pPr>
        <w:pStyle w:val="Heading1"/>
        <w:rPr>
          <w:noProof/>
        </w:rPr>
      </w:pPr>
      <w:r>
        <w:rPr>
          <w:noProof/>
        </w:rPr>
        <w:t>Izračun referentnih emisija CO</w:t>
      </w:r>
      <w:r>
        <w:rPr>
          <w:noProof/>
          <w:vertAlign w:val="subscript"/>
        </w:rPr>
        <w:t>2</w:t>
      </w:r>
      <w:r>
        <w:rPr>
          <w:noProof/>
        </w:rPr>
        <w:t xml:space="preserve"> iz članka 1.</w:t>
      </w:r>
    </w:p>
    <w:p>
      <w:pPr>
        <w:spacing w:before="0" w:after="200" w:line="276" w:lineRule="auto"/>
        <w:ind w:left="720"/>
        <w:contextualSpacing/>
        <w:jc w:val="left"/>
        <w:rPr>
          <w:noProof/>
        </w:rPr>
      </w:pPr>
      <w:r>
        <w:rPr>
          <w:noProof/>
        </w:rPr>
        <w:t>Referentne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(</w:t>
      </w:r>
      <w:r>
        <w:rPr>
          <w:i/>
          <w:noProof/>
        </w:rPr>
        <w:t>rCO2</w:t>
      </w:r>
      <w:r>
        <w:rPr>
          <w:i/>
          <w:noProof/>
          <w:vertAlign w:val="subscript"/>
        </w:rPr>
        <w:t>sg</w:t>
      </w:r>
      <w:r>
        <w:rPr>
          <w:noProof/>
        </w:rPr>
        <w:t xml:space="preserve">) izračunavaju se za svaku podskupinu </w:t>
      </w:r>
      <w:r>
        <w:rPr>
          <w:i/>
          <w:noProof/>
        </w:rPr>
        <w:t>sg</w:t>
      </w:r>
      <w:r>
        <w:rPr>
          <w:noProof/>
        </w:rPr>
        <w:t xml:space="preserve"> na temelju svih novih teških vozila svih proizvođača za 2019. na sljedeći način: </w:t>
      </w:r>
    </w:p>
    <w:p>
      <w:pPr>
        <w:spacing w:before="0" w:after="200" w:line="276" w:lineRule="auto"/>
        <w:ind w:left="720"/>
        <w:contextualSpacing/>
        <w:jc w:val="left"/>
        <w:rPr>
          <w:noProof/>
        </w:rPr>
      </w:pPr>
    </w:p>
    <w:p>
      <w:pPr>
        <w:ind w:left="850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rCO2</m:t>
              </m:r>
            </m:e>
            <m:sub>
              <m:r>
                <w:rPr>
                  <w:rFonts w:ascii="Cambria Math" w:hAnsi="Cambria Math"/>
                  <w:noProof/>
                </w:rPr>
                <m:t>sg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noProof/>
                    </w:rPr>
                    <m:t>v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CO2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</w:rPr>
                        <m:t>v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rV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sg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</w:rPr>
                <m:t xml:space="preserve"> x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PL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sg</m:t>
                  </m:r>
                </m:sub>
              </m:sSub>
            </m:den>
          </m:f>
        </m:oMath>
      </m:oMathPara>
    </w:p>
    <w:p>
      <w:pPr>
        <w:ind w:left="850"/>
        <w:jc w:val="left"/>
        <w:rPr>
          <w:noProof/>
          <w:sz w:val="22"/>
        </w:rPr>
      </w:pPr>
      <w:r>
        <w:rPr>
          <w:noProof/>
          <w:sz w:val="22"/>
        </w:rPr>
        <w:t>pri čemu je:</w:t>
      </w:r>
    </w:p>
    <w:p>
      <w:pPr>
        <w:ind w:left="2155" w:hanging="1305"/>
        <w:jc w:val="left"/>
        <w:rPr>
          <w:noProof/>
          <w:szCs w:val="24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noProof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noProof/>
                <w:sz w:val="20"/>
                <w:szCs w:val="20"/>
              </w:rPr>
              <m:t>v</m:t>
            </m:r>
          </m:sub>
          <m:sup/>
          <m:e/>
        </m:nary>
      </m:oMath>
      <w:r>
        <w:rPr>
          <w:noProof/>
        </w:rPr>
        <w:tab/>
        <w:t xml:space="preserve">zbroj za sva nova teška vozila registrirana tijekom 2019. u podskupini </w:t>
      </w:r>
      <w:r>
        <w:rPr>
          <w:i/>
          <w:noProof/>
        </w:rPr>
        <w:t>sg</w:t>
      </w:r>
      <w:r>
        <w:rPr>
          <w:noProof/>
        </w:rPr>
        <w:t xml:space="preserve">, ne računajući sva namjenska vozila u skladu s člankom 1. drugim podstavkom,  </w:t>
      </w:r>
      <w:r>
        <w:rPr>
          <w:noProof/>
        </w:rPr>
        <w:tab/>
      </w:r>
    </w:p>
    <w:p>
      <w:pPr>
        <w:ind w:left="2155" w:hanging="1305"/>
        <w:jc w:val="left"/>
        <w:rPr>
          <w:rFonts w:eastAsiaTheme="minorEastAsia"/>
          <w:noProof/>
          <w:szCs w:val="24"/>
          <w:vertAlign w:val="subscript"/>
        </w:rPr>
      </w:pPr>
      <w:r>
        <w:rPr>
          <w:rFonts w:eastAsiaTheme="minorEastAsia"/>
          <w:i/>
          <w:noProof/>
        </w:rPr>
        <w:t>CO2</w:t>
      </w:r>
      <w:r>
        <w:rPr>
          <w:rFonts w:eastAsiaTheme="minorEastAsia"/>
          <w:i/>
          <w:noProof/>
          <w:vertAlign w:val="subscript"/>
        </w:rPr>
        <w:t>v</w:t>
      </w:r>
      <w:r>
        <w:rPr>
          <w:noProof/>
        </w:rPr>
        <w:tab/>
        <w:t>specifične emisije CO</w:t>
      </w:r>
      <w:r>
        <w:rPr>
          <w:rFonts w:eastAsiaTheme="minorEastAsia"/>
          <w:noProof/>
          <w:vertAlign w:val="subscript"/>
        </w:rPr>
        <w:t>2</w:t>
      </w:r>
      <w:r>
        <w:rPr>
          <w:noProof/>
        </w:rPr>
        <w:t xml:space="preserve"> vozila </w:t>
      </w:r>
      <w:r>
        <w:rPr>
          <w:rFonts w:eastAsiaTheme="minorEastAsia"/>
          <w:i/>
          <w:noProof/>
        </w:rPr>
        <w:t>v</w:t>
      </w:r>
      <w:r>
        <w:rPr>
          <w:noProof/>
        </w:rPr>
        <w:t xml:space="preserve"> utvrđene u skladu s točkom 2.1., prema potrebi prilagođene u skladu s Prilogom II.,</w:t>
      </w:r>
    </w:p>
    <w:p>
      <w:pPr>
        <w:ind w:left="2155" w:hanging="1305"/>
        <w:jc w:val="left"/>
        <w:rPr>
          <w:noProof/>
        </w:rPr>
      </w:pPr>
      <w:r>
        <w:rPr>
          <w:i/>
          <w:noProof/>
        </w:rPr>
        <w:t>rV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 xml:space="preserve">broj svih novih teških vozila registriranih tijekom 2019. u podskupini </w:t>
      </w:r>
      <w:r>
        <w:rPr>
          <w:i/>
          <w:noProof/>
        </w:rPr>
        <w:t>sg</w:t>
      </w:r>
      <w:r>
        <w:rPr>
          <w:noProof/>
        </w:rPr>
        <w:t xml:space="preserve"> osim svih namjenskih vozila u skladu s člankom 1. drugim podstavkom,</w:t>
      </w:r>
    </w:p>
    <w:p>
      <w:pPr>
        <w:spacing w:before="0" w:after="0"/>
        <w:ind w:left="2155" w:hanging="1305"/>
        <w:rPr>
          <w:noProof/>
          <w:szCs w:val="24"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 xml:space="preserve">prosječan korisni teret vozila u podskupini </w:t>
      </w:r>
      <w:r>
        <w:rPr>
          <w:i/>
          <w:noProof/>
        </w:rPr>
        <w:t>sg</w:t>
      </w:r>
      <w:r>
        <w:rPr>
          <w:noProof/>
        </w:rPr>
        <w:t xml:space="preserve"> kako je utvrđeno u toči 2.5.</w:t>
      </w:r>
    </w:p>
    <w:p>
      <w:pPr>
        <w:ind w:left="2155" w:hanging="1305"/>
        <w:jc w:val="left"/>
        <w:rPr>
          <w:noProof/>
          <w:sz w:val="22"/>
        </w:rPr>
      </w:pPr>
      <w:r>
        <w:rPr>
          <w:noProof/>
        </w:rPr>
        <w:lastRenderedPageBreak/>
        <w:t xml:space="preserve"> </w:t>
      </w:r>
    </w:p>
    <w:p>
      <w:pPr>
        <w:pStyle w:val="Heading1"/>
        <w:rPr>
          <w:noProof/>
        </w:rPr>
      </w:pPr>
      <w:r>
        <w:rPr>
          <w:noProof/>
        </w:rPr>
        <w:t>Izračun ciljanih vrijednosti specifičnih emisija proizvođača iz članka 6.</w:t>
      </w:r>
    </w:p>
    <w:p>
      <w:pPr>
        <w:ind w:left="850"/>
        <w:rPr>
          <w:noProof/>
        </w:rPr>
      </w:pPr>
      <w:r>
        <w:rPr>
          <w:noProof/>
        </w:rPr>
        <w:t xml:space="preserve">Ciljana vrijednost specifičnih emisija </w:t>
      </w:r>
      <w:r>
        <w:rPr>
          <w:i/>
          <w:noProof/>
        </w:rPr>
        <w:t>T</w:t>
      </w:r>
      <w:r>
        <w:rPr>
          <w:noProof/>
        </w:rPr>
        <w:t xml:space="preserve"> za svakog proizvođača i svaku kalendarsku godinu od 2025. nadalje izračunava se na sljedeći način:</w:t>
      </w:r>
    </w:p>
    <w:p>
      <w:pPr>
        <w:spacing w:before="0" w:after="200" w:line="276" w:lineRule="auto"/>
        <w:ind w:left="720" w:firstLine="720"/>
        <w:jc w:val="left"/>
        <w:rPr>
          <w:i/>
          <w:noProof/>
          <w:szCs w:val="24"/>
          <w:vertAlign w:val="subscript"/>
        </w:rPr>
      </w:pPr>
      <w:r>
        <w:rPr>
          <w:i/>
          <w:noProof/>
        </w:rPr>
        <w:t xml:space="preserve">T = ∑ </w:t>
      </w:r>
      <w:r>
        <w:rPr>
          <w:i/>
          <w:noProof/>
          <w:vertAlign w:val="subscript"/>
        </w:rPr>
        <w:t>sg</w:t>
      </w:r>
      <w:r>
        <w:rPr>
          <w:i/>
          <w:noProof/>
        </w:rPr>
        <w:t xml:space="preserve">  </w:t>
      </w:r>
      <w:r>
        <w:rPr>
          <w:i/>
          <w:noProof/>
          <w:sz w:val="22"/>
        </w:rPr>
        <w:t>share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</w:rPr>
        <w:t xml:space="preserve"> × MPW</w:t>
      </w:r>
      <w:r>
        <w:rPr>
          <w:i/>
          <w:noProof/>
          <w:vertAlign w:val="subscript"/>
        </w:rPr>
        <w:t>sg</w:t>
      </w:r>
      <w:r>
        <w:rPr>
          <w:i/>
          <w:noProof/>
        </w:rPr>
        <w:t xml:space="preserve"> × (1 - rf)</w:t>
      </w:r>
      <w:r>
        <w:rPr>
          <w:i/>
          <w:noProof/>
          <w:vertAlign w:val="subscript"/>
        </w:rPr>
        <w:t xml:space="preserve"> </w:t>
      </w:r>
      <w:r>
        <w:rPr>
          <w:i/>
          <w:noProof/>
        </w:rPr>
        <w:t>× r</w:t>
      </w:r>
      <w:r>
        <w:rPr>
          <w:i/>
          <w:noProof/>
          <w:sz w:val="22"/>
        </w:rPr>
        <w:t>CO2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</w:rPr>
        <w:t xml:space="preserve"> </w:t>
      </w:r>
    </w:p>
    <w:p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tab/>
      </w:r>
      <w:r>
        <w:rPr>
          <w:noProof/>
        </w:rPr>
        <w:tab/>
        <w:t>pri čemu je:</w:t>
      </w:r>
    </w:p>
    <w:p>
      <w:pPr>
        <w:spacing w:before="0" w:after="0"/>
        <w:jc w:val="left"/>
        <w:rPr>
          <w:noProof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</w:rPr>
        <w:t xml:space="preserve">∑ </w:t>
      </w:r>
      <w:r>
        <w:rPr>
          <w:i/>
          <w:noProof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zbroj za sve podskupine,</w:t>
      </w:r>
    </w:p>
    <w:p>
      <w:pPr>
        <w:spacing w:before="0" w:after="0"/>
        <w:ind w:left="720" w:firstLine="720"/>
        <w:contextualSpacing/>
        <w:jc w:val="left"/>
        <w:rPr>
          <w:noProof/>
          <w:sz w:val="22"/>
        </w:rPr>
      </w:pPr>
      <w:r>
        <w:rPr>
          <w:i/>
          <w:noProof/>
        </w:rPr>
        <w:t>share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kako je utvrđen u točki 4 odjeljka 2.,</w:t>
      </w:r>
    </w:p>
    <w:p>
      <w:pPr>
        <w:spacing w:before="0" w:after="0"/>
        <w:ind w:left="720" w:firstLine="720"/>
        <w:rPr>
          <w:noProof/>
          <w:szCs w:val="24"/>
        </w:rPr>
      </w:pPr>
      <w:r>
        <w:rPr>
          <w:i/>
          <w:noProof/>
        </w:rPr>
        <w:t>MPW</w:t>
      </w:r>
      <w:r>
        <w:rPr>
          <w:i/>
          <w:noProof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  <w:t>kako je utvrđen u točki 6 odjeljka 2.,</w:t>
      </w:r>
    </w:p>
    <w:p>
      <w:pPr>
        <w:spacing w:before="0" w:after="0"/>
        <w:ind w:left="2880" w:hanging="1440"/>
        <w:rPr>
          <w:noProof/>
          <w:szCs w:val="24"/>
        </w:rPr>
      </w:pPr>
      <w:r>
        <w:rPr>
          <w:i/>
          <w:noProof/>
        </w:rPr>
        <w:t xml:space="preserve">rf </w:t>
      </w:r>
      <w:r>
        <w:rPr>
          <w:noProof/>
        </w:rPr>
        <w:tab/>
        <w:t>ciljana vrijednost smanjenja CO</w:t>
      </w:r>
      <w:r>
        <w:rPr>
          <w:noProof/>
          <w:vertAlign w:val="subscript"/>
        </w:rPr>
        <w:t>2</w:t>
      </w:r>
      <w:r>
        <w:rPr>
          <w:noProof/>
        </w:rPr>
        <w:t xml:space="preserve"> (u %) iz članka 1. točaka (a) i (b) za određenu kalendarsku godinu,</w:t>
      </w:r>
    </w:p>
    <w:p>
      <w:pPr>
        <w:spacing w:before="0" w:after="0"/>
        <w:ind w:left="720" w:firstLine="720"/>
        <w:rPr>
          <w:noProof/>
        </w:rPr>
      </w:pPr>
      <w:r>
        <w:rPr>
          <w:i/>
          <w:noProof/>
        </w:rPr>
        <w:t>rCO2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  <w:t>kako je utvrđen u odjeljku 3.</w:t>
      </w:r>
    </w:p>
    <w:p>
      <w:pPr>
        <w:pStyle w:val="Heading1"/>
        <w:rPr>
          <w:noProof/>
        </w:rPr>
      </w:pPr>
      <w:r>
        <w:rPr>
          <w:noProof/>
        </w:rPr>
        <w:t>Emisijski dugovi i bonusi iz članka 7.</w:t>
      </w:r>
    </w:p>
    <w:p>
      <w:pPr>
        <w:pStyle w:val="Heading2"/>
        <w:rPr>
          <w:noProof/>
        </w:rPr>
      </w:pPr>
      <w:r>
        <w:rPr>
          <w:noProof/>
        </w:rPr>
        <w:t>Izračun trenda smanjenja emisija CO</w:t>
      </w:r>
      <w:r>
        <w:rPr>
          <w:noProof/>
          <w:vertAlign w:val="subscript"/>
        </w:rPr>
        <w:t>2</w:t>
      </w:r>
      <w:r>
        <w:rPr>
          <w:noProof/>
        </w:rPr>
        <w:t xml:space="preserve"> za emisijske bonuse</w:t>
      </w:r>
    </w:p>
    <w:p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t>Trend smanjenja emisija CO</w:t>
      </w:r>
      <w:r>
        <w:rPr>
          <w:noProof/>
          <w:vertAlign w:val="subscript"/>
        </w:rPr>
        <w:t>2</w:t>
      </w:r>
      <w:r>
        <w:rPr>
          <w:noProof/>
        </w:rPr>
        <w:t xml:space="preserve"> (</w:t>
      </w:r>
      <w:r>
        <w:rPr>
          <w:i/>
          <w:noProof/>
        </w:rPr>
        <w:t>ET</w:t>
      </w:r>
      <w:r>
        <w:rPr>
          <w:i/>
          <w:noProof/>
          <w:vertAlign w:val="subscript"/>
        </w:rPr>
        <w:t>Y</w:t>
      </w:r>
      <w:r>
        <w:rPr>
          <w:noProof/>
        </w:rPr>
        <w:t>), za svakog proizvođača i svaku kalendarsku godinu Y za razdoblje od 2019. do 2029. definira se na sljedeći način:</w:t>
      </w:r>
    </w:p>
    <w:p>
      <w:pPr>
        <w:spacing w:before="0" w:after="200" w:line="276" w:lineRule="auto"/>
        <w:ind w:left="720" w:firstLine="130"/>
        <w:contextualSpacing/>
        <w:jc w:val="left"/>
        <w:rPr>
          <w:i/>
          <w:noProof/>
          <w:szCs w:val="24"/>
          <w:vertAlign w:val="subscript"/>
        </w:rPr>
      </w:pPr>
      <w:r>
        <w:rPr>
          <w:i/>
          <w:noProof/>
          <w:sz w:val="22"/>
        </w:rPr>
        <w:t>ET</w:t>
      </w:r>
      <w:r>
        <w:rPr>
          <w:i/>
          <w:noProof/>
          <w:sz w:val="22"/>
          <w:vertAlign w:val="subscript"/>
        </w:rPr>
        <w:t>,Y</w:t>
      </w:r>
      <w:r>
        <w:rPr>
          <w:noProof/>
          <w:sz w:val="22"/>
        </w:rPr>
        <w:t xml:space="preserve"> = </w:t>
      </w:r>
      <w:r>
        <w:rPr>
          <w:i/>
          <w:noProof/>
        </w:rPr>
        <w:t xml:space="preserve">∑ </w:t>
      </w:r>
      <w:r>
        <w:rPr>
          <w:i/>
          <w:noProof/>
          <w:vertAlign w:val="subscript"/>
        </w:rPr>
        <w:t>sg</w:t>
      </w:r>
      <w:r>
        <w:rPr>
          <w:i/>
          <w:noProof/>
        </w:rPr>
        <w:t xml:space="preserve">  </w:t>
      </w:r>
      <w:r>
        <w:rPr>
          <w:i/>
          <w:noProof/>
          <w:sz w:val="22"/>
        </w:rPr>
        <w:t>share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</w:rPr>
        <w:t xml:space="preserve"> × MPW</w:t>
      </w:r>
      <w:r>
        <w:rPr>
          <w:i/>
          <w:noProof/>
          <w:vertAlign w:val="subscript"/>
        </w:rPr>
        <w:t>sg</w:t>
      </w:r>
      <w:r>
        <w:rPr>
          <w:i/>
          <w:noProof/>
        </w:rPr>
        <w:t xml:space="preserve"> × </w:t>
      </w:r>
      <w:r>
        <w:rPr>
          <w:i/>
          <w:noProof/>
          <w:sz w:val="22"/>
        </w:rPr>
        <w:t>R-ET</w:t>
      </w:r>
      <w:r>
        <w:rPr>
          <w:i/>
          <w:noProof/>
          <w:sz w:val="22"/>
          <w:vertAlign w:val="subscript"/>
        </w:rPr>
        <w:t>Y</w:t>
      </w:r>
      <w:r>
        <w:rPr>
          <w:i/>
          <w:noProof/>
        </w:rPr>
        <w:t xml:space="preserve"> × r</w:t>
      </w:r>
      <w:r>
        <w:rPr>
          <w:i/>
          <w:noProof/>
          <w:sz w:val="22"/>
        </w:rPr>
        <w:t>CO2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</w:rPr>
        <w:t xml:space="preserve"> </w:t>
      </w:r>
    </w:p>
    <w:p>
      <w:pPr>
        <w:spacing w:before="0" w:after="200" w:line="276" w:lineRule="auto"/>
        <w:ind w:firstLine="130"/>
        <w:jc w:val="left"/>
        <w:rPr>
          <w:noProof/>
          <w:szCs w:val="24"/>
        </w:rPr>
      </w:pPr>
      <w:r>
        <w:rPr>
          <w:noProof/>
        </w:rPr>
        <w:t>pri čemu je:</w:t>
      </w:r>
    </w:p>
    <w:p>
      <w:pPr>
        <w:ind w:firstLine="130"/>
        <w:rPr>
          <w:noProof/>
        </w:rPr>
      </w:pPr>
      <w:r>
        <w:rPr>
          <w:i/>
          <w:noProof/>
        </w:rPr>
        <w:t xml:space="preserve">∑ </w:t>
      </w:r>
      <w:r>
        <w:rPr>
          <w:i/>
          <w:noProof/>
          <w:vertAlign w:val="subscript"/>
        </w:rPr>
        <w:t>sg</w:t>
      </w:r>
      <w:r>
        <w:rPr>
          <w:rFonts w:eastAsiaTheme="minorEastAsia"/>
          <w:noProof/>
          <w:sz w:val="20"/>
        </w:rPr>
        <w:t xml:space="preserve"> (…)</w:t>
      </w:r>
      <w:r>
        <w:rPr>
          <w:noProof/>
        </w:rPr>
        <w:tab/>
        <w:t>zbroj za sve podskupine,</w:t>
      </w:r>
    </w:p>
    <w:p>
      <w:pPr>
        <w:spacing w:before="0" w:after="0"/>
        <w:ind w:firstLine="130"/>
        <w:contextualSpacing/>
        <w:jc w:val="left"/>
        <w:rPr>
          <w:noProof/>
          <w:sz w:val="22"/>
        </w:rPr>
      </w:pPr>
      <w:r>
        <w:rPr>
          <w:i/>
          <w:noProof/>
          <w:sz w:val="22"/>
        </w:rPr>
        <w:t>share</w:t>
      </w:r>
      <w:r>
        <w:rPr>
          <w:i/>
          <w:noProof/>
          <w:sz w:val="22"/>
          <w:vertAlign w:val="subscript"/>
        </w:rPr>
        <w:t>,sg</w:t>
      </w:r>
      <w:r>
        <w:rPr>
          <w:noProof/>
        </w:rPr>
        <w:tab/>
        <w:t>kako je utvrđen u točki 4 odjeljka 2.,</w:t>
      </w:r>
    </w:p>
    <w:p>
      <w:pPr>
        <w:spacing w:before="0" w:after="0"/>
        <w:ind w:firstLine="130"/>
        <w:rPr>
          <w:noProof/>
          <w:szCs w:val="24"/>
        </w:rPr>
      </w:pPr>
      <w:r>
        <w:rPr>
          <w:i/>
          <w:noProof/>
        </w:rPr>
        <w:t>MPW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>kako je utvrđen u točki 6 odjeljka 2.,</w:t>
      </w:r>
    </w:p>
    <w:p>
      <w:pPr>
        <w:spacing w:before="0" w:after="0"/>
        <w:ind w:firstLine="130"/>
        <w:rPr>
          <w:noProof/>
        </w:rPr>
      </w:pPr>
      <w:r>
        <w:rPr>
          <w:i/>
          <w:noProof/>
        </w:rPr>
        <w:t>r</w:t>
      </w:r>
      <w:r>
        <w:rPr>
          <w:i/>
          <w:noProof/>
          <w:sz w:val="22"/>
        </w:rPr>
        <w:t>CO2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  <w:t>kako je utvrđen u odjeljku 3.</w:t>
      </w:r>
    </w:p>
    <w:p>
      <w:pPr>
        <w:ind w:firstLine="130"/>
        <w:rPr>
          <w:noProof/>
        </w:rPr>
      </w:pPr>
      <w:r>
        <w:rPr>
          <w:noProof/>
        </w:rPr>
        <w:t xml:space="preserve">pri čemu je: </w:t>
      </w:r>
    </w:p>
    <w:p>
      <w:pPr>
        <w:rPr>
          <w:noProof/>
        </w:rPr>
      </w:pPr>
      <w:r>
        <w:rPr>
          <w:noProof/>
        </w:rPr>
        <w:t>za kalendarske godine Y od 2019. do 2025.:</w:t>
      </w:r>
    </w:p>
    <w:p>
      <w:pPr>
        <w:spacing w:before="0" w:after="200" w:line="276" w:lineRule="auto"/>
        <w:ind w:firstLine="720"/>
        <w:jc w:val="left"/>
        <w:rPr>
          <w:noProof/>
          <w:sz w:val="22"/>
        </w:rPr>
      </w:pPr>
      <w:r>
        <w:rPr>
          <w:i/>
          <w:noProof/>
          <w:sz w:val="22"/>
        </w:rPr>
        <w:t>R-ET</w:t>
      </w:r>
      <w:r>
        <w:rPr>
          <w:i/>
          <w:noProof/>
          <w:sz w:val="22"/>
          <w:vertAlign w:val="subscript"/>
        </w:rPr>
        <w:t xml:space="preserve">Y, </w:t>
      </w:r>
      <w:r>
        <w:rPr>
          <w:i/>
          <w:noProof/>
          <w:sz w:val="22"/>
        </w:rPr>
        <w:t xml:space="preserve">= </w:t>
      </w:r>
      <w:r>
        <w:rPr>
          <w:i/>
          <w:noProof/>
        </w:rPr>
        <w:t>(1-rf</w:t>
      </w:r>
      <w:r>
        <w:rPr>
          <w:i/>
          <w:noProof/>
          <w:vertAlign w:val="subscript"/>
        </w:rPr>
        <w:t>2025</w:t>
      </w:r>
      <w:r>
        <w:rPr>
          <w:i/>
          <w:noProof/>
        </w:rPr>
        <w:t>)</w:t>
      </w:r>
      <w:r>
        <w:rPr>
          <w:i/>
          <w:noProof/>
          <w:sz w:val="22"/>
        </w:rPr>
        <w:t xml:space="preserve">+ </w:t>
      </w:r>
      <w:r>
        <w:rPr>
          <w:i/>
          <w:noProof/>
        </w:rPr>
        <w:t>rf</w:t>
      </w:r>
      <w:r>
        <w:rPr>
          <w:i/>
          <w:noProof/>
          <w:vertAlign w:val="subscript"/>
        </w:rPr>
        <w:t>2025</w:t>
      </w:r>
      <w:r>
        <w:rPr>
          <w:i/>
          <w:noProof/>
          <w:sz w:val="22"/>
        </w:rPr>
        <w:t xml:space="preserve">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(2025 – Y)/6</w:t>
      </w:r>
      <w:r>
        <w:rPr>
          <w:noProof/>
          <w:sz w:val="22"/>
          <w:vertAlign w:val="subscript"/>
        </w:rPr>
        <w:t xml:space="preserve">  </w:t>
      </w:r>
    </w:p>
    <w:p>
      <w:pPr>
        <w:keepNext/>
        <w:ind w:left="850" w:hanging="850"/>
        <w:outlineLvl w:val="2"/>
        <w:rPr>
          <w:rFonts w:eastAsiaTheme="majorEastAsia"/>
          <w:bCs/>
          <w:noProof/>
        </w:rPr>
      </w:pPr>
      <w:r>
        <w:rPr>
          <w:noProof/>
        </w:rPr>
        <w:t xml:space="preserve">za kalendarske godine Y od 2026. do 2030.: </w:t>
      </w:r>
    </w:p>
    <w:p>
      <w:pPr>
        <w:spacing w:before="0" w:after="200" w:line="276" w:lineRule="auto"/>
        <w:ind w:firstLine="720"/>
        <w:contextualSpacing/>
        <w:jc w:val="left"/>
        <w:rPr>
          <w:noProof/>
          <w:sz w:val="22"/>
          <w:vertAlign w:val="subscript"/>
        </w:rPr>
      </w:pPr>
      <w:r>
        <w:rPr>
          <w:i/>
          <w:noProof/>
          <w:sz w:val="22"/>
        </w:rPr>
        <w:t>R-ET</w:t>
      </w:r>
      <w:r>
        <w:rPr>
          <w:i/>
          <w:noProof/>
          <w:sz w:val="22"/>
          <w:vertAlign w:val="subscript"/>
        </w:rPr>
        <w:t xml:space="preserve">Y  </w:t>
      </w:r>
      <w:r>
        <w:rPr>
          <w:i/>
          <w:noProof/>
          <w:sz w:val="22"/>
        </w:rPr>
        <w:t>= (</w:t>
      </w:r>
      <w:r>
        <w:rPr>
          <w:i/>
          <w:noProof/>
        </w:rPr>
        <w:t>1-rf</w:t>
      </w:r>
      <w:r>
        <w:rPr>
          <w:i/>
          <w:noProof/>
          <w:vertAlign w:val="subscript"/>
        </w:rPr>
        <w:t xml:space="preserve">2030 </w:t>
      </w:r>
      <w:r>
        <w:rPr>
          <w:i/>
          <w:noProof/>
          <w:sz w:val="22"/>
        </w:rPr>
        <w:t>) + (</w:t>
      </w:r>
      <w:r>
        <w:rPr>
          <w:i/>
          <w:noProof/>
        </w:rPr>
        <w:t>rf</w:t>
      </w:r>
      <w:r>
        <w:rPr>
          <w:i/>
          <w:noProof/>
          <w:vertAlign w:val="subscript"/>
        </w:rPr>
        <w:t xml:space="preserve">2030 -  </w:t>
      </w:r>
      <w:r>
        <w:rPr>
          <w:i/>
          <w:noProof/>
        </w:rPr>
        <w:t>rf</w:t>
      </w:r>
      <w:r>
        <w:rPr>
          <w:i/>
          <w:noProof/>
          <w:vertAlign w:val="subscript"/>
        </w:rPr>
        <w:t>2025</w:t>
      </w:r>
      <w:r>
        <w:rPr>
          <w:i/>
          <w:noProof/>
          <w:sz w:val="22"/>
        </w:rPr>
        <w:t xml:space="preserve">)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(2030 – Y)/5</w:t>
      </w:r>
      <w:r>
        <w:rPr>
          <w:noProof/>
          <w:sz w:val="22"/>
          <w:vertAlign w:val="subscript"/>
        </w:rPr>
        <w:t xml:space="preserve"> </w:t>
      </w:r>
    </w:p>
    <w:p>
      <w:pPr>
        <w:spacing w:before="0" w:after="200" w:line="276" w:lineRule="auto"/>
        <w:ind w:left="1440"/>
        <w:contextualSpacing/>
        <w:jc w:val="left"/>
        <w:rPr>
          <w:noProof/>
          <w:sz w:val="22"/>
        </w:rPr>
      </w:pPr>
    </w:p>
    <w:p>
      <w:pPr>
        <w:spacing w:before="0" w:after="0"/>
        <w:rPr>
          <w:noProof/>
          <w:szCs w:val="24"/>
        </w:rPr>
      </w:pPr>
      <w:r>
        <w:rPr>
          <w:i/>
          <w:noProof/>
        </w:rPr>
        <w:t>rf</w:t>
      </w:r>
      <w:r>
        <w:rPr>
          <w:i/>
          <w:noProof/>
          <w:vertAlign w:val="subscript"/>
        </w:rPr>
        <w:t xml:space="preserve">2025 </w:t>
      </w:r>
      <w:r>
        <w:rPr>
          <w:noProof/>
        </w:rPr>
        <w:t xml:space="preserve">i </w:t>
      </w:r>
      <w:r>
        <w:rPr>
          <w:i/>
          <w:noProof/>
        </w:rPr>
        <w:t>rf</w:t>
      </w:r>
      <w:r>
        <w:rPr>
          <w:i/>
          <w:noProof/>
          <w:vertAlign w:val="subscript"/>
        </w:rPr>
        <w:t>2030</w:t>
      </w:r>
      <w:r>
        <w:rPr>
          <w:noProof/>
        </w:rPr>
        <w:t xml:space="preserve"> ciljane su vrijednosti smanjenja CO</w:t>
      </w:r>
      <w:r>
        <w:rPr>
          <w:noProof/>
          <w:vertAlign w:val="subscript"/>
        </w:rPr>
        <w:t>2</w:t>
      </w:r>
      <w:r>
        <w:rPr>
          <w:noProof/>
        </w:rPr>
        <w:t xml:space="preserve"> (u %) za 2025. i 2030. kako je određeno u članku 1. točkama (a) i (b).</w:t>
      </w:r>
    </w:p>
    <w:p>
      <w:pPr>
        <w:spacing w:before="0" w:after="200" w:line="276" w:lineRule="auto"/>
        <w:contextualSpacing/>
        <w:jc w:val="left"/>
        <w:rPr>
          <w:noProof/>
          <w:sz w:val="22"/>
        </w:rPr>
      </w:pPr>
    </w:p>
    <w:p>
      <w:pPr>
        <w:pStyle w:val="Heading2"/>
        <w:rPr>
          <w:noProof/>
        </w:rPr>
      </w:pPr>
      <w:r>
        <w:rPr>
          <w:noProof/>
        </w:rPr>
        <w:t>Izračun emisijskih dugova i bonusa za svaku kalendarsku godinu</w:t>
      </w:r>
    </w:p>
    <w:p>
      <w:pPr>
        <w:keepNext/>
        <w:outlineLvl w:val="3"/>
        <w:rPr>
          <w:rFonts w:eastAsiaTheme="majorEastAsia"/>
          <w:bCs/>
          <w:iCs/>
          <w:noProof/>
          <w:szCs w:val="24"/>
        </w:rPr>
      </w:pPr>
      <w:r>
        <w:rPr>
          <w:noProof/>
        </w:rPr>
        <w:t>Emisijski bonusi (</w:t>
      </w:r>
      <w:r>
        <w:rPr>
          <w:i/>
          <w:noProof/>
        </w:rPr>
        <w:t>cCO2</w:t>
      </w:r>
      <w:r>
        <w:rPr>
          <w:i/>
          <w:noProof/>
          <w:vertAlign w:val="subscript"/>
        </w:rPr>
        <w:t>Y</w:t>
      </w:r>
      <w:r>
        <w:rPr>
          <w:noProof/>
        </w:rPr>
        <w:t>) i emisijski dugovi (</w:t>
      </w:r>
      <w:r>
        <w:rPr>
          <w:i/>
          <w:noProof/>
        </w:rPr>
        <w:t>dCO2</w:t>
      </w:r>
      <w:r>
        <w:rPr>
          <w:i/>
          <w:noProof/>
          <w:vertAlign w:val="subscript"/>
        </w:rPr>
        <w:t>Y</w:t>
      </w:r>
      <w:r>
        <w:rPr>
          <w:noProof/>
        </w:rPr>
        <w:t>) izračunavaju se za svakog proizvođača i svaku kalendarsku godinu Y od 2019. do 2029. na sljedeći način:</w:t>
      </w:r>
    </w:p>
    <w:p>
      <w:pPr>
        <w:keepNext/>
        <w:ind w:left="850" w:hanging="850"/>
        <w:outlineLvl w:val="2"/>
        <w:rPr>
          <w:rFonts w:eastAsiaTheme="majorEastAsia"/>
          <w:bCs/>
          <w:i/>
          <w:noProof/>
        </w:rPr>
      </w:pPr>
      <w:r>
        <w:rPr>
          <w:rFonts w:eastAsiaTheme="majorEastAsia"/>
          <w:i/>
          <w:noProof/>
        </w:rPr>
        <w:t>Ako je 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</w:rPr>
        <w:t xml:space="preserve"> &lt; ET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</w:rPr>
        <w:t>:</w:t>
      </w:r>
    </w:p>
    <w:p>
      <w:pPr>
        <w:spacing w:before="0" w:after="200" w:line="276" w:lineRule="auto"/>
        <w:ind w:firstLine="720"/>
        <w:jc w:val="left"/>
        <w:rPr>
          <w:i/>
          <w:noProof/>
          <w:szCs w:val="24"/>
        </w:rPr>
      </w:pPr>
      <w:r>
        <w:rPr>
          <w:i/>
          <w:noProof/>
        </w:rPr>
        <w:t>cCO2</w:t>
      </w:r>
      <w:r>
        <w:rPr>
          <w:i/>
          <w:noProof/>
          <w:vertAlign w:val="subscript"/>
        </w:rPr>
        <w:t>Y</w:t>
      </w:r>
      <w:r>
        <w:rPr>
          <w:noProof/>
        </w:rPr>
        <w:t xml:space="preserve"> = (</w:t>
      </w:r>
      <w:r>
        <w:rPr>
          <w:i/>
          <w:noProof/>
        </w:rPr>
        <w:t>ET</w:t>
      </w:r>
      <w:r>
        <w:rPr>
          <w:i/>
          <w:noProof/>
          <w:vertAlign w:val="subscript"/>
        </w:rPr>
        <w:t>Y</w:t>
      </w:r>
      <w:r>
        <w:rPr>
          <w:noProof/>
        </w:rPr>
        <w:t xml:space="preserve"> </w:t>
      </w:r>
      <w:r>
        <w:rPr>
          <w:i/>
          <w:noProof/>
        </w:rPr>
        <w:t>– CO2</w:t>
      </w:r>
      <w:r>
        <w:rPr>
          <w:i/>
          <w:noProof/>
          <w:vertAlign w:val="subscript"/>
        </w:rPr>
        <w:t>Y</w:t>
      </w:r>
      <w:r>
        <w:rPr>
          <w:i/>
          <w:noProof/>
        </w:rPr>
        <w:t>) × V</w:t>
      </w:r>
      <w:r>
        <w:rPr>
          <w:i/>
          <w:noProof/>
          <w:vertAlign w:val="subscript"/>
        </w:rPr>
        <w:t>y</w:t>
      </w:r>
      <w:r>
        <w:rPr>
          <w:noProof/>
        </w:rPr>
        <w:tab/>
        <w:t>i</w:t>
      </w:r>
    </w:p>
    <w:p>
      <w:pPr>
        <w:spacing w:before="0" w:after="200" w:line="276" w:lineRule="auto"/>
        <w:ind w:firstLine="720"/>
        <w:jc w:val="left"/>
        <w:rPr>
          <w:noProof/>
        </w:rPr>
      </w:pPr>
      <w:r>
        <w:rPr>
          <w:i/>
          <w:noProof/>
        </w:rPr>
        <w:lastRenderedPageBreak/>
        <w:t>dCO2</w:t>
      </w:r>
      <w:r>
        <w:rPr>
          <w:i/>
          <w:noProof/>
          <w:vertAlign w:val="subscript"/>
        </w:rPr>
        <w:t>Y</w:t>
      </w:r>
      <w:r>
        <w:rPr>
          <w:i/>
          <w:noProof/>
        </w:rPr>
        <w:t xml:space="preserve"> = 0</w:t>
      </w:r>
    </w:p>
    <w:p>
      <w:pPr>
        <w:keepNext/>
        <w:ind w:left="850" w:hanging="850"/>
        <w:outlineLvl w:val="2"/>
        <w:rPr>
          <w:rFonts w:eastAsiaTheme="majorEastAsia"/>
          <w:bCs/>
          <w:i/>
          <w:noProof/>
        </w:rPr>
      </w:pPr>
      <w:r>
        <w:rPr>
          <w:rFonts w:eastAsiaTheme="majorEastAsia"/>
          <w:i/>
          <w:noProof/>
          <w:sz w:val="22"/>
        </w:rPr>
        <w:t xml:space="preserve">Ako je </w:t>
      </w:r>
      <w:r>
        <w:rPr>
          <w:rFonts w:eastAsiaTheme="majorEastAsia"/>
          <w:i/>
          <w:noProof/>
        </w:rPr>
        <w:t>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  <w:sz w:val="22"/>
        </w:rPr>
        <w:t xml:space="preserve"> &gt; T</w:t>
      </w:r>
      <w:r>
        <w:rPr>
          <w:rFonts w:eastAsiaTheme="majorEastAsia"/>
          <w:i/>
          <w:noProof/>
          <w:sz w:val="22"/>
          <w:vertAlign w:val="subscript"/>
        </w:rPr>
        <w:t>Y</w:t>
      </w:r>
      <w:r>
        <w:rPr>
          <w:rFonts w:eastAsiaTheme="majorEastAsia"/>
          <w:i/>
          <w:noProof/>
        </w:rPr>
        <w:t xml:space="preserve"> za razdoblje od 2025. do 2029.:</w:t>
      </w:r>
    </w:p>
    <w:p>
      <w:pPr>
        <w:keepNext/>
        <w:outlineLvl w:val="2"/>
        <w:rPr>
          <w:rFonts w:eastAsiaTheme="majorEastAsia"/>
          <w:bCs/>
          <w:i/>
          <w:noProof/>
          <w:vertAlign w:val="subscript"/>
        </w:rPr>
      </w:pPr>
      <w:r>
        <w:rPr>
          <w:noProof/>
        </w:rPr>
        <w:tab/>
      </w:r>
      <w:r>
        <w:rPr>
          <w:i/>
          <w:noProof/>
        </w:rPr>
        <w:t>dCO2</w:t>
      </w:r>
      <w:r>
        <w:rPr>
          <w:i/>
          <w:noProof/>
          <w:vertAlign w:val="subscript"/>
        </w:rPr>
        <w:t>Y</w:t>
      </w:r>
      <w:r>
        <w:rPr>
          <w:noProof/>
        </w:rPr>
        <w:t xml:space="preserve"> = (</w:t>
      </w:r>
      <w:r>
        <w:rPr>
          <w:rFonts w:eastAsiaTheme="majorEastAsia"/>
          <w:i/>
          <w:noProof/>
          <w:sz w:val="22"/>
        </w:rPr>
        <w:t>ET</w:t>
      </w:r>
      <w:r>
        <w:rPr>
          <w:rFonts w:eastAsiaTheme="majorEastAsia"/>
          <w:noProof/>
          <w:vertAlign w:val="subscript"/>
        </w:rPr>
        <w:t>Y</w:t>
      </w:r>
      <w:r>
        <w:rPr>
          <w:noProof/>
        </w:rPr>
        <w:t xml:space="preserve"> </w:t>
      </w:r>
      <w:r>
        <w:rPr>
          <w:rFonts w:eastAsiaTheme="majorEastAsia"/>
          <w:i/>
          <w:noProof/>
        </w:rPr>
        <w:t>– 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</w:rPr>
        <w:t>) × V</w:t>
      </w:r>
      <w:r>
        <w:rPr>
          <w:rFonts w:eastAsiaTheme="majorEastAsia"/>
          <w:i/>
          <w:noProof/>
          <w:vertAlign w:val="subscript"/>
        </w:rPr>
        <w:t>y</w:t>
      </w:r>
      <w:r>
        <w:rPr>
          <w:noProof/>
        </w:rPr>
        <w:tab/>
        <w:t>i</w:t>
      </w:r>
    </w:p>
    <w:p>
      <w:pPr>
        <w:keepNext/>
        <w:ind w:firstLine="720"/>
        <w:outlineLvl w:val="2"/>
        <w:rPr>
          <w:rFonts w:eastAsiaTheme="majorEastAsia"/>
          <w:bCs/>
          <w:noProof/>
        </w:rPr>
      </w:pPr>
      <w:r>
        <w:rPr>
          <w:i/>
          <w:noProof/>
        </w:rPr>
        <w:t>cCO2</w:t>
      </w:r>
      <w:r>
        <w:rPr>
          <w:i/>
          <w:noProof/>
          <w:vertAlign w:val="subscript"/>
        </w:rPr>
        <w:t>Y</w:t>
      </w:r>
      <w:r>
        <w:rPr>
          <w:i/>
          <w:noProof/>
        </w:rPr>
        <w:t xml:space="preserve"> = 0</w:t>
      </w:r>
      <w:r>
        <w:rPr>
          <w:rFonts w:eastAsiaTheme="majorEastAsia"/>
          <w:i/>
          <w:noProof/>
          <w:sz w:val="22"/>
        </w:rPr>
        <w:t xml:space="preserve"> </w:t>
      </w:r>
    </w:p>
    <w:p>
      <w:pPr>
        <w:keepNext/>
        <w:ind w:left="850" w:hanging="850"/>
        <w:outlineLvl w:val="2"/>
        <w:rPr>
          <w:rFonts w:eastAsiaTheme="majorEastAsia"/>
          <w:bCs/>
          <w:i/>
          <w:noProof/>
        </w:rPr>
      </w:pPr>
      <w:r>
        <w:rPr>
          <w:rFonts w:eastAsiaTheme="majorEastAsia"/>
          <w:i/>
          <w:noProof/>
        </w:rPr>
        <w:t>U svim drugim slučajevima dCO2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</w:rPr>
        <w:t xml:space="preserve"> i cCO2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</w:rPr>
        <w:t xml:space="preserve"> postavljaju se na 0.</w:t>
      </w:r>
    </w:p>
    <w:p>
      <w:pPr>
        <w:rPr>
          <w:noProof/>
        </w:rPr>
      </w:pPr>
      <w:r>
        <w:rPr>
          <w:noProof/>
        </w:rPr>
        <w:t>pri čemu je:</w:t>
      </w:r>
    </w:p>
    <w:p>
      <w:pPr>
        <w:ind w:left="1438" w:hanging="1155"/>
        <w:rPr>
          <w:i/>
          <w:noProof/>
        </w:rPr>
      </w:pPr>
      <w:r>
        <w:rPr>
          <w:i/>
          <w:noProof/>
        </w:rPr>
        <w:t>ET</w:t>
      </w:r>
      <w:r>
        <w:rPr>
          <w:i/>
          <w:noProof/>
          <w:vertAlign w:val="subscript"/>
        </w:rPr>
        <w:t>Y</w:t>
      </w:r>
      <w:r>
        <w:rPr>
          <w:noProof/>
        </w:rPr>
        <w:t xml:space="preserve"> </w:t>
      </w:r>
      <w:r>
        <w:rPr>
          <w:noProof/>
        </w:rPr>
        <w:tab/>
        <w:t>trend emisija proizvođača u kalendarskoj godini Y utvrđen u skladu s točkom 5.1.,</w:t>
      </w:r>
    </w:p>
    <w:p>
      <w:pPr>
        <w:ind w:left="1440" w:hanging="1155"/>
        <w:rPr>
          <w:noProof/>
        </w:rPr>
      </w:pPr>
      <w:r>
        <w:rPr>
          <w:i/>
          <w:noProof/>
        </w:rPr>
        <w:t>CO2</w:t>
      </w:r>
      <w:r>
        <w:rPr>
          <w:i/>
          <w:noProof/>
          <w:vertAlign w:val="subscript"/>
        </w:rPr>
        <w:t>Y</w:t>
      </w:r>
      <w:r>
        <w:rPr>
          <w:noProof/>
        </w:rPr>
        <w:tab/>
        <w:t>ciljana vrijednost specifičnih emisija u kalendarskoj godini Y utvrđena u skladu s točkom 2.7.,</w:t>
      </w:r>
    </w:p>
    <w:p>
      <w:pPr>
        <w:ind w:left="1438" w:hanging="1155"/>
        <w:rPr>
          <w:i/>
          <w:noProof/>
        </w:rPr>
      </w:pPr>
      <w:r>
        <w:rPr>
          <w:i/>
          <w:noProof/>
        </w:rPr>
        <w:t>T</w:t>
      </w:r>
      <w:r>
        <w:rPr>
          <w:i/>
          <w:noProof/>
          <w:vertAlign w:val="subscript"/>
        </w:rPr>
        <w:t>Y</w:t>
      </w:r>
      <w:r>
        <w:rPr>
          <w:noProof/>
        </w:rPr>
        <w:t xml:space="preserve"> </w:t>
      </w:r>
      <w:r>
        <w:rPr>
          <w:noProof/>
        </w:rPr>
        <w:tab/>
        <w:t>trend emisija određenog proizvođača u kalendarskoj godini Y utvrđen u skladu s odjeljkom 4.,</w:t>
      </w:r>
    </w:p>
    <w:p>
      <w:pPr>
        <w:ind w:left="1438" w:hanging="1155"/>
        <w:rPr>
          <w:noProof/>
        </w:rPr>
      </w:pPr>
      <w:r>
        <w:rPr>
          <w:noProof/>
        </w:rPr>
        <w:t>V</w:t>
      </w:r>
      <w:r>
        <w:rPr>
          <w:noProof/>
          <w:vertAlign w:val="subscript"/>
        </w:rPr>
        <w:t>Y</w:t>
      </w:r>
      <w:r>
        <w:rPr>
          <w:noProof/>
        </w:rPr>
        <w:tab/>
        <w:t>broj novih teških vozila proizvođača u kalendarskoj godini Y osim svih namjenskih vozila u skladu s člankom 4. točkom (a).</w:t>
      </w:r>
    </w:p>
    <w:p>
      <w:pPr>
        <w:ind w:left="1438" w:hanging="1155"/>
        <w:rPr>
          <w:noProof/>
        </w:rPr>
      </w:pPr>
    </w:p>
    <w:p>
      <w:pPr>
        <w:pStyle w:val="Heading2"/>
        <w:rPr>
          <w:noProof/>
        </w:rPr>
      </w:pPr>
      <w:r>
        <w:rPr>
          <w:noProof/>
        </w:rPr>
        <w:t>Granična vrijednost emisijskog duga</w:t>
      </w:r>
    </w:p>
    <w:p>
      <w:pPr>
        <w:rPr>
          <w:noProof/>
        </w:rPr>
      </w:pPr>
      <w:r>
        <w:rPr>
          <w:noProof/>
        </w:rPr>
        <w:t>Granična vrijednost emisijskog duga (</w:t>
      </w:r>
      <w:r>
        <w:rPr>
          <w:i/>
          <w:noProof/>
          <w:sz w:val="22"/>
        </w:rPr>
        <w:t>limCO2</w:t>
      </w:r>
      <w:r>
        <w:rPr>
          <w:noProof/>
        </w:rPr>
        <w:t>) određuje se za svakog proizvođača na sljedeći način:</w:t>
      </w:r>
    </w:p>
    <w:p>
      <w:pPr>
        <w:ind w:firstLine="720"/>
        <w:rPr>
          <w:i/>
          <w:noProof/>
        </w:rPr>
      </w:pPr>
      <w:r>
        <w:rPr>
          <w:i/>
          <w:noProof/>
          <w:sz w:val="22"/>
        </w:rPr>
        <w:t>limCO2</w:t>
      </w:r>
      <w:r>
        <w:rPr>
          <w:i/>
          <w:noProof/>
        </w:rPr>
        <w:t xml:space="preserve"> = T</w:t>
      </w:r>
      <w:r>
        <w:rPr>
          <w:i/>
          <w:noProof/>
          <w:vertAlign w:val="subscript"/>
        </w:rPr>
        <w:t>2025</w:t>
      </w:r>
      <w:r>
        <w:rPr>
          <w:i/>
          <w:noProof/>
        </w:rPr>
        <w:t xml:space="preserve"> × 0,05 × V</w:t>
      </w:r>
      <w:r>
        <w:rPr>
          <w:i/>
          <w:noProof/>
          <w:vertAlign w:val="subscript"/>
        </w:rPr>
        <w:t>2025</w:t>
      </w:r>
    </w:p>
    <w:p>
      <w:pPr>
        <w:ind w:firstLine="283"/>
        <w:rPr>
          <w:noProof/>
        </w:rPr>
      </w:pPr>
      <w:r>
        <w:rPr>
          <w:noProof/>
        </w:rPr>
        <w:t xml:space="preserve">pri čemu je: </w:t>
      </w:r>
    </w:p>
    <w:p>
      <w:pPr>
        <w:ind w:left="1438" w:hanging="1155"/>
        <w:rPr>
          <w:i/>
          <w:noProof/>
        </w:rPr>
      </w:pPr>
      <w:r>
        <w:rPr>
          <w:i/>
          <w:noProof/>
        </w:rPr>
        <w:t>T</w:t>
      </w:r>
      <w:r>
        <w:rPr>
          <w:i/>
          <w:noProof/>
          <w:vertAlign w:val="subscript"/>
        </w:rPr>
        <w:t>2025</w:t>
      </w:r>
      <w:r>
        <w:rPr>
          <w:noProof/>
        </w:rPr>
        <w:t xml:space="preserve"> </w:t>
      </w:r>
      <w:r>
        <w:rPr>
          <w:noProof/>
        </w:rPr>
        <w:tab/>
        <w:t>ciljana vrijednost specifičnih emisija određenog proizvođača za 2025. utvrđena u skladu s odjeljkom 4.,</w:t>
      </w:r>
    </w:p>
    <w:p>
      <w:pPr>
        <w:ind w:left="1438" w:hanging="1155"/>
        <w:rPr>
          <w:noProof/>
        </w:rPr>
      </w:pPr>
      <w:r>
        <w:rPr>
          <w:i/>
          <w:noProof/>
        </w:rPr>
        <w:t>V</w:t>
      </w:r>
      <w:r>
        <w:rPr>
          <w:i/>
          <w:noProof/>
          <w:vertAlign w:val="subscript"/>
        </w:rPr>
        <w:t>2025</w:t>
      </w:r>
      <w:r>
        <w:rPr>
          <w:noProof/>
        </w:rPr>
        <w:tab/>
        <w:t>broj novih teških vozila proizvođača u 2025., osim svih namjenskih vozila u skladu s člankom 4. točkom (a).</w:t>
      </w:r>
    </w:p>
    <w:p>
      <w:pPr>
        <w:pStyle w:val="Heading2"/>
        <w:rPr>
          <w:noProof/>
        </w:rPr>
      </w:pPr>
      <w:r>
        <w:rPr>
          <w:noProof/>
        </w:rPr>
        <w:t>Emisijski bonusi prikupljeni prije 2025.</w:t>
      </w:r>
    </w:p>
    <w:p>
      <w:pPr>
        <w:keepNext/>
        <w:outlineLvl w:val="1"/>
        <w:rPr>
          <w:rFonts w:eastAsiaTheme="majorEastAsia"/>
          <w:bCs/>
          <w:noProof/>
          <w:szCs w:val="26"/>
        </w:rPr>
      </w:pPr>
      <w:r>
        <w:rPr>
          <w:noProof/>
        </w:rPr>
        <w:t xml:space="preserve">Emisijski dugovi prikupljeni 2025. umanjuju se za iznos </w:t>
      </w:r>
      <w:r>
        <w:rPr>
          <w:i/>
          <w:noProof/>
        </w:rPr>
        <w:t>(redCO2)</w:t>
      </w:r>
      <w:r>
        <w:rPr>
          <w:noProof/>
        </w:rPr>
        <w:t xml:space="preserve"> koji odgovara emisijskim bonusima prikupljenima prije 2025., koji se određuje za svakog proizvođača na sljedeći način:</w:t>
      </w:r>
    </w:p>
    <w:p>
      <w:pPr>
        <w:rPr>
          <w:i/>
          <w:noProof/>
          <w:sz w:val="2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3388206" cy="225425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42110" cy="24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t>pri čemu je:</w:t>
      </w:r>
    </w:p>
    <w:p>
      <w:pPr>
        <w:ind w:left="1418" w:hanging="1134"/>
        <w:rPr>
          <w:rFonts w:eastAsiaTheme="minorEastAsia"/>
          <w:noProof/>
          <w:szCs w:val="24"/>
        </w:rPr>
      </w:pPr>
      <w:r>
        <w:rPr>
          <w:noProof/>
        </w:rPr>
        <w:t>min</w:t>
      </w:r>
      <w:r>
        <w:rPr>
          <w:noProof/>
        </w:rPr>
        <w:tab/>
        <w:t>manja od dviju vrijednosti između zagrada,</w:t>
      </w:r>
    </w:p>
    <w:p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Y=2019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2024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zbroj za sve kalendarske godine od 2019. do 2024.,</w:t>
      </w:r>
    </w:p>
    <w:p>
      <w:pPr>
        <w:ind w:left="1418" w:hanging="1134"/>
        <w:rPr>
          <w:noProof/>
          <w:szCs w:val="24"/>
        </w:rPr>
      </w:pPr>
      <w:r>
        <w:rPr>
          <w:rFonts w:eastAsiaTheme="majorEastAsia"/>
          <w:i/>
          <w:noProof/>
        </w:rPr>
        <w:t>dCO2</w:t>
      </w:r>
      <w:r>
        <w:rPr>
          <w:rFonts w:eastAsiaTheme="majorEastAsia"/>
          <w:i/>
          <w:noProof/>
          <w:vertAlign w:val="subscript"/>
        </w:rPr>
        <w:t>2025</w:t>
      </w:r>
      <w:r>
        <w:rPr>
          <w:noProof/>
        </w:rPr>
        <w:tab/>
        <w:t>emisijski dug za 2025. utvrđen u skladu s točkom 5.2.,</w:t>
      </w:r>
    </w:p>
    <w:p>
      <w:pPr>
        <w:ind w:left="1418" w:hanging="1134"/>
        <w:rPr>
          <w:noProof/>
          <w:szCs w:val="24"/>
        </w:rPr>
      </w:pPr>
      <w:r>
        <w:rPr>
          <w:i/>
          <w:noProof/>
        </w:rPr>
        <w:t>cCO2</w:t>
      </w:r>
      <w:r>
        <w:rPr>
          <w:i/>
          <w:noProof/>
          <w:vertAlign w:val="subscript"/>
        </w:rPr>
        <w:t>Y</w:t>
      </w:r>
      <w:r>
        <w:rPr>
          <w:noProof/>
        </w:rPr>
        <w:tab/>
      </w:r>
      <w:r>
        <w:rPr>
          <w:noProof/>
        </w:rPr>
        <w:tab/>
        <w:t>emisijski bonus za kalendarsku godinu Y utvrđen u skladu s točkom 5.2.</w:t>
      </w:r>
    </w:p>
    <w:p>
      <w:pPr>
        <w:rPr>
          <w:i/>
          <w:noProof/>
          <w:sz w:val="22"/>
        </w:rPr>
      </w:pPr>
      <w:r>
        <w:rPr>
          <w:noProof/>
        </w:rPr>
        <w:tab/>
      </w:r>
    </w:p>
    <w:p>
      <w:pPr>
        <w:pStyle w:val="Heading1"/>
        <w:rPr>
          <w:noProof/>
        </w:rPr>
      </w:pPr>
      <w:r>
        <w:rPr>
          <w:noProof/>
        </w:rPr>
        <w:t>Utvrđivanje prekomjernih emisija proizvođača iz članka 8. stavka 2.</w:t>
      </w:r>
    </w:p>
    <w:p>
      <w:pPr>
        <w:rPr>
          <w:noProof/>
        </w:rPr>
      </w:pPr>
      <w:r>
        <w:rPr>
          <w:noProof/>
        </w:rPr>
        <w:t>Vrijednost prekomjernih emisija (</w:t>
      </w:r>
      <w:r>
        <w:rPr>
          <w:i/>
          <w:noProof/>
          <w:sz w:val="22"/>
        </w:rPr>
        <w:t>exeCO2</w:t>
      </w:r>
      <w:r>
        <w:rPr>
          <w:i/>
          <w:noProof/>
          <w:sz w:val="22"/>
          <w:vertAlign w:val="subscript"/>
        </w:rPr>
        <w:t>Y</w:t>
      </w:r>
      <w:r>
        <w:rPr>
          <w:noProof/>
        </w:rPr>
        <w:t xml:space="preserve">) za svakog proizvođača i svaku kalendarsku godinu od 2025. nadalje utvrđuje se na sljedeći način, ako je vrijednost pozitivna: </w:t>
      </w:r>
    </w:p>
    <w:p>
      <w:pPr>
        <w:keepNext/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rFonts w:eastAsiaTheme="majorEastAsia"/>
          <w:b/>
          <w:noProof/>
        </w:rPr>
        <w:lastRenderedPageBreak/>
        <w:t>Za 2025.</w:t>
      </w:r>
    </w:p>
    <w:p>
      <w:pPr>
        <w:ind w:firstLine="720"/>
        <w:rPr>
          <w:rFonts w:eastAsiaTheme="minorEastAsia"/>
          <w:i/>
          <w:noProof/>
          <w:sz w:val="2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3143250" cy="1920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30989" cy="20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rFonts w:eastAsiaTheme="majorEastAsia"/>
          <w:b/>
          <w:noProof/>
        </w:rPr>
        <w:t>Za godine Y od 2026. do 2028.</w:t>
      </w:r>
    </w:p>
    <w:p>
      <w:pPr>
        <w:ind w:firstLine="720"/>
        <w:rPr>
          <w:noProof/>
        </w:rPr>
      </w:pPr>
      <w:r>
        <w:rPr>
          <w:i/>
          <w:noProof/>
          <w:sz w:val="22"/>
        </w:rPr>
        <w:t xml:space="preserve"> </w:t>
      </w:r>
      <w:r>
        <w:rPr>
          <w:noProof/>
          <w:lang w:val="en-US" w:eastAsia="en-US" w:bidi="ar-SA"/>
        </w:rPr>
        <w:drawing>
          <wp:inline distT="0" distB="0" distL="0" distR="0">
            <wp:extent cx="4826000" cy="2164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56325" cy="22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rFonts w:eastAsiaTheme="majorEastAsia"/>
          <w:b/>
          <w:noProof/>
        </w:rPr>
        <w:t>Za 2029.</w:t>
      </w:r>
    </w:p>
    <w:p>
      <w:pPr>
        <w:ind w:firstLine="720"/>
        <w:rPr>
          <w:noProof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4260850" cy="200527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00546" cy="21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rFonts w:eastAsiaTheme="majorEastAsia"/>
          <w:b/>
          <w:noProof/>
        </w:rPr>
        <w:t>Za godine Y od 2030. nadalje</w:t>
      </w:r>
    </w:p>
    <w:p>
      <w:pPr>
        <w:keepNext/>
        <w:ind w:firstLine="720"/>
        <w:outlineLvl w:val="3"/>
        <w:rPr>
          <w:rFonts w:eastAsiaTheme="majorEastAsia"/>
          <w:b/>
          <w:bCs/>
          <w:iCs/>
          <w:smallCaps/>
          <w:noProof/>
          <w:szCs w:val="28"/>
        </w:rPr>
      </w:pPr>
      <w:r>
        <w:rPr>
          <w:i/>
          <w:noProof/>
          <w:sz w:val="22"/>
        </w:rPr>
        <w:t>exeCO2</w:t>
      </w:r>
      <w:r>
        <w:rPr>
          <w:i/>
          <w:noProof/>
          <w:sz w:val="22"/>
          <w:vertAlign w:val="subscript"/>
        </w:rPr>
        <w:t>y</w:t>
      </w:r>
      <w:r>
        <w:rPr>
          <w:i/>
          <w:noProof/>
          <w:sz w:val="22"/>
        </w:rPr>
        <w:t xml:space="preserve"> = (</w:t>
      </w:r>
      <w:r>
        <w:rPr>
          <w:i/>
          <w:noProof/>
        </w:rPr>
        <w:t>CO2</w:t>
      </w:r>
      <w:r>
        <w:rPr>
          <w:i/>
          <w:noProof/>
          <w:vertAlign w:val="subscript"/>
        </w:rPr>
        <w:t>Y</w:t>
      </w:r>
      <w:r>
        <w:rPr>
          <w:i/>
          <w:noProof/>
          <w:sz w:val="22"/>
        </w:rPr>
        <w:t xml:space="preserve"> - </w:t>
      </w:r>
      <w:r>
        <w:rPr>
          <w:i/>
          <w:noProof/>
        </w:rPr>
        <w:t>T</w:t>
      </w:r>
      <w:r>
        <w:rPr>
          <w:i/>
          <w:noProof/>
          <w:vertAlign w:val="subscript"/>
        </w:rPr>
        <w:t>Y</w:t>
      </w:r>
      <w:r>
        <w:rPr>
          <w:i/>
          <w:noProof/>
        </w:rPr>
        <w:t xml:space="preserve">) x </w:t>
      </w:r>
      <w:r>
        <w:rPr>
          <w:noProof/>
        </w:rPr>
        <w:t>V</w:t>
      </w:r>
      <w:r>
        <w:rPr>
          <w:noProof/>
          <w:vertAlign w:val="subscript"/>
        </w:rPr>
        <w:t>Y</w:t>
      </w:r>
      <w:r>
        <w:rPr>
          <w:noProof/>
        </w:rPr>
        <w:tab/>
      </w:r>
      <w:r>
        <w:rPr>
          <w:i/>
          <w:noProof/>
          <w:sz w:val="22"/>
        </w:rPr>
        <w:t xml:space="preserve">  </w:t>
      </w:r>
      <w:r>
        <w:rPr>
          <w:noProof/>
        </w:rPr>
        <w:tab/>
      </w:r>
    </w:p>
    <w:p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t>pri čemu je:</w:t>
      </w:r>
    </w:p>
    <w:p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Y=2019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2025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zbroj za sve kalendarske godine od 2019. do 2025.,</w:t>
      </w:r>
    </w:p>
    <w:p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I=2025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Y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zbroj za kalendarske godine od 2025. do Y,</w:t>
      </w:r>
    </w:p>
    <w:p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J=2025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Y-1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zbroj za kalendarske godine od 2025. do (Y-1),</w:t>
      </w:r>
    </w:p>
    <w:p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J=2025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2028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zbroj za sve kalendarske godine od 2025. do 2028.,</w:t>
      </w:r>
    </w:p>
    <w:p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I=2025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2029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zbroj za sve kalendarske godine od 2025. do 2029.,</w:t>
      </w:r>
    </w:p>
    <w:p>
      <w:pPr>
        <w:ind w:left="1418" w:hanging="1134"/>
        <w:rPr>
          <w:noProof/>
          <w:szCs w:val="24"/>
        </w:rPr>
      </w:pPr>
      <w:r>
        <w:rPr>
          <w:rFonts w:eastAsiaTheme="majorEastAsia"/>
          <w:i/>
          <w:noProof/>
        </w:rPr>
        <w:t>dCO2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noProof/>
        </w:rPr>
        <w:tab/>
        <w:t>emisijski dug za kalendarsku godinu Y utvrđen u skladu s točkom 5.2.</w:t>
      </w:r>
    </w:p>
    <w:p>
      <w:pPr>
        <w:ind w:left="1418" w:hanging="1134"/>
        <w:rPr>
          <w:noProof/>
          <w:szCs w:val="24"/>
        </w:rPr>
      </w:pPr>
      <w:r>
        <w:rPr>
          <w:i/>
          <w:noProof/>
        </w:rPr>
        <w:t>cCO2</w:t>
      </w:r>
      <w:r>
        <w:rPr>
          <w:i/>
          <w:noProof/>
          <w:vertAlign w:val="subscript"/>
        </w:rPr>
        <w:t>Y</w:t>
      </w:r>
      <w:r>
        <w:rPr>
          <w:noProof/>
        </w:rPr>
        <w:tab/>
        <w:t>emisijski bonus za kalendarsku godinu Y utvrđen u skladu s točkom 5.2.,</w:t>
      </w:r>
    </w:p>
    <w:p>
      <w:pPr>
        <w:ind w:left="1418" w:hanging="1134"/>
        <w:rPr>
          <w:noProof/>
          <w:szCs w:val="24"/>
        </w:rPr>
      </w:pPr>
      <w:r>
        <w:rPr>
          <w:i/>
          <w:noProof/>
        </w:rPr>
        <w:t>limCO2</w:t>
      </w:r>
      <w:r>
        <w:rPr>
          <w:noProof/>
        </w:rPr>
        <w:tab/>
      </w:r>
      <w:r>
        <w:rPr>
          <w:noProof/>
        </w:rPr>
        <w:tab/>
        <w:t>granična vrijednost emisijskog duga utvrđena u skladu s točkom 5.3.,</w:t>
      </w:r>
    </w:p>
    <w:p>
      <w:pPr>
        <w:ind w:left="1418" w:hanging="1134"/>
        <w:rPr>
          <w:noProof/>
          <w:szCs w:val="24"/>
        </w:rPr>
      </w:pPr>
      <w:r>
        <w:rPr>
          <w:rFonts w:eastAsiaTheme="majorEastAsia"/>
          <w:i/>
          <w:noProof/>
        </w:rPr>
        <w:t>redCO2</w:t>
      </w:r>
      <w:r>
        <w:rPr>
          <w:noProof/>
        </w:rPr>
        <w:tab/>
        <w:t>smanjenje emisijskog duga za 2025. utvrđeno u skladu s točkom 5.4.</w:t>
      </w:r>
    </w:p>
    <w:p>
      <w:pPr>
        <w:rPr>
          <w:noProof/>
        </w:rPr>
      </w:pPr>
      <w:r>
        <w:rPr>
          <w:noProof/>
        </w:rPr>
        <w:t xml:space="preserve">U svim drugim slučajevima vrijednost prekomjernih emisija </w:t>
      </w:r>
      <w:r>
        <w:rPr>
          <w:i/>
          <w:noProof/>
          <w:sz w:val="22"/>
        </w:rPr>
        <w:t>exeCO2</w:t>
      </w:r>
      <w:r>
        <w:rPr>
          <w:i/>
          <w:noProof/>
          <w:sz w:val="22"/>
          <w:vertAlign w:val="subscript"/>
        </w:rPr>
        <w:t xml:space="preserve">Y   </w:t>
      </w:r>
      <w:r>
        <w:rPr>
          <w:noProof/>
        </w:rPr>
        <w:t>postavlja se na 0.</w:t>
      </w:r>
    </w:p>
    <w:p>
      <w:pPr>
        <w:rPr>
          <w:noProof/>
        </w:rPr>
        <w:sectPr>
          <w:footerReference w:type="default" r:id="rId22"/>
          <w:footerReference w:type="first" r:id="rId23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lastRenderedPageBreak/>
        <w:t>PRILOG II.</w:t>
      </w:r>
    </w:p>
    <w:p>
      <w:pPr>
        <w:pStyle w:val="Annexetitreexpos"/>
        <w:rPr>
          <w:noProof/>
        </w:rPr>
      </w:pPr>
      <w:r>
        <w:rPr>
          <w:noProof/>
        </w:rPr>
        <w:t>Postupci prilagodbe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Faktori prilagodbe korisnog tereta iz članka 12. stavka 1. točke (c)</w:t>
      </w:r>
    </w:p>
    <w:p>
      <w:pPr>
        <w:rPr>
          <w:noProof/>
          <w:highlight w:val="yellow"/>
        </w:rPr>
      </w:pPr>
      <w:r>
        <w:rPr>
          <w:noProof/>
        </w:rPr>
        <w:t>Podložno odredbama iz članka 10. stavka 2. točke (a), emisije CO</w:t>
      </w:r>
      <w:r>
        <w:rPr>
          <w:noProof/>
          <w:vertAlign w:val="subscript"/>
        </w:rPr>
        <w:t>2</w:t>
      </w:r>
      <w:r>
        <w:rPr>
          <w:noProof/>
        </w:rPr>
        <w:t xml:space="preserve"> teških vozila </w:t>
      </w:r>
      <w:r>
        <w:rPr>
          <w:i/>
          <w:noProof/>
        </w:rPr>
        <w:t>v</w:t>
      </w:r>
      <w:r>
        <w:rPr>
          <w:noProof/>
        </w:rPr>
        <w:t xml:space="preserve"> u g/km utvrđene za namjenski profil </w:t>
      </w:r>
      <w:r>
        <w:rPr>
          <w:i/>
          <w:noProof/>
        </w:rPr>
        <w:t>mp</w:t>
      </w:r>
      <w:r>
        <w:rPr>
          <w:noProof/>
        </w:rPr>
        <w:t xml:space="preserve"> iz tablice 2. u točki 2.1. Priloga I. prilagođavaju se za potrebe izračuna referentnih emisija CO</w:t>
      </w:r>
      <w:r>
        <w:rPr>
          <w:noProof/>
          <w:vertAlign w:val="subscript"/>
        </w:rPr>
        <w:t>2</w:t>
      </w:r>
      <w:r>
        <w:rPr>
          <w:noProof/>
        </w:rPr>
        <w:t xml:space="preserve"> iz članka 1. na sljedeći način:</w:t>
      </w:r>
    </w:p>
    <w:p>
      <w:pPr>
        <w:spacing w:before="0" w:after="200" w:line="276" w:lineRule="auto"/>
        <w:contextualSpacing/>
        <w:rPr>
          <w:noProof/>
          <w:sz w:val="22"/>
        </w:rPr>
      </w:pPr>
    </w:p>
    <w:p>
      <w:pPr>
        <w:ind w:left="720" w:firstLine="720"/>
        <w:rPr>
          <w:i/>
          <w:noProof/>
          <w:sz w:val="22"/>
        </w:rPr>
      </w:pPr>
      <w:r>
        <w:rPr>
          <w:rFonts w:eastAsiaTheme="minorEastAsia"/>
          <w:i/>
          <w:noProof/>
        </w:rPr>
        <w:t>CO2</w:t>
      </w:r>
      <w:r>
        <w:rPr>
          <w:rFonts w:eastAsiaTheme="minorEastAsia"/>
          <w:i/>
          <w:noProof/>
          <w:vertAlign w:val="subscript"/>
        </w:rPr>
        <w:t xml:space="preserve">v,mp </w:t>
      </w:r>
      <w:r>
        <w:rPr>
          <w:rFonts w:eastAsiaTheme="minorEastAsia"/>
          <w:i/>
          <w:noProof/>
        </w:rPr>
        <w:t>=  CO2(2019)</w:t>
      </w:r>
      <w:r>
        <w:rPr>
          <w:i/>
          <w:noProof/>
          <w:vertAlign w:val="subscript"/>
        </w:rPr>
        <w:t xml:space="preserve">v,mp  </w:t>
      </w:r>
      <w:r>
        <w:rPr>
          <w:rFonts w:eastAsiaTheme="minorEastAsia"/>
          <w:i/>
          <w:noProof/>
        </w:rPr>
        <w:t>x (1+ PLa</w:t>
      </w:r>
      <w:r>
        <w:rPr>
          <w:i/>
          <w:noProof/>
          <w:vertAlign w:val="subscript"/>
        </w:rPr>
        <w:t>sg,mp</w:t>
      </w:r>
      <w:r>
        <w:rPr>
          <w:rFonts w:eastAsiaTheme="minorEastAsia"/>
          <w:i/>
          <w:noProof/>
        </w:rPr>
        <w:t xml:space="preserve"> x (PL</w:t>
      </w:r>
      <w:r>
        <w:rPr>
          <w:i/>
          <w:noProof/>
          <w:vertAlign w:val="subscript"/>
        </w:rPr>
        <w:t>sg,mp</w:t>
      </w:r>
      <w:r>
        <w:rPr>
          <w:rFonts w:eastAsiaTheme="minorEastAsia"/>
          <w:i/>
          <w:noProof/>
        </w:rPr>
        <w:t xml:space="preserve"> – PL(2019)</w:t>
      </w:r>
      <w:r>
        <w:rPr>
          <w:i/>
          <w:noProof/>
          <w:vertAlign w:val="subscript"/>
        </w:rPr>
        <w:t>sg,mp</w:t>
      </w:r>
      <w:r>
        <w:rPr>
          <w:rFonts w:eastAsiaTheme="minorEastAsia"/>
          <w:i/>
          <w:noProof/>
        </w:rPr>
        <w:t>))</w:t>
      </w:r>
    </w:p>
    <w:p>
      <w:pPr>
        <w:ind w:left="720" w:firstLine="720"/>
        <w:rPr>
          <w:noProof/>
        </w:rPr>
      </w:pPr>
      <w:r>
        <w:rPr>
          <w:noProof/>
        </w:rPr>
        <w:t>pri čemu je:</w:t>
      </w:r>
    </w:p>
    <w:p>
      <w:pPr>
        <w:ind w:left="850" w:firstLine="590"/>
        <w:rPr>
          <w:noProof/>
          <w:szCs w:val="24"/>
        </w:rPr>
      </w:pPr>
      <w:r>
        <w:rPr>
          <w:i/>
          <w:noProof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podskupina kojoj vozilo </w:t>
      </w:r>
      <w:r>
        <w:rPr>
          <w:i/>
          <w:noProof/>
        </w:rPr>
        <w:t>v</w:t>
      </w:r>
      <w:r>
        <w:rPr>
          <w:noProof/>
        </w:rPr>
        <w:t xml:space="preserve"> pripada,</w:t>
      </w:r>
      <w:r>
        <w:rPr>
          <w:noProof/>
        </w:rPr>
        <w:tab/>
      </w:r>
    </w:p>
    <w:p>
      <w:pPr>
        <w:ind w:left="3600" w:hanging="2160"/>
        <w:rPr>
          <w:noProof/>
          <w:szCs w:val="24"/>
        </w:rPr>
      </w:pPr>
      <w:r>
        <w:rPr>
          <w:i/>
          <w:noProof/>
        </w:rPr>
        <w:t>CO2(2019)</w:t>
      </w:r>
      <w:r>
        <w:rPr>
          <w:i/>
          <w:noProof/>
          <w:vertAlign w:val="subscript"/>
        </w:rPr>
        <w:t>v,mp</w:t>
      </w:r>
      <w:r>
        <w:rPr>
          <w:noProof/>
        </w:rPr>
        <w:tab/>
        <w:t>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vozila </w:t>
      </w:r>
      <w:r>
        <w:rPr>
          <w:i/>
          <w:noProof/>
        </w:rPr>
        <w:t>v</w:t>
      </w:r>
      <w:r>
        <w:rPr>
          <w:noProof/>
        </w:rPr>
        <w:t xml:space="preserve"> u g/km, kako je utvrđeno na namjenskom profilu </w:t>
      </w:r>
      <w:r>
        <w:rPr>
          <w:i/>
          <w:noProof/>
        </w:rPr>
        <w:t>mp</w:t>
      </w:r>
      <w:r>
        <w:rPr>
          <w:noProof/>
        </w:rPr>
        <w:t xml:space="preserve"> i na temelju podataka o praćenju za 2019. dostavljenih u skladu s Uredbom (EU) br. …/2018 [HDV M&amp;R], </w:t>
      </w:r>
    </w:p>
    <w:p>
      <w:pPr>
        <w:ind w:left="3600" w:hanging="2160"/>
        <w:rPr>
          <w:noProof/>
          <w:sz w:val="22"/>
        </w:rPr>
      </w:pPr>
      <w:r>
        <w:rPr>
          <w:i/>
          <w:noProof/>
        </w:rPr>
        <w:t>PL(2019)</w:t>
      </w:r>
      <w:r>
        <w:rPr>
          <w:i/>
          <w:noProof/>
          <w:vertAlign w:val="subscript"/>
        </w:rPr>
        <w:t>sg, mp</w:t>
      </w:r>
      <w:r>
        <w:rPr>
          <w:noProof/>
        </w:rPr>
        <w:tab/>
        <w:t xml:space="preserve">vrijednost korisnog tereta za vozila u podskupini </w:t>
      </w:r>
      <w:r>
        <w:rPr>
          <w:i/>
          <w:noProof/>
        </w:rPr>
        <w:t>sg</w:t>
      </w:r>
      <w:r>
        <w:rPr>
          <w:noProof/>
        </w:rPr>
        <w:t xml:space="preserve"> na namjenskom profilu </w:t>
      </w:r>
      <w:r>
        <w:rPr>
          <w:i/>
          <w:noProof/>
        </w:rPr>
        <w:t>mp</w:t>
      </w:r>
      <w:r>
        <w:rPr>
          <w:noProof/>
        </w:rPr>
        <w:t xml:space="preserve"> u kalendarskoj godini 2019., u skladu s tablicom 3. u točki 2.5. priloga I., u svrhu utvrđivanja podataka o praćenju za 2019. dostavljenih u skladu s Uredbom (EU) br. …/2018 [HDV M&amp;R],</w:t>
      </w:r>
    </w:p>
    <w:p>
      <w:pPr>
        <w:ind w:left="3600" w:hanging="2160"/>
        <w:rPr>
          <w:noProof/>
          <w:szCs w:val="24"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sg, mp</w:t>
      </w:r>
      <w:r>
        <w:rPr>
          <w:noProof/>
        </w:rPr>
        <w:tab/>
        <w:t xml:space="preserve">vrijednost korisnog tereta za vozila u podskupini </w:t>
      </w:r>
      <w:r>
        <w:rPr>
          <w:i/>
          <w:noProof/>
        </w:rPr>
        <w:t>sg</w:t>
      </w:r>
      <w:r>
        <w:rPr>
          <w:noProof/>
        </w:rPr>
        <w:t xml:space="preserve"> na namjenskom profilu </w:t>
      </w:r>
      <w:r>
        <w:rPr>
          <w:i/>
          <w:noProof/>
        </w:rPr>
        <w:t>mp</w:t>
      </w:r>
      <w:r>
        <w:rPr>
          <w:noProof/>
        </w:rPr>
        <w:t xml:space="preserve"> u kalendarskoj godini u kojoj izmjene iz članka 12. stavka 1. točke (c) počnu proizvoditi učinak za sva nova teška vozila, u skladu s tablicom 3. u točki 2.5. Priloga I.,</w:t>
      </w:r>
      <w:r>
        <w:rPr>
          <w:noProof/>
        </w:rPr>
        <w:tab/>
      </w:r>
    </w:p>
    <w:p>
      <w:pPr>
        <w:ind w:left="3600" w:hanging="2160"/>
        <w:rPr>
          <w:noProof/>
        </w:rPr>
      </w:pPr>
      <w:r>
        <w:rPr>
          <w:i/>
          <w:noProof/>
        </w:rPr>
        <w:t>PLa</w:t>
      </w:r>
      <w:r>
        <w:rPr>
          <w:i/>
          <w:noProof/>
          <w:vertAlign w:val="subscript"/>
        </w:rPr>
        <w:t>sg, mp</w:t>
      </w:r>
      <w:r>
        <w:rPr>
          <w:noProof/>
        </w:rPr>
        <w:tab/>
        <w:t>faktor prilagodbe korisnog tereta utvrđen u tablici 5.</w:t>
      </w:r>
    </w:p>
    <w:p>
      <w:pPr>
        <w:ind w:left="720"/>
        <w:contextualSpacing/>
        <w:rPr>
          <w:noProof/>
        </w:rPr>
      </w:pPr>
      <w:r>
        <w:rPr>
          <w:b/>
          <w:noProof/>
        </w:rPr>
        <w:t xml:space="preserve">Tablica 5. – Faktor prilagodbe korisnog tereta </w:t>
      </w:r>
      <w:r>
        <w:rPr>
          <w:b/>
          <w:i/>
          <w:noProof/>
        </w:rPr>
        <w:t xml:space="preserve">PLa </w:t>
      </w:r>
      <w:r>
        <w:rPr>
          <w:b/>
          <w:i/>
          <w:noProof/>
          <w:vertAlign w:val="subscript"/>
        </w:rPr>
        <w:t>sg, mp</w:t>
      </w:r>
      <w:r>
        <w:rPr>
          <w:b/>
          <w:noProof/>
        </w:rPr>
        <w:t xml:space="preserve"> </w:t>
      </w:r>
    </w:p>
    <w:tbl>
      <w:tblPr>
        <w:tblStyle w:val="TableGrid"/>
        <w:tblW w:w="8568" w:type="dxa"/>
        <w:tblInd w:w="720" w:type="dxa"/>
        <w:tblLook w:val="04A0" w:firstRow="1" w:lastRow="0" w:firstColumn="1" w:lastColumn="0" w:noHBand="0" w:noVBand="1"/>
      </w:tblPr>
      <w:tblGrid>
        <w:gridCol w:w="1417"/>
        <w:gridCol w:w="834"/>
        <w:gridCol w:w="1192"/>
        <w:gridCol w:w="1097"/>
        <w:gridCol w:w="1030"/>
        <w:gridCol w:w="1109"/>
        <w:gridCol w:w="1889"/>
      </w:tblGrid>
      <w:tr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PLa</w:t>
            </w:r>
            <w:r>
              <w:rPr>
                <w:b/>
                <w:noProof/>
                <w:vertAlign w:val="subscript"/>
              </w:rPr>
              <w:t>sg,mp</w:t>
            </w:r>
            <w:r>
              <w:rPr>
                <w:b/>
                <w:noProof/>
              </w:rPr>
              <w:t xml:space="preserve"> </w:t>
            </w:r>
          </w:p>
          <w:p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(u 1/t)</w:t>
            </w:r>
          </w:p>
        </w:tc>
        <w:tc>
          <w:tcPr>
            <w:tcW w:w="6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contextualSpacing/>
              <w:jc w:val="center"/>
              <w:rPr>
                <w:b/>
                <w:i/>
                <w:noProof/>
              </w:rPr>
            </w:pPr>
            <w:r>
              <w:rPr>
                <w:b/>
                <w:noProof/>
              </w:rPr>
              <w:t xml:space="preserve">Namjenski profili </w:t>
            </w:r>
            <w:r>
              <w:rPr>
                <w:b/>
                <w:i/>
                <w:noProof/>
              </w:rPr>
              <w:t>mp</w:t>
            </w:r>
            <w:r>
              <w:rPr>
                <w:b/>
                <w:i/>
                <w:noProof/>
                <w:vertAlign w:val="superscript"/>
              </w:rPr>
              <w:t>1</w:t>
            </w:r>
            <w:r>
              <w:rPr>
                <w:b/>
                <w:i/>
                <w:noProof/>
              </w:rPr>
              <w:t xml:space="preserve"> </w:t>
            </w:r>
            <w:r>
              <w:rPr>
                <w:b/>
                <w:noProof/>
              </w:rPr>
              <w:t xml:space="preserve"> </w:t>
            </w:r>
          </w:p>
        </w:tc>
      </w:tr>
      <w:t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RDL, RDR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REL, RER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LHL, LHR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LEL, LER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UDL, UDR</w:t>
            </w:r>
          </w:p>
        </w:tc>
      </w:tr>
      <w:t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b/>
                <w:noProof/>
              </w:rPr>
            </w:pPr>
          </w:p>
          <w:p>
            <w:pPr>
              <w:spacing w:after="0"/>
              <w:rPr>
                <w:b/>
                <w:noProof/>
              </w:rPr>
            </w:pPr>
          </w:p>
          <w:p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Podskupine</w:t>
            </w:r>
          </w:p>
          <w:p>
            <w:pPr>
              <w:spacing w:after="0"/>
              <w:jc w:val="center"/>
              <w:rPr>
                <w:b/>
                <w:noProof/>
              </w:rPr>
            </w:pPr>
          </w:p>
          <w:p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vozila</w:t>
            </w:r>
          </w:p>
          <w:p>
            <w:pPr>
              <w:spacing w:after="0"/>
              <w:jc w:val="center"/>
              <w:rPr>
                <w:b/>
                <w:noProof/>
              </w:rPr>
            </w:pPr>
          </w:p>
          <w:p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i/>
                <w:noProof/>
              </w:rPr>
              <w:t xml:space="preserve"> sg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4-UD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0,026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Nije dostupno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0.015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Nije dostupno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0,026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4-RD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noProof/>
                <w:sz w:val="22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4-LH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noProof/>
                <w:sz w:val="22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5-RD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0,017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0,017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0,022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5-LH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noProof/>
                <w:sz w:val="22"/>
              </w:rPr>
            </w:pPr>
          </w:p>
        </w:tc>
      </w:tr>
      <w:tr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9-RD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0,026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0,025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0,015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contextualSpacing/>
              <w:rPr>
                <w:noProof/>
              </w:rPr>
            </w:pPr>
            <w:r>
              <w:rPr>
                <w:noProof/>
                <w:color w:val="000000"/>
              </w:rPr>
              <w:t>0,026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9-LH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noProof/>
                <w:sz w:val="22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10-RD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0,016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0,016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contextualSpacing/>
              <w:rPr>
                <w:noProof/>
              </w:rPr>
            </w:pPr>
            <w:r>
              <w:rPr>
                <w:noProof/>
                <w:color w:val="000000"/>
              </w:rPr>
              <w:t>0,022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10-LH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noProof/>
                <w:sz w:val="22"/>
              </w:rPr>
            </w:pPr>
          </w:p>
        </w:tc>
      </w:tr>
    </w:tbl>
    <w:p>
      <w:pPr>
        <w:rPr>
          <w:b/>
          <w:noProof/>
          <w:sz w:val="22"/>
        </w:rPr>
      </w:pPr>
      <w:r>
        <w:rPr>
          <w:noProof/>
        </w:rPr>
        <w:lastRenderedPageBreak/>
        <w:tab/>
      </w:r>
      <w:r>
        <w:rPr>
          <w:b/>
          <w:noProof/>
          <w:vertAlign w:val="superscript"/>
        </w:rPr>
        <w:t>1</w:t>
      </w:r>
      <w:r>
        <w:rPr>
          <w:b/>
          <w:noProof/>
        </w:rPr>
        <w:t xml:space="preserve"> Vidjeti definicije namjenskog profila u točki 1. odjeljka 2. Priloga I.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Faktori prilagodbe iz članka 10. stavka 2. točke (b) </w:t>
      </w:r>
    </w:p>
    <w:p>
      <w:pPr>
        <w:rPr>
          <w:noProof/>
          <w:szCs w:val="24"/>
          <w:highlight w:val="yellow"/>
        </w:rPr>
      </w:pPr>
      <w:r>
        <w:rPr>
          <w:noProof/>
        </w:rPr>
        <w:t>Podložno odredbama iz članka 10. stavka 2. točke (b), emisije CO</w:t>
      </w:r>
      <w:r>
        <w:rPr>
          <w:noProof/>
          <w:vertAlign w:val="subscript"/>
        </w:rPr>
        <w:t>2</w:t>
      </w:r>
      <w:r>
        <w:rPr>
          <w:noProof/>
        </w:rPr>
        <w:t xml:space="preserve"> teških vozila </w:t>
      </w:r>
      <w:r>
        <w:rPr>
          <w:i/>
          <w:noProof/>
        </w:rPr>
        <w:t>v</w:t>
      </w:r>
      <w:r>
        <w:rPr>
          <w:noProof/>
        </w:rPr>
        <w:t xml:space="preserve"> u g/km utvrđene za namjenski profil </w:t>
      </w:r>
      <w:r>
        <w:rPr>
          <w:i/>
          <w:noProof/>
        </w:rPr>
        <w:t>mp</w:t>
      </w:r>
      <w:r>
        <w:rPr>
          <w:noProof/>
        </w:rPr>
        <w:t xml:space="preserve"> u točki 2.1. Priloga I. prilagođavaju se za potrebe izračuna referentnih emisija CO</w:t>
      </w:r>
      <w:r>
        <w:rPr>
          <w:noProof/>
          <w:vertAlign w:val="subscript"/>
        </w:rPr>
        <w:t>2</w:t>
      </w:r>
      <w:r>
        <w:rPr>
          <w:noProof/>
        </w:rPr>
        <w:t xml:space="preserve"> iz članka 1. na sljedeći način:</w:t>
      </w:r>
    </w:p>
    <w:p>
      <w:pPr>
        <w:ind w:left="720" w:firstLine="720"/>
        <w:rPr>
          <w:noProof/>
        </w:rPr>
      </w:pPr>
      <w:r>
        <w:rPr>
          <w:rFonts w:eastAsiaTheme="minorEastAsia"/>
          <w:i/>
          <w:noProof/>
        </w:rPr>
        <w:t>CO2</w:t>
      </w:r>
      <w:r>
        <w:rPr>
          <w:rFonts w:eastAsiaTheme="minorEastAsia"/>
          <w:i/>
          <w:noProof/>
          <w:vertAlign w:val="subscript"/>
        </w:rPr>
        <w:t xml:space="preserve">v,mp </w:t>
      </w:r>
      <w:r>
        <w:rPr>
          <w:rFonts w:eastAsiaTheme="minorEastAsia"/>
          <w:i/>
          <w:noProof/>
        </w:rPr>
        <w:t>=  CO2(2019)</w:t>
      </w:r>
      <w:r>
        <w:rPr>
          <w:i/>
          <w:noProof/>
          <w:vertAlign w:val="subscript"/>
        </w:rPr>
        <w:t xml:space="preserve">v,mp  </w:t>
      </w:r>
      <w:r>
        <w:rPr>
          <w:rFonts w:eastAsiaTheme="minorEastAsia"/>
          <w:i/>
          <w:noProof/>
        </w:rPr>
        <w:t xml:space="preserve">x (∑ </w:t>
      </w:r>
      <w:r>
        <w:rPr>
          <w:i/>
          <w:noProof/>
          <w:vertAlign w:val="subscript"/>
        </w:rPr>
        <w:t>r</w:t>
      </w:r>
      <w:r>
        <w:rPr>
          <w:rFonts w:eastAsiaTheme="minorEastAsia"/>
          <w:i/>
          <w:noProof/>
        </w:rPr>
        <w:t xml:space="preserve">  s</w:t>
      </w:r>
      <w:r>
        <w:rPr>
          <w:i/>
          <w:noProof/>
          <w:vertAlign w:val="subscript"/>
        </w:rPr>
        <w:t xml:space="preserve"> r,sg</w:t>
      </w:r>
      <w:r>
        <w:rPr>
          <w:noProof/>
        </w:rPr>
        <w:t xml:space="preserve"> </w:t>
      </w:r>
      <w:r>
        <w:rPr>
          <w:i/>
          <w:noProof/>
        </w:rPr>
        <w:t>x CO2(2019)</w:t>
      </w:r>
      <w:r>
        <w:rPr>
          <w:i/>
          <w:noProof/>
          <w:vertAlign w:val="subscript"/>
        </w:rPr>
        <w:t xml:space="preserve">r,mp  </w:t>
      </w:r>
      <w:r>
        <w:rPr>
          <w:i/>
          <w:noProof/>
        </w:rPr>
        <w:t xml:space="preserve">)/ (∑ </w:t>
      </w:r>
      <w:r>
        <w:rPr>
          <w:i/>
          <w:noProof/>
          <w:vertAlign w:val="subscript"/>
        </w:rPr>
        <w:t>r</w:t>
      </w:r>
      <w:r>
        <w:rPr>
          <w:i/>
          <w:noProof/>
        </w:rPr>
        <w:t xml:space="preserve">  s</w:t>
      </w:r>
      <w:r>
        <w:rPr>
          <w:i/>
          <w:noProof/>
          <w:vertAlign w:val="subscript"/>
        </w:rPr>
        <w:t xml:space="preserve"> r,sg</w:t>
      </w:r>
      <w:r>
        <w:rPr>
          <w:noProof/>
        </w:rPr>
        <w:t xml:space="preserve"> </w:t>
      </w:r>
      <w:r>
        <w:rPr>
          <w:i/>
          <w:noProof/>
        </w:rPr>
        <w:t>x CO2</w:t>
      </w:r>
      <w:r>
        <w:rPr>
          <w:i/>
          <w:noProof/>
          <w:vertAlign w:val="subscript"/>
        </w:rPr>
        <w:t xml:space="preserve">r,mp  </w:t>
      </w:r>
      <w:r>
        <w:rPr>
          <w:i/>
          <w:noProof/>
        </w:rPr>
        <w:t>)</w:t>
      </w:r>
    </w:p>
    <w:p>
      <w:pPr>
        <w:ind w:left="720" w:firstLine="720"/>
        <w:rPr>
          <w:noProof/>
        </w:rPr>
      </w:pPr>
      <w:r>
        <w:rPr>
          <w:noProof/>
        </w:rPr>
        <w:t>pri čemu je:</w:t>
      </w:r>
    </w:p>
    <w:p>
      <w:pPr>
        <w:ind w:left="3600" w:hanging="2160"/>
        <w:rPr>
          <w:i/>
          <w:noProof/>
          <w:szCs w:val="24"/>
        </w:rPr>
      </w:pPr>
      <w:r>
        <w:rPr>
          <w:i/>
          <w:noProof/>
        </w:rPr>
        <w:t xml:space="preserve">∑ </w:t>
      </w:r>
      <w:r>
        <w:rPr>
          <w:i/>
          <w:noProof/>
          <w:vertAlign w:val="subscript"/>
        </w:rPr>
        <w:t>r</w:t>
      </w:r>
      <w:r>
        <w:rPr>
          <w:i/>
          <w:noProof/>
        </w:rPr>
        <w:t xml:space="preserve">  </w:t>
      </w:r>
      <w:r>
        <w:rPr>
          <w:noProof/>
        </w:rPr>
        <w:tab/>
        <w:t xml:space="preserve">zbroj za sva reprezentativna vozila </w:t>
      </w:r>
      <w:r>
        <w:rPr>
          <w:i/>
          <w:noProof/>
        </w:rPr>
        <w:t>r</w:t>
      </w:r>
      <w:r>
        <w:rPr>
          <w:noProof/>
        </w:rPr>
        <w:t xml:space="preserve"> za podskupinu </w:t>
      </w:r>
      <w:r>
        <w:rPr>
          <w:i/>
          <w:noProof/>
        </w:rPr>
        <w:t>sg</w:t>
      </w:r>
      <w:r>
        <w:rPr>
          <w:noProof/>
        </w:rPr>
        <w:t>,</w:t>
      </w:r>
    </w:p>
    <w:p>
      <w:pPr>
        <w:ind w:left="850" w:firstLine="590"/>
        <w:rPr>
          <w:noProof/>
          <w:szCs w:val="24"/>
        </w:rPr>
      </w:pPr>
      <w:r>
        <w:rPr>
          <w:i/>
          <w:noProof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podskupina kojoj vozilo </w:t>
      </w:r>
      <w:r>
        <w:rPr>
          <w:i/>
          <w:noProof/>
        </w:rPr>
        <w:t>v</w:t>
      </w:r>
      <w:r>
        <w:rPr>
          <w:noProof/>
        </w:rPr>
        <w:t xml:space="preserve"> pripada,</w:t>
      </w:r>
    </w:p>
    <w:p>
      <w:pPr>
        <w:spacing w:before="20" w:after="20"/>
        <w:ind w:left="851" w:firstLine="590"/>
        <w:rPr>
          <w:noProof/>
          <w:szCs w:val="24"/>
        </w:rPr>
      </w:pPr>
      <w:r>
        <w:rPr>
          <w:i/>
          <w:noProof/>
        </w:rPr>
        <w:t>s</w:t>
      </w:r>
      <w:r>
        <w:rPr>
          <w:i/>
          <w:noProof/>
          <w:vertAlign w:val="subscript"/>
        </w:rPr>
        <w:t xml:space="preserve"> r,sg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statistički ponder reprezentativnog vozila </w:t>
      </w:r>
      <w:r>
        <w:rPr>
          <w:i/>
          <w:noProof/>
        </w:rPr>
        <w:t>r</w:t>
      </w:r>
      <w:r>
        <w:rPr>
          <w:noProof/>
        </w:rPr>
        <w:t xml:space="preserve">, </w:t>
      </w:r>
    </w:p>
    <w:p>
      <w:pPr>
        <w:spacing w:before="20" w:after="20"/>
        <w:ind w:left="851" w:firstLine="590"/>
        <w:rPr>
          <w:i/>
          <w:noProof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u podskupini </w:t>
      </w:r>
      <w:r>
        <w:rPr>
          <w:i/>
          <w:noProof/>
        </w:rPr>
        <w:t>sg;</w:t>
      </w:r>
    </w:p>
    <w:p>
      <w:pPr>
        <w:ind w:left="3600" w:hanging="2160"/>
        <w:rPr>
          <w:noProof/>
          <w:szCs w:val="24"/>
        </w:rPr>
      </w:pPr>
      <w:r>
        <w:rPr>
          <w:i/>
          <w:noProof/>
        </w:rPr>
        <w:t>CO2(2019)</w:t>
      </w:r>
      <w:r>
        <w:rPr>
          <w:i/>
          <w:noProof/>
          <w:vertAlign w:val="subscript"/>
        </w:rPr>
        <w:t>v,mp</w:t>
      </w:r>
      <w:r>
        <w:rPr>
          <w:noProof/>
        </w:rPr>
        <w:tab/>
        <w:t>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vozila </w:t>
      </w:r>
      <w:r>
        <w:rPr>
          <w:i/>
          <w:noProof/>
        </w:rPr>
        <w:t>v</w:t>
      </w:r>
      <w:r>
        <w:rPr>
          <w:noProof/>
        </w:rPr>
        <w:t xml:space="preserve"> u g/km, kako je utvrđeno na namjenskom profilu </w:t>
      </w:r>
      <w:r>
        <w:rPr>
          <w:i/>
          <w:noProof/>
        </w:rPr>
        <w:t>mp</w:t>
      </w:r>
      <w:r>
        <w:rPr>
          <w:noProof/>
        </w:rPr>
        <w:t xml:space="preserve"> i na temelju podataka o praćenju za 2019. dostavljenima u skladu s Uredbom (EU) br. …/2018 [HDV M&amp;R], </w:t>
      </w:r>
    </w:p>
    <w:p>
      <w:pPr>
        <w:ind w:left="3600" w:hanging="2160"/>
        <w:rPr>
          <w:noProof/>
          <w:szCs w:val="24"/>
        </w:rPr>
      </w:pPr>
      <w:r>
        <w:rPr>
          <w:i/>
          <w:noProof/>
        </w:rPr>
        <w:t>CO2(2019)</w:t>
      </w:r>
      <w:r>
        <w:rPr>
          <w:i/>
          <w:noProof/>
          <w:vertAlign w:val="subscript"/>
        </w:rPr>
        <w:t xml:space="preserve">r,mp  </w:t>
      </w:r>
      <w:r>
        <w:rPr>
          <w:noProof/>
        </w:rPr>
        <w:tab/>
        <w:t>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reprezentativnog vozila </w:t>
      </w:r>
      <w:r>
        <w:rPr>
          <w:i/>
          <w:noProof/>
        </w:rPr>
        <w:t>r</w:t>
      </w:r>
      <w:r>
        <w:rPr>
          <w:noProof/>
        </w:rPr>
        <w:t xml:space="preserve"> u g/km kako je utvrđeno u namjenskom profilu </w:t>
      </w:r>
      <w:r>
        <w:rPr>
          <w:i/>
          <w:noProof/>
        </w:rPr>
        <w:t>mp</w:t>
      </w:r>
      <w:r>
        <w:rPr>
          <w:noProof/>
        </w:rPr>
        <w:t xml:space="preserve"> u skladu s ovom Uredbom u njezinoj inačici koja se primjenjuje 2019., </w:t>
      </w:r>
    </w:p>
    <w:p>
      <w:pPr>
        <w:ind w:left="3600" w:hanging="2160"/>
        <w:rPr>
          <w:noProof/>
          <w:szCs w:val="24"/>
        </w:rPr>
      </w:pPr>
      <w:r>
        <w:rPr>
          <w:i/>
          <w:noProof/>
        </w:rPr>
        <w:t>CO2</w:t>
      </w:r>
      <w:r>
        <w:rPr>
          <w:i/>
          <w:noProof/>
          <w:vertAlign w:val="subscript"/>
        </w:rPr>
        <w:t xml:space="preserve">r,mp  </w:t>
      </w:r>
      <w:r>
        <w:rPr>
          <w:noProof/>
        </w:rPr>
        <w:tab/>
        <w:t>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reprezentativnog vozila </w:t>
      </w:r>
      <w:r>
        <w:rPr>
          <w:i/>
          <w:noProof/>
        </w:rPr>
        <w:t>r</w:t>
      </w:r>
      <w:r>
        <w:rPr>
          <w:noProof/>
        </w:rPr>
        <w:t xml:space="preserve"> kako je utvrđeno u skladu s ovom Uredbom tijekom kalendarske godine u kojoj izmjene iz članka 12. stavka 2. počnu proizvoditi učinak za sva nova teška vozila.</w:t>
      </w:r>
    </w:p>
    <w:p>
      <w:pPr>
        <w:ind w:left="1440"/>
        <w:rPr>
          <w:noProof/>
          <w:szCs w:val="24"/>
        </w:rPr>
      </w:pPr>
      <w:r>
        <w:rPr>
          <w:noProof/>
        </w:rPr>
        <w:t>Reprezentativno vozilo definira se u skladu s metodologijom iz članka 12. stavka 2.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E44B5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ED2E6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6C070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14842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830AF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62C3B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38FA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5C6B8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CANI Alberto (CLIMA)">
    <w15:presenceInfo w15:providerId="None" w15:userId="ASCANI Alberto (CLIM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ctiveWritingStyle w:appName="MSWord" w:lang="pt-PT" w:vendorID="64" w:dllVersion="131078" w:nlCheck="1" w:checkStyle="0"/>
  <w:activeWritingStyle w:appName="MSWord" w:lang="fr-BE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1 18:13:5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4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4C6D2087-FFE5-40DC-97CF-705E08B327C6"/>
    <w:docVar w:name="LW_COVERPAGE_TYPE" w:val="1"/>
    <w:docVar w:name="LW_CROSSREFERENCE" w:val="{SEC(2018) 233 final}_x000b_{SWD(2018) 185 final}_x000b_{SWD(2018) 186 final}"/>
    <w:docVar w:name="LW_DocType" w:val="ANNEX"/>
    <w:docVar w:name="LW_EMISSION" w:val="17.5.2018."/>
    <w:docVar w:name="LW_EMISSION_ISODATE" w:val="2018-05-17"/>
    <w:docVar w:name="LW_EMISSION_LOCATION" w:val="BRX"/>
    <w:docVar w:name="LW_EMISSION_PREFIX" w:val="Bruxelles, "/>
    <w:docVar w:name="LW_EMISSION_SUFFIX" w:val="&lt;EMPTY&gt;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utvr\u273?ivanju emisijskih normi CO2 za nova te\u353?ka vozila"/>
    <w:docVar w:name="LW_OBJETACTEPRINCIPAL.CP" w:val="o utvr\u273?ivanju emisijskih normi CO2 za nova te\u353?ka vozila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2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ZI"/>
    <w:docVar w:name="LW_TYPE.DOC.CP" w:val="PRILOZI"/>
    <w:docVar w:name="LW_TYPEACTEPRINCIPAL" w:val="Prijedlogu uredbe Europskog parlamenta i Vije\u263?a"/>
    <w:docVar w:name="LW_TYPEACTEPRINCIPAL.CP" w:val="Prijedlogu uredbe Europskog parlamenta i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hr-HR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customStyle="1" w:styleId="Headline2">
    <w:name w:val="Headline 2"/>
    <w:basedOn w:val="Text1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hr-HR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customStyle="1" w:styleId="Headline2">
    <w:name w:val="Headline 2"/>
    <w:basedOn w:val="Text1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9201270-F329-471F-A97B-BE68D85C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12</Pages>
  <Words>2738</Words>
  <Characters>13855</Characters>
  <Application>Microsoft Office Word</Application>
  <DocSecurity>0</DocSecurity>
  <Lines>769</Lines>
  <Paragraphs>535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Sibylle (CLIMA)</dc:creator>
  <cp:lastModifiedBy>DIGIT/A3</cp:lastModifiedBy>
  <cp:revision>11</cp:revision>
  <dcterms:created xsi:type="dcterms:W3CDTF">2018-06-08T09:45:00Z</dcterms:created>
  <dcterms:modified xsi:type="dcterms:W3CDTF">2018-06-11T16:13:00Z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6.0, Build 20171009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Unique annex">
    <vt:lpwstr>0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DQCStatus">
    <vt:lpwstr>Green (DQC version 03)</vt:lpwstr>
  </property>
</Properties>
</file>