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4" w:rsidRDefault="00500AC6" w:rsidP="00500AC6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44D9423-6E76-46FC-A6F3-79AC235BCF5A" style="width:450.6pt;height:351.85pt">
            <v:imagedata r:id="rId9" o:title=""/>
          </v:shape>
        </w:pict>
      </w:r>
    </w:p>
    <w:p w:rsidR="005D4D04" w:rsidRDefault="005D4D04">
      <w:pPr>
        <w:rPr>
          <w:noProof/>
        </w:rPr>
        <w:sectPr w:rsidR="005D4D04" w:rsidSect="00500A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5D4D04" w:rsidRDefault="00500AC6">
      <w:pPr>
        <w:pStyle w:val="Exposdesmotifstitre"/>
        <w:rPr>
          <w:noProof/>
        </w:rPr>
      </w:pPr>
      <w:r>
        <w:rPr>
          <w:noProof/>
        </w:rPr>
        <w:lastRenderedPageBreak/>
        <w:t>DŮVODOVÁ ZPRÁVA</w:t>
      </w:r>
    </w:p>
    <w:p w:rsidR="005D4D04" w:rsidRDefault="00500AC6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 w:rsidR="005D4D04" w:rsidRDefault="00500AC6">
      <w:pPr>
        <w:rPr>
          <w:noProof/>
          <w:szCs w:val="24"/>
        </w:rPr>
      </w:pPr>
      <w:r>
        <w:rPr>
          <w:noProof/>
        </w:rPr>
        <w:t xml:space="preserve">Tento návrh stanoví den použitelnosti ode dne 1. ledna 2021 a je předkládán Unii 27 členských států v souladu s </w:t>
      </w:r>
      <w:r>
        <w:rPr>
          <w:noProof/>
        </w:rPr>
        <w:t>oznámením Spojeného království o jeho záměru vystoupit z Evropské unie a Euratomu na základě článku 50 Smlouvy o Evropské unii, které Evropská rada obdržela dne 29. března 2017.</w:t>
      </w:r>
    </w:p>
    <w:p w:rsidR="005D4D04" w:rsidRDefault="00500AC6">
      <w:pPr>
        <w:pStyle w:val="Bullet0"/>
        <w:numPr>
          <w:ilvl w:val="0"/>
          <w:numId w:val="8"/>
        </w:numPr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Odůvodnění a cíle</w:t>
      </w:r>
    </w:p>
    <w:p w:rsidR="005D4D04" w:rsidRDefault="00500AC6">
      <w:pPr>
        <w:spacing w:before="0"/>
        <w:rPr>
          <w:noProof/>
        </w:rPr>
      </w:pPr>
      <w:bookmarkStart w:id="1" w:name="OLE_LINK3"/>
      <w:bookmarkStart w:id="2" w:name="OLE_LINK4"/>
      <w:r>
        <w:rPr>
          <w:noProof/>
        </w:rPr>
        <w:t>Cílem Evropské</w:t>
      </w:r>
      <w:bookmarkStart w:id="3" w:name="OLE_LINK17"/>
      <w:bookmarkStart w:id="4" w:name="OLE_LINK18"/>
      <w:r>
        <w:rPr>
          <w:noProof/>
        </w:rPr>
        <w:t xml:space="preserve"> unie je podporovat mír, své hodnoty a blahoby</w:t>
      </w:r>
      <w:r>
        <w:rPr>
          <w:noProof/>
        </w:rPr>
        <w:t xml:space="preserve">t svých obyvatel. Unie je společenstvím práva a jeho hodnoty tvoří samu podstatu její existence. </w:t>
      </w:r>
      <w:bookmarkStart w:id="5" w:name="OLE_LINK1"/>
      <w:bookmarkStart w:id="6" w:name="OLE_LINK2"/>
      <w:bookmarkEnd w:id="1"/>
      <w:bookmarkEnd w:id="2"/>
      <w:bookmarkEnd w:id="3"/>
      <w:bookmarkEnd w:id="4"/>
      <w:r>
        <w:rPr>
          <w:noProof/>
        </w:rPr>
        <w:t>Článek</w:t>
      </w:r>
      <w:bookmarkEnd w:id="5"/>
      <w:bookmarkEnd w:id="6"/>
      <w:r>
        <w:rPr>
          <w:noProof/>
        </w:rPr>
        <w:t xml:space="preserve"> 2 Smlouvy o Evropské unii uvádí, že „</w:t>
      </w:r>
      <w:r>
        <w:rPr>
          <w:i/>
          <w:noProof/>
        </w:rPr>
        <w:t>Unie je založena na hodnotách úcty k lidské důstojnosti, svobody, demokracie, rovnosti, právního státu a dodržování</w:t>
      </w:r>
      <w:r>
        <w:rPr>
          <w:i/>
          <w:noProof/>
        </w:rPr>
        <w:t xml:space="preserve"> lidských práv, včetně práv příslušníků menšin. Tyto hodnoty jsou společné členským státům ve společnosti vyznačující se pluralismem, nepřípustností diskriminace, tolerancí, spravedlností, solidaritou a rovností žen a mužů</w:t>
      </w:r>
      <w:r>
        <w:rPr>
          <w:noProof/>
        </w:rPr>
        <w:t>“. Tyto hodnoty jsou základem práv</w:t>
      </w:r>
      <w:r>
        <w:rPr>
          <w:noProof/>
        </w:rPr>
        <w:t>, která požívají osoby žijící na území Unie. Listina základních práv Evropské unie shrnuje do jediného dokumentu všechna osobní, občanská, politická, ekonomická a sociální práva, jichž požívají občané v EU.</w:t>
      </w:r>
      <w:bookmarkStart w:id="7" w:name="OLE_LINK5"/>
      <w:bookmarkStart w:id="8" w:name="OLE_LINK6"/>
      <w:bookmarkEnd w:id="7"/>
      <w:bookmarkEnd w:id="8"/>
    </w:p>
    <w:p w:rsidR="005D4D04" w:rsidRDefault="00500AC6">
      <w:pPr>
        <w:spacing w:before="0"/>
        <w:rPr>
          <w:noProof/>
        </w:rPr>
      </w:pPr>
      <w:r>
        <w:rPr>
          <w:noProof/>
        </w:rPr>
        <w:t xml:space="preserve">Článek 3 SEU uvádí, že „cílem Unie je podporovat </w:t>
      </w:r>
      <w:r>
        <w:rPr>
          <w:noProof/>
        </w:rPr>
        <w:t>mír, své hodnoty a blahobyt svých obyvatel“ a že „respektuje svou bohatou kulturní a jazykovou rozmanitost a dbá na zachování a rozvoj evropského kulturního dědictví“. Diskuzní dokument Komise o budoucnosti financí EU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uvádí, že </w:t>
      </w:r>
      <w:r>
        <w:rPr>
          <w:i/>
          <w:noProof/>
        </w:rPr>
        <w:t>„rozpočet EU tento cíl podp</w:t>
      </w:r>
      <w:r>
        <w:rPr>
          <w:i/>
          <w:noProof/>
        </w:rPr>
        <w:t>oruje, a to v kombinaci s vnitrostátními rozpočty a jako doplněk k úsilí vyvíjenému na evropské a vnitrostátní úrovni“.</w:t>
      </w:r>
    </w:p>
    <w:p w:rsidR="005D4D04" w:rsidRDefault="00500AC6">
      <w:pPr>
        <w:spacing w:before="0"/>
        <w:rPr>
          <w:noProof/>
          <w:color w:val="000000"/>
        </w:rPr>
      </w:pPr>
      <w:r>
        <w:rPr>
          <w:noProof/>
        </w:rPr>
        <w:t>Hodnoty Unie zahrnují zejména základní práva, například zákaz diskriminace a rovnost, boj proti rasismu a snášenlivost, úctu k lidské dů</w:t>
      </w:r>
      <w:r>
        <w:rPr>
          <w:noProof/>
        </w:rPr>
        <w:t>stojnosti, právní stát a nezávislost soudnictví, kulturní rozmanitost, aktivní občanskou společnost, svobodu projevu a účast občanů na demokratickém životě.</w:t>
      </w:r>
      <w:r>
        <w:rPr>
          <w:noProof/>
          <w:color w:val="000000"/>
        </w:rPr>
        <w:t xml:space="preserve"> Fungující evropský prostor práva a účinné vnitrostátní systémy soudnictví jsou nutné pro vzkvétajíc</w:t>
      </w:r>
      <w:r>
        <w:rPr>
          <w:noProof/>
          <w:color w:val="000000"/>
        </w:rPr>
        <w:t>í vnitřní trh a prosazování společných hodnot Unie.</w:t>
      </w:r>
    </w:p>
    <w:p w:rsidR="005D4D04" w:rsidRDefault="00500AC6">
      <w:pPr>
        <w:spacing w:before="0"/>
        <w:rPr>
          <w:noProof/>
        </w:rPr>
      </w:pPr>
      <w:r>
        <w:rPr>
          <w:noProof/>
          <w:color w:val="000000"/>
        </w:rPr>
        <w:t>Tato Komise si stanovila Unii demokratické změny jako jednu ze svých deseti politických priorit a v této souvislosti pracuje na tom zapojit občany do toho, co EU dělá a jakým způsobem funguje, a budovat d</w:t>
      </w:r>
      <w:r>
        <w:rPr>
          <w:noProof/>
          <w:color w:val="000000"/>
        </w:rPr>
        <w:t>ůvěru v Unii.</w:t>
      </w:r>
    </w:p>
    <w:p w:rsidR="005D4D04" w:rsidRDefault="00500AC6">
      <w:pPr>
        <w:spacing w:before="0"/>
        <w:rPr>
          <w:noProof/>
          <w:color w:val="000000"/>
        </w:rPr>
      </w:pPr>
      <w:r>
        <w:rPr>
          <w:noProof/>
          <w:color w:val="000000"/>
        </w:rPr>
        <w:t xml:space="preserve">Finanční prostředky EU mohou přinést přidanou hodnotu a pomoc při podpoře těchto společných evropských hodnot. 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 xml:space="preserve">Na podporu společných evropských hodnot a práv používá EU řadu nástrojů kombinujících právní předpisy, opatření politiky a </w:t>
      </w:r>
      <w:r>
        <w:rPr>
          <w:noProof/>
        </w:rPr>
        <w:t>financování. Konkrétně tyto programy financování měly silné zaměření na společnost a viditelně souvisejí s evropskými hodnotami: program Práva, rovnost a občanství, program Evropa pro občany a program Spravedlnost.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Tyto programy vedly ke skutečnému pokroku</w:t>
      </w:r>
      <w:r>
        <w:rPr>
          <w:noProof/>
        </w:rPr>
        <w:t xml:space="preserve"> při prosazování hodnot a provádění práv, která lidem v celé Unii zaručují právní předpisy EU. Příkladem lze uvést, že lidé jsou si nyní více vědomi svých práv, společné historie a kultury, více žen je v zaměstnání, práva dětí se prosazují a chrání, systém</w:t>
      </w:r>
      <w:r>
        <w:rPr>
          <w:noProof/>
        </w:rPr>
        <w:t xml:space="preserve">y soudnictví jsou účinnější, když právníci vědí, jak a kdy uplatňovat </w:t>
      </w:r>
      <w:r>
        <w:rPr>
          <w:i/>
          <w:noProof/>
        </w:rPr>
        <w:t>acquis</w:t>
      </w:r>
      <w:r>
        <w:rPr>
          <w:noProof/>
        </w:rPr>
        <w:t xml:space="preserve"> EU, a roste přeshraniční spolupráce, dochází k větší demokratické a občanské účasti na úrovni Unie a k hlubšímu porozumění různým vzpomínkám, kulturám a tradicím a jejich respekto</w:t>
      </w:r>
      <w:r>
        <w:rPr>
          <w:noProof/>
        </w:rPr>
        <w:t>vání.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lastRenderedPageBreak/>
        <w:t>V rámci práva Unie se nyní lidé mohou spolehnout na soubor práv, nezávislé a účinné systémy soudnictví a dodržování právního státu. EU ukázala svůj pevný závazek bojovat proti násilí na ženách a dětech, potírat všechny formy diskriminace a chránit pr</w:t>
      </w:r>
      <w:r>
        <w:rPr>
          <w:noProof/>
        </w:rPr>
        <w:t>áva zdravotně postižených osob a podporovat aktivní a silnou občanskou společnost v EU.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Navzdory pokroku dosaženému v rámci stávajících programů v dotčených oblastech politiky přetrvala řada nedostatků a objevily se nové problémy, které je třeba řešit. Spo</w:t>
      </w:r>
      <w:r>
        <w:rPr>
          <w:noProof/>
        </w:rPr>
        <w:t>lečné problémy, kterým EU čelí v oblasti spravedlnosti, práv a hodnot, jsou dvojí:</w:t>
      </w:r>
    </w:p>
    <w:p w:rsidR="005D4D04" w:rsidRDefault="00500AC6">
      <w:pPr>
        <w:pStyle w:val="Tiret0"/>
        <w:numPr>
          <w:ilvl w:val="0"/>
          <w:numId w:val="9"/>
        </w:numPr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>Závazek Unie tvořit společenství založené na sdílených hodnotách a právech, sdíleném historickém a kulturním dědictví a účasti obyvatel narušují některá objevující se hnutí,</w:t>
      </w:r>
      <w:r>
        <w:rPr>
          <w:noProof/>
        </w:rPr>
        <w:t xml:space="preserve"> která napadají myšlenku otevřených, soudržných a demokratických společností, v nichž účast občanů a požívání práv umožňují vytvářet tolerantní způsob lidského spolužití.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>Fragmentovaná povaha a omezené zdroje stávajících programů financování EU vyčleněných</w:t>
      </w:r>
      <w:r>
        <w:rPr>
          <w:noProof/>
        </w:rPr>
        <w:t xml:space="preserve"> na hodnoty, práva, občanství a spravedlnost omezují schopnost Unie reagovat na existující i nové problémy. Skutečnost, že „rozpočet programů nestačí k uspokojení poptávky“ označují respondenti veřejné konzultace za hlavní překážku, která může bránit tomu,</w:t>
      </w:r>
      <w:r>
        <w:rPr>
          <w:noProof/>
        </w:rPr>
        <w:t xml:space="preserve"> aby stávající programy dosáhly svých cílů.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Podrobnější analýza ukazuje, že: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>Lidé stále nepožívají plně svých práv: stále existuje nerovnost a diskriminace osob na základě pohlaví, rasy nebo etnického původu, náboženského vyznání nebo přesvědčení, zdravotn</w:t>
      </w:r>
      <w:r>
        <w:rPr>
          <w:noProof/>
        </w:rPr>
        <w:t>ího postižení, věku nebo sexuální orientace. Násilí představuje stále realitu každodenního života mnoha žen, dětí a jiných zranitelných osob.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>Je třeba vykonat více, aby se zajistilo, že občané mají povědomí o hodnotách EU a výhodách občanství EU, a podníti</w:t>
      </w:r>
      <w:r>
        <w:rPr>
          <w:noProof/>
        </w:rPr>
        <w:t>t k vyšší míře politické a společenské účasti a lepšímu pochopení Unie, její historie, kulturního dědictví a rozmanitosti.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 xml:space="preserve">Práva vyplývající z občanství EU – na volný pohyb, konzulární ochranu a volební práva – nejsou stále dosud plně známa a uplatňována, </w:t>
      </w:r>
      <w:r>
        <w:rPr>
          <w:noProof/>
        </w:rPr>
        <w:t>a tudíž je bráněno občanské, politické a společenské účasti.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  <w:szCs w:val="24"/>
        </w:rPr>
      </w:pPr>
      <w:r>
        <w:rPr>
          <w:noProof/>
        </w:rPr>
        <w:t>Hospodářské krize, přetrvávající nerovnosti a problémy, jako je třeba migrace, vedly některé ke zpochybňování základních práv a hodnot, na kterých je Evropská unie založena. V některých případech</w:t>
      </w:r>
      <w:r>
        <w:rPr>
          <w:noProof/>
        </w:rPr>
        <w:t xml:space="preserve"> jsou rovněž ohroženy právní stát, přístup ke spravedlnosti, prostor pro občanskou společnost a nezávislost soudnictví. 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>Justiční spolupráce v občanských a trestních věcech není dostatečná a přístup ke spravedlnosti přes hranice členských států je stále ob</w:t>
      </w:r>
      <w:r>
        <w:rPr>
          <w:noProof/>
        </w:rPr>
        <w:t>tížný. Je třeba zdokonalit nástroje pro shromažďování srovnatelných informací o kvalitě, nezávislosti a účinnosti systémů soudnictví členských států. Hlavní překážkou bránící vzájemnému uznávání a justiční spolupráci je nedostatečná důvěra v soudnictví jin</w:t>
      </w:r>
      <w:r>
        <w:rPr>
          <w:noProof/>
        </w:rPr>
        <w:t>ých členských států.</w:t>
      </w:r>
    </w:p>
    <w:p w:rsidR="005D4D04" w:rsidRDefault="00500AC6">
      <w:pPr>
        <w:rPr>
          <w:noProof/>
        </w:rPr>
      </w:pPr>
      <w:r>
        <w:rPr>
          <w:noProof/>
        </w:rPr>
        <w:t xml:space="preserve">Důsledky neřešení těchto problémů by mohly být závažné, neboť důvěra v demokracii a podpora prosazování hodnot a základních práv by se oslabila. </w:t>
      </w:r>
    </w:p>
    <w:p w:rsidR="005D4D04" w:rsidRDefault="00500AC6">
      <w:pPr>
        <w:spacing w:before="0"/>
        <w:rPr>
          <w:noProof/>
          <w:color w:val="000000"/>
        </w:rPr>
      </w:pPr>
      <w:r>
        <w:rPr>
          <w:noProof/>
          <w:color w:val="000000"/>
        </w:rPr>
        <w:t xml:space="preserve">Tyto problémy jsou společné všem členským státům a mají přeshraniční rozměr. Přestože je </w:t>
      </w:r>
      <w:r>
        <w:rPr>
          <w:noProof/>
          <w:color w:val="000000"/>
        </w:rPr>
        <w:t>důležité přijímat opatření na vnitrostátní úrovni, členské státy nevyvinou dostatečný pákový efekt k tomu, aby mohly vyřešit tyto problémy.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 xml:space="preserve">Prosazování a obrana hodnot a práv EU má hluboký dopad na politický, sociální, kulturní, právní a hospodářský život </w:t>
      </w:r>
      <w:r>
        <w:rPr>
          <w:noProof/>
        </w:rPr>
        <w:t xml:space="preserve">Unie a přispívá k tomu, aby EU přinášela hmatatelné výsledky v každodenním lidském životě. Opatření na úrovni EU v této oblasti musí být udržitelné a </w:t>
      </w:r>
      <w:r>
        <w:rPr>
          <w:noProof/>
        </w:rPr>
        <w:lastRenderedPageBreak/>
        <w:t>posílené, aby řešilo přetrvávající nedostatky a nové problémy a zajistilo prosazování, účinnou ochranu a d</w:t>
      </w:r>
      <w:r>
        <w:rPr>
          <w:noProof/>
        </w:rPr>
        <w:t>održování práv a hodnot; přispěje to rovněž k dokončení vnitřního trhu a k podnícení prosperity a soudržnosti v EU. EU to navíc umožní, aby hrála klíčovou roli při obraně a prosazování svých hodnot na globální úrovni, což rovněž přispěje k cílům OSN v obla</w:t>
      </w:r>
      <w:r>
        <w:rPr>
          <w:noProof/>
        </w:rPr>
        <w:t>sti udržitelného rozvoje.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Nový program Spravedlnost podpoří další rozvoj evropského prostoru práva založeného na hodnotách Unie, právním státu, vzájemném uznávání a důvěře, zejména usnadněním přístupu ke spravedlnosti a podporováním justiční spolupráce v o</w:t>
      </w:r>
      <w:r>
        <w:rPr>
          <w:noProof/>
        </w:rPr>
        <w:t>bčanských a trestních věcech a zefektivněním vnitrostátních systémů soudnictví.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Tento nový program bude spolu s programem Práva a hodnoty tvořit součást nového Fondu pro spravedlnost, práva a hodnoty přispívajícího k zachování otevřených, demokratických, p</w:t>
      </w:r>
      <w:r>
        <w:rPr>
          <w:noProof/>
        </w:rPr>
        <w:t>luralistických a inkluzivních společností. Pomůže rovněž posílit postavení lidí prostřednictvím ochrany a prosazování práv, hodnot a prostřednictvím dalšího rozvoje prostoru práva EU.</w:t>
      </w:r>
    </w:p>
    <w:p w:rsidR="005D4D04" w:rsidRDefault="005D4D04">
      <w:pPr>
        <w:spacing w:before="0"/>
        <w:rPr>
          <w:noProof/>
        </w:rPr>
      </w:pP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rFonts w:eastAsia="Arial Unicode MS"/>
          <w:b/>
          <w:noProof/>
          <w:color w:val="000000"/>
          <w:u w:color="000000"/>
          <w:bdr w:val="nil"/>
        </w:rPr>
      </w:pPr>
      <w:r>
        <w:rPr>
          <w:b/>
          <w:noProof/>
        </w:rPr>
        <w:t>Soulad s platnými předpisy v této oblasti politiky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Fond pro spravedlnos</w:t>
      </w:r>
      <w:r>
        <w:rPr>
          <w:noProof/>
        </w:rPr>
        <w:t>t, práva a hodnoty přispívá bezprostředně k několika prioritám Evropské komise</w:t>
      </w:r>
      <w:r>
        <w:rPr>
          <w:rStyle w:val="FootnoteReference"/>
          <w:noProof/>
        </w:rPr>
        <w:footnoteReference w:id="2"/>
      </w:r>
      <w:r>
        <w:rPr>
          <w:noProof/>
        </w:rPr>
        <w:t>, zejména k vytvoření prostoru práva a základních práv založeného na vzájemné důvěře, integrovanějšímu a spravedlivějšímu vnitřnímu trhu, unii kapitálových trhů, propojenému jed</w:t>
      </w:r>
      <w:r>
        <w:rPr>
          <w:noProof/>
        </w:rPr>
        <w:t>notnému digitálnímu trhu a Unii demokratické změny, růstu a pracovních míst.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rFonts w:eastAsia="Arial Unicode MS"/>
          <w:b/>
          <w:noProof/>
        </w:rPr>
      </w:pPr>
      <w:r>
        <w:rPr>
          <w:b/>
          <w:noProof/>
        </w:rPr>
        <w:t>Soulad s ostatními politikami Unie</w:t>
      </w:r>
    </w:p>
    <w:p w:rsidR="005D4D04" w:rsidRDefault="00500AC6">
      <w:pPr>
        <w:rPr>
          <w:noProof/>
        </w:rPr>
      </w:pPr>
      <w:r>
        <w:rPr>
          <w:noProof/>
        </w:rPr>
        <w:t>Fond pro spravedlnost, práva a hodnoty a jeho dva programy financování pomohou posílit a prosadit hodnoty EU a dodržování zásad právního státu a zachování otevřených, demokratických, inkluzivních a tvůrčích společností, což Evropané očekávají. Již podle st</w:t>
      </w:r>
      <w:r>
        <w:rPr>
          <w:noProof/>
        </w:rPr>
        <w:t>ávajících pravidel jsou členské státy povinny prokázat, že jejich pravidla a postupy pro finanční řízení prostředků EU jsou odolné a financování je dostatečně chráněno proti zneužití a podvodům. Pouze nezávislé soudnictví, které prosazuje právní stát a prá</w:t>
      </w:r>
      <w:r>
        <w:rPr>
          <w:noProof/>
        </w:rPr>
        <w:t xml:space="preserve">vní jistotu ve všech členských státech, může v konečném důsledku zaručit, že peníze z rozpočtu EU jsou dostatečně ochráněny. </w:t>
      </w:r>
    </w:p>
    <w:p w:rsidR="005D4D04" w:rsidRDefault="00500AC6">
      <w:pPr>
        <w:rPr>
          <w:rFonts w:eastAsia="Arial Unicode MS"/>
          <w:b/>
          <w:noProof/>
        </w:rPr>
      </w:pPr>
      <w:r>
        <w:rPr>
          <w:noProof/>
        </w:rPr>
        <w:t>Na základě článku 322 Smlouvy o fungování Evropské unie (SFEU) navrhla Komise nařízení o ochraně rozpočtu Unie v případě všeobecný</w:t>
      </w:r>
      <w:r>
        <w:rPr>
          <w:noProof/>
        </w:rPr>
        <w:t>ch nedostatků týkajících se právního státu v členských státech. Nové nařízení doplní nástroje, jejichž cílem je prosazovat společné hodnoty EU, včetně tohoto programu.</w:t>
      </w:r>
    </w:p>
    <w:p w:rsidR="005D4D04" w:rsidRDefault="00500AC6">
      <w:pPr>
        <w:rPr>
          <w:noProof/>
        </w:rPr>
      </w:pPr>
      <w:r>
        <w:rPr>
          <w:noProof/>
        </w:rPr>
        <w:t>Program bude mít úzkou součinnost s několika politikami a jejich programy financování, z</w:t>
      </w:r>
      <w:r>
        <w:rPr>
          <w:noProof/>
        </w:rPr>
        <w:t>ejména s: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bookmarkStart w:id="11" w:name="_Toc509424702"/>
      <w:r>
        <w:rPr>
          <w:b/>
          <w:noProof/>
        </w:rPr>
        <w:t>politikami zaměstnanosti, sociální oblasti a vzdělávání</w:t>
      </w:r>
      <w:bookmarkEnd w:id="11"/>
    </w:p>
    <w:p w:rsidR="005D4D04" w:rsidRDefault="00500AC6">
      <w:pPr>
        <w:spacing w:before="0"/>
        <w:ind w:left="709"/>
        <w:rPr>
          <w:noProof/>
        </w:rPr>
      </w:pPr>
      <w:r>
        <w:rPr>
          <w:noProof/>
        </w:rPr>
        <w:t>Účinný rozvoj kapacit v oblasti spravedlnosti a prosazování např. prostřednictvím vzdělávání právníků.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bookmarkStart w:id="12" w:name="_Toc508783256"/>
      <w:bookmarkStart w:id="13" w:name="_Toc508784107"/>
      <w:bookmarkStart w:id="14" w:name="_Toc509424703"/>
      <w:bookmarkEnd w:id="12"/>
      <w:bookmarkEnd w:id="13"/>
      <w:r>
        <w:rPr>
          <w:b/>
          <w:noProof/>
        </w:rPr>
        <w:t xml:space="preserve">vnějšími politikami a politikami rozvojové spolupráce a rozšíření </w:t>
      </w:r>
      <w:bookmarkEnd w:id="14"/>
    </w:p>
    <w:p w:rsidR="005D4D04" w:rsidRDefault="00500AC6">
      <w:pPr>
        <w:spacing w:before="0"/>
        <w:ind w:left="709"/>
        <w:rPr>
          <w:noProof/>
        </w:rPr>
      </w:pPr>
      <w:r>
        <w:rPr>
          <w:noProof/>
        </w:rPr>
        <w:t>Prosazování hodnot a</w:t>
      </w:r>
      <w:r>
        <w:rPr>
          <w:noProof/>
        </w:rPr>
        <w:t xml:space="preserve"> práv v EU se promítá v jejich prosazování na celosvětové úrovni,</w:t>
      </w:r>
      <w:r>
        <w:rPr>
          <w:i/>
          <w:noProof/>
        </w:rPr>
        <w:t xml:space="preserve"> mimo jiné</w:t>
      </w:r>
      <w:r>
        <w:rPr>
          <w:noProof/>
        </w:rPr>
        <w:t xml:space="preserve"> prostřednictvím vazeb na provádění cílů udržitelného rozvoje. V této souvislosti by měla být rozvinuta součinnost, zejména s vnější činností EU na multilaterální úrovni, ale rovněž</w:t>
      </w:r>
      <w:r>
        <w:rPr>
          <w:noProof/>
        </w:rPr>
        <w:t xml:space="preserve"> při rozvoji rozvojové pomoci a politice rozšíření, aby se zajistila soudržnost například při prosazování přístupu ke spravedlnosti a právního státu.</w:t>
      </w:r>
    </w:p>
    <w:p w:rsidR="005D4D04" w:rsidRDefault="00500AC6">
      <w:pPr>
        <w:spacing w:before="0"/>
        <w:ind w:left="709"/>
        <w:rPr>
          <w:rFonts w:eastAsia="Arial Unicode MS"/>
          <w:noProof/>
        </w:rPr>
      </w:pPr>
      <w:bookmarkStart w:id="15" w:name="_Toc508783259"/>
      <w:bookmarkStart w:id="16" w:name="_Toc508784110"/>
      <w:bookmarkStart w:id="17" w:name="_Toc508783260"/>
      <w:bookmarkStart w:id="18" w:name="_Toc508784111"/>
      <w:bookmarkStart w:id="19" w:name="_Toc509424704"/>
      <w:bookmarkEnd w:id="15"/>
      <w:bookmarkEnd w:id="16"/>
      <w:bookmarkEnd w:id="17"/>
      <w:bookmarkEnd w:id="18"/>
      <w:r>
        <w:rPr>
          <w:noProof/>
        </w:rPr>
        <w:t>Součinnost by rovněž měla být posílena s nástroji vnější činnosti, které mohou podporovat přeshraniční spo</w:t>
      </w:r>
      <w:r>
        <w:rPr>
          <w:noProof/>
        </w:rPr>
        <w:t>lupráci s prioritními třetími zeměmi v důležitých oblastech pro bezpečnou a chráněnou Evropu.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b/>
          <w:noProof/>
        </w:rPr>
        <w:t>jednotným trhem</w:t>
      </w:r>
      <w:bookmarkEnd w:id="19"/>
    </w:p>
    <w:p w:rsidR="005D4D04" w:rsidRDefault="00500AC6">
      <w:pPr>
        <w:spacing w:before="0"/>
        <w:ind w:left="709"/>
        <w:rPr>
          <w:noProof/>
        </w:rPr>
      </w:pPr>
      <w:r>
        <w:rPr>
          <w:noProof/>
        </w:rPr>
        <w:t>Financováním činností týkajících se práva obchodních společností, smluvního práva a boje proti praní peněz budoucí program Jednotný trh doplní pro</w:t>
      </w:r>
      <w:r>
        <w:rPr>
          <w:noProof/>
        </w:rPr>
        <w:t>gram Spravedlnost a přispěje bezprostředně k provádění politiky EU v oblasti spravedlnosti a vytvoření prostoru práva EU, přičemž bude v této oblasti sledovat politické směry. Totéž platí pro spotřebitelskou politiku.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b/>
          <w:i/>
          <w:noProof/>
        </w:rPr>
      </w:pPr>
      <w:bookmarkStart w:id="20" w:name="_Toc508783262"/>
      <w:bookmarkStart w:id="21" w:name="_Toc508784113"/>
      <w:bookmarkStart w:id="22" w:name="_Toc509424705"/>
      <w:bookmarkEnd w:id="20"/>
      <w:bookmarkEnd w:id="21"/>
      <w:r>
        <w:rPr>
          <w:b/>
          <w:noProof/>
        </w:rPr>
        <w:t>strategickou infrastrukturou</w:t>
      </w:r>
      <w:bookmarkEnd w:id="22"/>
    </w:p>
    <w:p w:rsidR="005D4D04" w:rsidRDefault="00500AC6">
      <w:pPr>
        <w:spacing w:before="0"/>
        <w:ind w:left="709"/>
        <w:rPr>
          <w:noProof/>
          <w:szCs w:val="24"/>
        </w:rPr>
      </w:pPr>
      <w:r>
        <w:rPr>
          <w:noProof/>
        </w:rPr>
        <w:t>V rámci p</w:t>
      </w:r>
      <w:r>
        <w:rPr>
          <w:noProof/>
        </w:rPr>
        <w:t>rogramu Digitální Evropa bude dále rozvinuta součinnost související s digitalizací a propojením systémů IT.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b/>
          <w:noProof/>
        </w:rPr>
        <w:t>výzkumem a inovacemi</w:t>
      </w:r>
      <w:r>
        <w:rPr>
          <w:noProof/>
        </w:rPr>
        <w:t xml:space="preserve"> </w:t>
      </w:r>
    </w:p>
    <w:p w:rsidR="005D4D04" w:rsidRDefault="00500AC6">
      <w:pPr>
        <w:spacing w:before="0"/>
        <w:ind w:left="709"/>
        <w:rPr>
          <w:noProof/>
        </w:rPr>
      </w:pPr>
      <w:r>
        <w:rPr>
          <w:noProof/>
        </w:rPr>
        <w:t xml:space="preserve">Rámcový program pro výzkum a inovace Horizont Evropa obsahuje činnosti zabývající se společností podporující začlenění a </w:t>
      </w:r>
      <w:r>
        <w:rPr>
          <w:noProof/>
        </w:rPr>
        <w:t>poskytující jistoty, včetně záležitostí týkajících se spravedlnosti a spotřebitelů, a společensky významnými technologiemi, mimo jiné kybernetickou bezpečností nebo umělou inteligenci a dalšími klíčovými technologiemi. Bude prozkoumáno vzájemné obohacování</w:t>
      </w:r>
      <w:r>
        <w:rPr>
          <w:noProof/>
        </w:rPr>
        <w:t xml:space="preserve"> s cílem prohloubit porozumění pokročilým technologiím ve společnosti, demokracii a systému soudnictví a zaměření na jejich přínosy.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bookmarkStart w:id="23" w:name="_Toc508784115"/>
      <w:bookmarkStart w:id="24" w:name="_Toc508784116"/>
      <w:bookmarkStart w:id="25" w:name="_Toc508784117"/>
      <w:bookmarkStart w:id="26" w:name="_Toc509424706"/>
      <w:bookmarkEnd w:id="23"/>
      <w:bookmarkEnd w:id="24"/>
      <w:bookmarkEnd w:id="25"/>
      <w:r>
        <w:rPr>
          <w:b/>
          <w:noProof/>
        </w:rPr>
        <w:t>migrací, správou hranic a bezpečnostní politikou</w:t>
      </w:r>
      <w:bookmarkEnd w:id="26"/>
    </w:p>
    <w:p w:rsidR="005D4D04" w:rsidRDefault="00500AC6">
      <w:pPr>
        <w:spacing w:before="0"/>
        <w:ind w:left="709"/>
        <w:rPr>
          <w:noProof/>
        </w:rPr>
      </w:pPr>
      <w:r>
        <w:rPr>
          <w:noProof/>
        </w:rPr>
        <w:t>Program Spravedlnost a jiné fondy EU pokrývající oblast migrace, správy hr</w:t>
      </w:r>
      <w:r>
        <w:rPr>
          <w:noProof/>
        </w:rPr>
        <w:t xml:space="preserve">anic a zejména bezpečnosti se budou doplňovat a cílit na různé fáze činností a postupů nutných k vytvoření evropského prostoru bezpečnosti a práva. Vzhledem k niterním vazbám mezi bezpečností a právem v praxi bude k součinnosti docházet zejména, pokud jde </w:t>
      </w:r>
      <w:r>
        <w:rPr>
          <w:noProof/>
        </w:rPr>
        <w:t>o poskytování adekvátní ochrany obětem trestných činů, financování společných vyšetřovacích týmů a justiční vzdělávání, zajišťování interoperability s evropským informačním systémem rejstříků trestů, zlepšování podmínek ve věznicích nebo mezi agenturní spo</w:t>
      </w:r>
      <w:r>
        <w:rPr>
          <w:noProof/>
        </w:rPr>
        <w:t>lupráci v oblasti spravedlnosti a bezpečnosti, například prostřednictvím agentur v oblasti spravedlností, jako je Eurojust a Úřad evropského veřejného žalobce.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b/>
          <w:noProof/>
        </w:rPr>
        <w:t>politikou v oblasti životního prostředí</w:t>
      </w:r>
    </w:p>
    <w:p w:rsidR="005D4D04" w:rsidRDefault="00500AC6">
      <w:pPr>
        <w:spacing w:before="0"/>
        <w:ind w:left="709"/>
        <w:rPr>
          <w:noProof/>
        </w:rPr>
      </w:pPr>
      <w:r>
        <w:rPr>
          <w:noProof/>
        </w:rPr>
        <w:t>Program Spravedlnost má potenciál podpořit opatření zamě</w:t>
      </w:r>
      <w:r>
        <w:rPr>
          <w:noProof/>
        </w:rPr>
        <w:t>řená na potírání trestné činnosti proti životnímu prostředí, a mimo jiné přispět k provedení směrnice o trestněprávní ochraně životního prostředí</w:t>
      </w:r>
      <w:r>
        <w:rPr>
          <w:rStyle w:val="FootnoteReference"/>
          <w:noProof/>
        </w:rPr>
        <w:footnoteReference w:id="3"/>
      </w:r>
      <w:r>
        <w:rPr>
          <w:noProof/>
        </w:rPr>
        <w:t>. Opatření na podporu justiční spolupráce v občanských a trestních věcech doplní a posílí samostatný program p</w:t>
      </w:r>
      <w:r>
        <w:rPr>
          <w:noProof/>
        </w:rPr>
        <w:t>ro vzdělávání soudců a státních zástupců v oblasti práva životního prostředí a možnost financování projektů a přístupu ke spravedlnosti v záležitostech práva životního prostředí stanovená v nařízení LIFE</w:t>
      </w:r>
      <w:r>
        <w:rPr>
          <w:rStyle w:val="FootnoteReference"/>
          <w:noProof/>
        </w:rPr>
        <w:footnoteReference w:id="4"/>
      </w:r>
      <w:r>
        <w:rPr>
          <w:noProof/>
        </w:rPr>
        <w:t>. Přispějí rovněž k zajištění toho, aby vnitrostátní</w:t>
      </w:r>
      <w:r>
        <w:rPr>
          <w:noProof/>
        </w:rPr>
        <w:t xml:space="preserve"> systémy soudnictví mohly poskytovat účinný přístup ke spravedlnosti podle Aarhuské úmluvy o přístupu k informacím, účasti veřejnosti na rozhodování a přístupu k právní ochraně v záležitostech životního prostředí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b/>
          <w:noProof/>
        </w:rPr>
      </w:pPr>
      <w:r>
        <w:rPr>
          <w:b/>
          <w:noProof/>
        </w:rPr>
        <w:t>začleňování otázek klimatu</w:t>
      </w:r>
    </w:p>
    <w:p w:rsidR="005D4D04" w:rsidRDefault="00500AC6">
      <w:pPr>
        <w:ind w:left="708"/>
        <w:rPr>
          <w:noProof/>
        </w:rPr>
      </w:pPr>
      <w:r>
        <w:rPr>
          <w:noProof/>
        </w:rPr>
        <w:t>Návrh víceleté</w:t>
      </w:r>
      <w:r>
        <w:rPr>
          <w:noProof/>
        </w:rPr>
        <w:t>ho finančního rámce na období 2021–2027 předložený Komisí stanoví ambicióznější cíl začleňovat oblast klimatu do všech programů EU s tím, že na cíle v oblasti klimatu by se mělo vynakládat alespoň 25 % výdajů EU. Příspěvek tohoto programu k dosažení tohoto</w:t>
      </w:r>
      <w:r>
        <w:rPr>
          <w:noProof/>
        </w:rPr>
        <w:t xml:space="preserve"> celkového cíle bude sledován prostřednictvím unijního systému klimatických ukazatelů na odpovídající úrovni rozlišení, včetně použití přesnějších metodik, jsou-li k dispozici. Komise bude i nadále každoročně předkládat informace vyjádřené prostředky na zá</w:t>
      </w:r>
      <w:r>
        <w:rPr>
          <w:noProof/>
        </w:rPr>
        <w:t xml:space="preserve">vazky v souvislosti s návrhem ročního rozpočtu. </w:t>
      </w:r>
    </w:p>
    <w:p w:rsidR="005D4D04" w:rsidRDefault="00500AC6">
      <w:pPr>
        <w:ind w:left="708"/>
        <w:rPr>
          <w:noProof/>
        </w:rPr>
      </w:pPr>
      <w:r>
        <w:rPr>
          <w:noProof/>
        </w:rPr>
        <w:t>Na podporu plného využití potenciálu programu přispět k cílům v oblasti klimatu bude Komise usilovat o identifikaci příslušných akcí a opatření prostřednictvím procesu přípravy, provádění, přezkumu a hodnoce</w:t>
      </w:r>
      <w:r>
        <w:rPr>
          <w:noProof/>
        </w:rPr>
        <w:t>ní programu.</w:t>
      </w:r>
    </w:p>
    <w:p w:rsidR="005D4D04" w:rsidRDefault="005D4D04">
      <w:pPr>
        <w:spacing w:before="0"/>
        <w:ind w:left="709"/>
        <w:rPr>
          <w:noProof/>
        </w:rPr>
      </w:pPr>
    </w:p>
    <w:p w:rsidR="005D4D04" w:rsidRDefault="00500AC6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 PROPORCIONALITA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Právní základ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Návrh vychází z ustanovení čl. 81 odst. 1 a 2 a čl. 82 odst. 1 Smlouvy o fungování Evropské unie (SFEU).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 xml:space="preserve">V čl. 81 odst. 1 SFEU se stanoví, že Unie rozvíjí justiční spolupráci v </w:t>
      </w:r>
      <w:r>
        <w:rPr>
          <w:noProof/>
        </w:rPr>
        <w:t>občanských věcech s mezinárodním prvkem. V čl. 81 odst. 2 SFEU se stanoví přijímání opatření, která mají za cíl zajistit vzájemné uznávání a výkon soudních rozhodnutí; přeshraniční doručování soudních a mimosoudních písemností; účinný přístup ke spravedlno</w:t>
      </w:r>
      <w:r>
        <w:rPr>
          <w:noProof/>
        </w:rPr>
        <w:t>sti a podporu dalšího vzdělávání soudců a soudních zaměstnanců.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V čl. 82 odst. 2 SFEU se stanoví opatření na podporu justiční spolupráce v trestních věcech.</w:t>
      </w:r>
    </w:p>
    <w:p w:rsidR="005D4D04" w:rsidRDefault="00500AC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Spojení článků 81 a 82 SFEU umožňuje soudržný přístup při podpoře rozvoje justiční spolupráce v obč</w:t>
      </w:r>
      <w:r>
        <w:rPr>
          <w:noProof/>
        </w:rPr>
        <w:t>anských a trestních věcech, zejména pokud jde o průřezové záležitosti týkající se obou oblastí.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Subsidiarita (v případě nevýlučné pravomoci)</w:t>
      </w:r>
    </w:p>
    <w:p w:rsidR="005D4D04" w:rsidRDefault="00500AC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 xml:space="preserve">Navrhované činnosti v oblasti financování respektují zásady evropské přidané hodnoty a subsidiarity. Financování z </w:t>
      </w:r>
      <w:r>
        <w:rPr>
          <w:noProof/>
        </w:rPr>
        <w:t xml:space="preserve">rozpočtu Unie se soustředí na cíle, které nelze uspokojivě dosáhnout na úrovni členských států, kde zásah Unie může přinést přidanou hodnotu. Činnosti, na něž se vztahuje toto nařízení, přispívají k účinnému uplatňování </w:t>
      </w:r>
      <w:r>
        <w:rPr>
          <w:i/>
          <w:noProof/>
        </w:rPr>
        <w:t>acquis</w:t>
      </w:r>
      <w:r>
        <w:rPr>
          <w:noProof/>
        </w:rPr>
        <w:t xml:space="preserve"> tím, že rozvíjejí vzájemnou d</w:t>
      </w:r>
      <w:r>
        <w:rPr>
          <w:noProof/>
        </w:rPr>
        <w:t>ůvěru mezi členskými státy, zdokonalují přeshraniční spolupráci a vytváření sítí a zajišťují správné, soudržné a jednotné uplatňování práva Unie v rámci celé Unie. Unie může lépe než členské státy reagovat na přeshraniční situace a může poskytnout evropsko</w:t>
      </w:r>
      <w:r>
        <w:rPr>
          <w:noProof/>
        </w:rPr>
        <w:t>u platformu pro vzájemné čerpání zkušeností. Bude podporován kvalitní analytický základ pro prosazování a rozvoj politik. Zásah Unie umožní, aby tato opatření byla prováděna jednotně v rámci celé Unie a aby přinášela úspory z rozsahu.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Proporcionalita</w:t>
      </w:r>
    </w:p>
    <w:p w:rsidR="005D4D04" w:rsidRDefault="00500AC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Návrh</w:t>
      </w:r>
      <w:r>
        <w:rPr>
          <w:noProof/>
        </w:rPr>
        <w:t xml:space="preserve"> je v souladu se zásadou proporcionality, protože se omezuje na míru nezbytně nutnou k dosažení uvedeného cíle na evropské úrovni.</w:t>
      </w:r>
    </w:p>
    <w:p w:rsidR="005D4D04" w:rsidRDefault="00500AC6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ZPĚTNÝCH HODNOCENÍ, KONZULTACÍ SE ZÚČASTNĚNÝMI STRANAMI A POSOUZENÍ DOPADŮ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 xml:space="preserve">Zpětná hodnocení / kontroly účelnosti </w:t>
      </w:r>
      <w:r>
        <w:rPr>
          <w:b/>
          <w:noProof/>
        </w:rPr>
        <w:t>platných právních předpisů</w:t>
      </w:r>
    </w:p>
    <w:p w:rsidR="005D4D04" w:rsidRDefault="00500AC6">
      <w:pPr>
        <w:spacing w:before="0"/>
        <w:rPr>
          <w:rFonts w:eastAsia="Calibri"/>
          <w:noProof/>
          <w:color w:val="000000"/>
          <w:u w:color="000000"/>
          <w:bdr w:val="nil"/>
        </w:rPr>
      </w:pPr>
      <w:bookmarkStart w:id="27" w:name="_Toc510567300"/>
      <w:r>
        <w:rPr>
          <w:noProof/>
          <w:color w:val="000000"/>
          <w:u w:color="000000"/>
          <w:bdr w:val="nil"/>
        </w:rPr>
        <w:t xml:space="preserve">Hodnocení v polovině období programu Spravedlnost 2014–2020 ukazuje, že program Spravedlnost přinesl vysokou evropskou přidanou hodnotu. </w:t>
      </w:r>
      <w:r>
        <w:rPr>
          <w:noProof/>
        </w:rPr>
        <w:t>Činnosti jednotlivých členských států by neumožňovaly dosáhnout stejných výsledků, pokud jde</w:t>
      </w:r>
      <w:r>
        <w:rPr>
          <w:noProof/>
        </w:rPr>
        <w:t xml:space="preserve"> o velikost a rozsah.</w:t>
      </w:r>
      <w:r>
        <w:rPr>
          <w:noProof/>
          <w:color w:val="000000"/>
          <w:u w:color="000000"/>
          <w:bdr w:val="nil"/>
        </w:rPr>
        <w:t xml:space="preserve"> To platí jak u obecného cíle programu, tj. rozvoje evropského prostoru práva založeného na vzájemném uznávání a vzájemné důvěře, tak u jeho specifických cílů. Příjemci souhlasí s tím, že poskytování justičního vzdělávání na evropské ú</w:t>
      </w:r>
      <w:r>
        <w:rPr>
          <w:noProof/>
          <w:color w:val="000000"/>
          <w:u w:color="000000"/>
          <w:bdr w:val="nil"/>
        </w:rPr>
        <w:t>rovni je zásadní pro vytvoření evropského prostoru práva a pro hladké a koordinované prosazování práva EU. Naopak opatření podpořené specifickými cíli justičního vzdělávání se považuje za udržitelné, neboť podporuje nabytí trvalých právních znalostí a dove</w:t>
      </w:r>
      <w:r>
        <w:rPr>
          <w:noProof/>
          <w:color w:val="000000"/>
          <w:u w:color="000000"/>
          <w:bdr w:val="nil"/>
        </w:rPr>
        <w:t>dností, přičemž současně dává příležitost k vytváření sítí a budování důvěry mezi justičními zaměstnanci z různých členských států.</w:t>
      </w:r>
    </w:p>
    <w:p w:rsidR="005D4D04" w:rsidRDefault="00500AC6">
      <w:pPr>
        <w:spacing w:before="0"/>
        <w:rPr>
          <w:rFonts w:eastAsia="Calibri"/>
          <w:noProof/>
          <w:szCs w:val="24"/>
          <w:u w:color="000000"/>
          <w:bdr w:val="nil"/>
        </w:rPr>
      </w:pPr>
      <w:r>
        <w:rPr>
          <w:noProof/>
        </w:rPr>
        <w:t>Druhy činností financovaných programem a výsledky projektů účinně zlepšují znalost unijního práva a politik. Výkonnost progr</w:t>
      </w:r>
      <w:r>
        <w:rPr>
          <w:noProof/>
        </w:rPr>
        <w:t>amu Spravedlnost je vnímána jako zlepšení ve srovnání s předchozími programy, a to pokud jde o lepší cílení politiky i o lepší zapojení správných skupin zúčastněných stran, přičemž lze v budoucnu lépe vyvážit rozdělení úsilí mezi cíle programu. Je stále tř</w:t>
      </w:r>
      <w:r>
        <w:rPr>
          <w:noProof/>
        </w:rPr>
        <w:t>eba vyvinout úsilí o oslovení všech cílových skupin ve všech členských státech a lze posílit komunikační činnosti.</w:t>
      </w:r>
    </w:p>
    <w:p w:rsidR="005D4D04" w:rsidRDefault="00500AC6">
      <w:pPr>
        <w:spacing w:before="0"/>
        <w:rPr>
          <w:rFonts w:eastAsia="Calibri"/>
          <w:noProof/>
          <w:szCs w:val="24"/>
          <w:u w:color="000000"/>
          <w:bdr w:val="nil"/>
        </w:rPr>
      </w:pPr>
      <w:r>
        <w:rPr>
          <w:noProof/>
        </w:rPr>
        <w:t>Povaha programu umožnila zajišťovat provozní flexibilitu, což Komisi dává možnost adaptovat roční pracovní programy podle objevujících se pot</w:t>
      </w:r>
      <w:r>
        <w:rPr>
          <w:noProof/>
        </w:rPr>
        <w:t>řeb v oblasti spravedlnosti. Program je celkově velmi relevantní a sladěn s potřebami vybraných cílových skupin, avšak mohla by se zvážit systematičtější analýza potřeb zúčastněných stran. Program má zejména klíčovou schopnost adaptovat své priority na obj</w:t>
      </w:r>
      <w:r>
        <w:rPr>
          <w:noProof/>
        </w:rPr>
        <w:t>evující se potřeby v oblasti spravedlnosti, aby řešil nejdůležitější otázky. Je to výsledkem širokých specifických cílů programu; neboť začlenil řadu programů z předchozího programového období. Taková flexibilita, pokud jde o určování politiky a agendy, je</w:t>
      </w:r>
      <w:r>
        <w:rPr>
          <w:noProof/>
        </w:rPr>
        <w:t xml:space="preserve"> klíčová pro dobré výsledky programu.</w:t>
      </w:r>
      <w:bookmarkEnd w:id="27"/>
      <w:r>
        <w:rPr>
          <w:noProof/>
        </w:rPr>
        <w:t xml:space="preserve"> Program představil dobrou úroveň soudržnosti a doplňkovosti s jinými nástroji, programy a činnostmi EU. Pro dosažení další soudržnosti s jinými programy a projekty EU by významnou úlohu hrála koordinace a výměna inform</w:t>
      </w:r>
      <w:r>
        <w:rPr>
          <w:noProof/>
        </w:rPr>
        <w:t>ací.</w:t>
      </w:r>
    </w:p>
    <w:p w:rsidR="005D4D04" w:rsidRDefault="00500AC6">
      <w:pPr>
        <w:spacing w:before="0"/>
        <w:rPr>
          <w:rFonts w:eastAsia="Calibri"/>
          <w:noProof/>
          <w:szCs w:val="24"/>
          <w:u w:color="000000"/>
          <w:bdr w:val="nil"/>
        </w:rPr>
      </w:pPr>
      <w:r>
        <w:rPr>
          <w:noProof/>
        </w:rPr>
        <w:t>Provádění programu Spravedlnost bylo uspokojivé, pokud jde o granty na akce a provozní granty, avšak je třeba zlepšit budoucí plánování zadávání veřejných zakázek. Existuje omezený prostor pro použití alternativních nástrojů financování, například ino</w:t>
      </w:r>
      <w:r>
        <w:rPr>
          <w:noProof/>
        </w:rPr>
        <w:t>vační finanční nástroje. Příjemci považují stávajících nástroje (granty na akce, provozní granty a zadávání veřejných zakázek) za odpovídající potřebám programu. Existuje však prostor pro racionalizaci a zjednodušení některých požadavků na podávání zpráv v</w:t>
      </w:r>
      <w:r>
        <w:rPr>
          <w:noProof/>
        </w:rPr>
        <w:t xml:space="preserve"> souvislosti s granty při současném zajištění nezbytné kontroly vynakládání veřejných prostředků.</w:t>
      </w:r>
    </w:p>
    <w:p w:rsidR="005D4D04" w:rsidRDefault="00500AC6">
      <w:pPr>
        <w:spacing w:before="0"/>
        <w:rPr>
          <w:rFonts w:eastAsia="Calibri"/>
          <w:noProof/>
          <w:szCs w:val="24"/>
          <w:u w:color="000000"/>
          <w:bdr w:val="nil"/>
        </w:rPr>
      </w:pPr>
      <w:r>
        <w:rPr>
          <w:noProof/>
        </w:rPr>
        <w:t xml:space="preserve">Ukazatele pro jednotlivé programy jsou vhodné k monitorování pokroku při dosahování jeho cílů, ale někdy je složité provádět měření vzhledem k nedostatku </w:t>
      </w:r>
      <w:r>
        <w:rPr>
          <w:noProof/>
        </w:rPr>
        <w:t>adekvátních nástrojů (např. průzkum spokojenosti).</w:t>
      </w:r>
    </w:p>
    <w:p w:rsidR="005D4D04" w:rsidRDefault="00500AC6">
      <w:pPr>
        <w:spacing w:before="0"/>
        <w:rPr>
          <w:rFonts w:eastAsia="Calibri"/>
          <w:noProof/>
          <w:szCs w:val="24"/>
          <w:u w:color="000000"/>
          <w:bdr w:val="nil"/>
        </w:rPr>
      </w:pPr>
      <w:r>
        <w:rPr>
          <w:noProof/>
        </w:rPr>
        <w:t>Kapacita účastníků byla považovaná za klíčový faktor ovlivňující výkonnost financovaných aktivit, neboť omezená kapacita (správní, finanční, organizační) může být důvodem pro omezenou účast na aktivitách p</w:t>
      </w:r>
      <w:r>
        <w:rPr>
          <w:noProof/>
        </w:rPr>
        <w:t>rogramu (zejména v některých členských státech). Může proto být nutné budování kapacit a technická pomoc.</w:t>
      </w:r>
    </w:p>
    <w:p w:rsidR="005D4D04" w:rsidRDefault="00500AC6">
      <w:pPr>
        <w:spacing w:before="0"/>
        <w:rPr>
          <w:rFonts w:eastAsia="Calibri"/>
          <w:noProof/>
          <w:szCs w:val="24"/>
          <w:u w:color="000000"/>
          <w:bdr w:val="nil"/>
        </w:rPr>
      </w:pPr>
      <w:r>
        <w:rPr>
          <w:noProof/>
        </w:rPr>
        <w:t>Neexistuje zjevně žádný prostor pro další zjednodušení, pokud jde o způsob řízení programu. Stávající přímé řízení je odpovídající vzhledem k velikost</w:t>
      </w:r>
      <w:r>
        <w:rPr>
          <w:noProof/>
        </w:rPr>
        <w:t>i programu, přičemž alternativní způsoby řízení (jako je sdílené řízení) by pravděpodobně vedly k rozmělnění zdrojů programu, snížení kapacity programu zaměřovat zdroje na společné priority a objevující se problémy. Podle příjemců lze usilovat o zjednoduše</w:t>
      </w:r>
      <w:r>
        <w:rPr>
          <w:noProof/>
        </w:rPr>
        <w:t>ní, pokud jde o přípravu návrhů a poskytování nutných informací o správní a finanční kapacitě při účasti na výzvách k podávání návrhů.</w:t>
      </w:r>
    </w:p>
    <w:p w:rsidR="005D4D04" w:rsidRDefault="00500AC6">
      <w:pPr>
        <w:spacing w:before="0"/>
        <w:rPr>
          <w:rFonts w:eastAsia="Calibri"/>
          <w:noProof/>
          <w:szCs w:val="24"/>
          <w:u w:color="000000"/>
          <w:bdr w:val="nil"/>
        </w:rPr>
      </w:pPr>
      <w:r>
        <w:rPr>
          <w:noProof/>
        </w:rPr>
        <w:t>Existuje dále prostor pro přizpůsobení portálu pro účastníky potřebám různých druhů organizací, které jsou typickými žada</w:t>
      </w:r>
      <w:r>
        <w:rPr>
          <w:noProof/>
        </w:rPr>
        <w:t>teli programu (jako jsou školící instituce). V tomto ohledu trend k postupné digitalizaci byl shledán jako zjevně pozitivní a měl by pokračovat.</w:t>
      </w:r>
    </w:p>
    <w:p w:rsidR="005D4D04" w:rsidRDefault="00500AC6">
      <w:pPr>
        <w:spacing w:before="0" w:after="200" w:line="276" w:lineRule="auto"/>
        <w:jc w:val="left"/>
        <w:rPr>
          <w:rFonts w:eastAsia="Calibri"/>
          <w:noProof/>
          <w:szCs w:val="24"/>
          <w:u w:color="000000"/>
          <w:bdr w:val="nil"/>
        </w:rPr>
      </w:pPr>
      <w:r>
        <w:rPr>
          <w:noProof/>
        </w:rPr>
        <w:br w:type="page"/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Konzultace se zúčastněnými stranami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Konzultační strategie, ze které vycházely přípravné práce na novém programu Spravedlnost, zahrnovala veřejnou konzultaci v rámci návrhu víceletého finančního rámce (VFR) po roce 2020 v oblasti hodnot a mobility, veřejné konzultace v rámci hodnocení stávají</w:t>
      </w:r>
      <w:r>
        <w:rPr>
          <w:noProof/>
        </w:rPr>
        <w:t xml:space="preserve">cích programů financování v polovině období a několik konzultací </w:t>
      </w:r>
      <w:r>
        <w:rPr>
          <w:i/>
          <w:noProof/>
        </w:rPr>
        <w:t>ad hoc</w:t>
      </w:r>
      <w:r>
        <w:rPr>
          <w:noProof/>
        </w:rPr>
        <w:t xml:space="preserve"> organizovaných Komisí formou diskusí u kulatých stolů se zúčastněnými stranami, konference a semináře věnované otázkám pokrytým v posouzení dopadů, které z velké části vychází z výsled</w:t>
      </w:r>
      <w:r>
        <w:rPr>
          <w:noProof/>
        </w:rPr>
        <w:t>ku těchto konzultací.</w:t>
      </w:r>
    </w:p>
    <w:p w:rsidR="005D4D04" w:rsidRDefault="00500AC6">
      <w:pPr>
        <w:spacing w:before="0"/>
        <w:rPr>
          <w:b/>
          <w:smallCaps/>
          <w:noProof/>
        </w:rPr>
      </w:pPr>
      <w:r>
        <w:rPr>
          <w:b/>
          <w:smallCaps/>
          <w:noProof/>
        </w:rPr>
        <w:t>Otevřená veřejná konzultace ohledně využívání fondů EU v oblasti hodnot a mobility</w:t>
      </w:r>
    </w:p>
    <w:p w:rsidR="005D4D04" w:rsidRDefault="00500AC6">
      <w:pPr>
        <w:rPr>
          <w:bCs/>
          <w:noProof/>
        </w:rPr>
      </w:pPr>
      <w:r>
        <w:rPr>
          <w:noProof/>
        </w:rPr>
        <w:t>Konzultace proběhly v souvislosti s hodnocením existujících programů financování EU pokrývajících několik oblastí politiky a zabývaly se především stáv</w:t>
      </w:r>
      <w:r>
        <w:rPr>
          <w:noProof/>
        </w:rPr>
        <w:t>ající výkonností a budoucími výzvami. Účelem veřejné konzultace o fondech EU v oblasti hodnot a mobility bylo shromáždit názory všech zainteresovaných stran na otázku, jak vytěžit co nejvíce z každého eura vynaloženého z rozpočtu EU. Veřejná konzultace o f</w:t>
      </w:r>
      <w:r>
        <w:rPr>
          <w:noProof/>
        </w:rPr>
        <w:t>ondech EU v oblasti hodnot a mobility probíhala od 10. ledna 2018 do 9. března 2018 ve 23 úředních jazycích EU.</w:t>
      </w:r>
    </w:p>
    <w:p w:rsidR="005D4D04" w:rsidRDefault="00500AC6">
      <w:pPr>
        <w:rPr>
          <w:noProof/>
        </w:rPr>
      </w:pPr>
      <w:r>
        <w:rPr>
          <w:noProof/>
        </w:rPr>
        <w:t xml:space="preserve">Jako odpověď na online veřejnou konzultaci o fondech EU v oblasti hodnot a mobility obdržela Komise celkem 1 839 odpovědí z celé Evropy. Z nich </w:t>
      </w:r>
      <w:r>
        <w:rPr>
          <w:noProof/>
        </w:rPr>
        <w:t>52 % pocházelo od respondentů se zkušenostmi s programem Erasmus+ a 43 % od respondentů se zkušenostmi s programem Kreativní Evropa.</w:t>
      </w:r>
    </w:p>
    <w:p w:rsidR="005D4D04" w:rsidRDefault="00500AC6">
      <w:pPr>
        <w:rPr>
          <w:noProof/>
        </w:rPr>
      </w:pPr>
      <w:r>
        <w:rPr>
          <w:noProof/>
        </w:rPr>
        <w:t>Nejméně jedna odpověď přišla z každého členského státu. Zemí s nejvyšším počtem příspěvků celkově je Německo (24,4 %), násl</w:t>
      </w:r>
      <w:r>
        <w:rPr>
          <w:noProof/>
        </w:rPr>
        <w:t>edují Francie (8,7 %), Belgie (7,7 %) a Španělsko (5,4 %).</w:t>
      </w:r>
    </w:p>
    <w:p w:rsidR="005D4D04" w:rsidRDefault="00500AC6">
      <w:pPr>
        <w:rPr>
          <w:noProof/>
        </w:rPr>
      </w:pPr>
      <w:r>
        <w:rPr>
          <w:noProof/>
        </w:rPr>
        <w:t>Z 1 839 příspěvků na online dotazník bylo 65,2 % (1 199) od organizací a 34,8 % (640) od jednotlivců.</w:t>
      </w:r>
    </w:p>
    <w:p w:rsidR="005D4D04" w:rsidRDefault="00500AC6">
      <w:pPr>
        <w:rPr>
          <w:noProof/>
        </w:rPr>
      </w:pPr>
      <w:r>
        <w:rPr>
          <w:noProof/>
        </w:rPr>
        <w:t>O své názory se podělila široká škála zúčastněných stran: z 1 199 příspěvků od organizací pochá</w:t>
      </w:r>
      <w:r>
        <w:rPr>
          <w:noProof/>
        </w:rPr>
        <w:t>zelo 355 (19,3 %) od nevládních organizací, platforem nebo sítí, 270 (14,7 %) od soukromých podniků (především mikropodniků a malých podniků) a 127 (6,9 %) od výzkumníků a akademiků.</w:t>
      </w:r>
    </w:p>
    <w:p w:rsidR="005D4D04" w:rsidRDefault="00500AC6">
      <w:pPr>
        <w:rPr>
          <w:noProof/>
        </w:rPr>
      </w:pPr>
      <w:r>
        <w:rPr>
          <w:noProof/>
        </w:rPr>
        <w:t xml:space="preserve">Analýza shrnutá níže se zaměřuje na respondenty, kteří mají zkušenosti s </w:t>
      </w:r>
      <w:r>
        <w:rPr>
          <w:noProof/>
        </w:rPr>
        <w:t xml:space="preserve">těmito programy EU: </w:t>
      </w:r>
    </w:p>
    <w:p w:rsidR="005D4D04" w:rsidRDefault="00500AC6">
      <w:pPr>
        <w:rPr>
          <w:noProof/>
        </w:rPr>
      </w:pPr>
      <w:r>
        <w:rPr>
          <w:noProof/>
        </w:rPr>
        <w:t xml:space="preserve">1. Program Evropa pro občany a/nebo </w:t>
      </w:r>
    </w:p>
    <w:p w:rsidR="005D4D04" w:rsidRDefault="00500AC6">
      <w:pPr>
        <w:rPr>
          <w:noProof/>
        </w:rPr>
      </w:pPr>
      <w:r>
        <w:rPr>
          <w:noProof/>
        </w:rPr>
        <w:t xml:space="preserve">2. Program Práva, rovnost a občanství a/nebo </w:t>
      </w:r>
    </w:p>
    <w:p w:rsidR="005D4D04" w:rsidRDefault="00500AC6">
      <w:pPr>
        <w:rPr>
          <w:noProof/>
        </w:rPr>
      </w:pPr>
      <w:r>
        <w:rPr>
          <w:noProof/>
        </w:rPr>
        <w:t xml:space="preserve">3. Program Kreativní Evropa a/nebo </w:t>
      </w:r>
    </w:p>
    <w:p w:rsidR="005D4D04" w:rsidRDefault="00500AC6">
      <w:pPr>
        <w:rPr>
          <w:noProof/>
        </w:rPr>
      </w:pPr>
      <w:r>
        <w:rPr>
          <w:noProof/>
        </w:rPr>
        <w:t>4. Program Spravedlnost.</w:t>
      </w:r>
    </w:p>
    <w:p w:rsidR="005D4D04" w:rsidRDefault="00500AC6">
      <w:pPr>
        <w:rPr>
          <w:noProof/>
        </w:rPr>
      </w:pPr>
      <w:r>
        <w:rPr>
          <w:noProof/>
        </w:rPr>
        <w:t>Níže jsou uvedeny některé z hlavních výsledků: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Podle respondentů, „prosazování evropské ide</w:t>
      </w:r>
      <w:r>
        <w:rPr>
          <w:noProof/>
        </w:rPr>
        <w:t>ntity a společných hodnot“ jakož i „prosazování práv a rovnosti“ jsou důležité společné problematiky (mezi prvními čtyřmi zmíněnými problematikami), které se mají řešit v každém ze čtyř programů. „Podporování aktivního občanství, demokratického zapojení do</w:t>
      </w:r>
      <w:r>
        <w:rPr>
          <w:noProof/>
        </w:rPr>
        <w:t xml:space="preserve"> společnosti a právního státu“ a „prosazování sociálního začleňování a spravedlnosti“ se jeví jako důležité problematiky, které se mají rovněž řešit v příslušných programech, avšak v menší míře v programu Kreativní Evropa, pro který jsou důležitější hospod</w:t>
      </w:r>
      <w:r>
        <w:rPr>
          <w:noProof/>
        </w:rPr>
        <w:t>ářské problémy a kulturní rozmanitost.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„Podporování inovací“, „podporování evropské kulturní rozmanitosti a kulturního dědictví“, „prosazování evropské identity a společných hodnot“ jsou považovány za politiky, které plně nebo poměrně řeší problematiky pol</w:t>
      </w:r>
      <w:r>
        <w:rPr>
          <w:noProof/>
        </w:rPr>
        <w:t>oviny či více respondentů se zkušenostmi se čtyřmi dotčenými programy. Rovněž 52 % respondentů se zkušenostmi s programem Kreativní Evropa má za to, že politická opatření na „podporování konkurenceschopnosti evropského kulturního a kreativního odvětví“ pln</w:t>
      </w:r>
      <w:r>
        <w:rPr>
          <w:noProof/>
        </w:rPr>
        <w:t>ě nebo poměrně řeší problematiku.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Zhruba 80 % respondentů se zkušenostmi se čtyřmi výše uvedenými programy EU souhlasí s tím, že tyto programy přidávají hodnotu ve velké míře nebo do poměrně značné míry k tomu, co členské státy mohou dosáhnout na celostátn</w:t>
      </w:r>
      <w:r>
        <w:rPr>
          <w:noProof/>
        </w:rPr>
        <w:t>í, regionální a/nebo místní úrovni.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Hlavní překážky identifikované respondenty, které mohou bránit stávajícím programům/fondům v dosahování jejich cílů, jsou velmi podobné u všech dotčených programů: „rozpočet programů nestačí k uspokojení poptávky“; „nedo</w:t>
      </w:r>
      <w:r>
        <w:rPr>
          <w:noProof/>
        </w:rPr>
        <w:t>statečná podpora drobných zúčastněných stran“; „nedostatečná podpora pro uchazeče, kteří podávají přihlášku poprvé“, jsou identifikovány jako hlavní tři překážky.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Respondenti se zkušenostmi s jedním nebo více ze čtyř programů EU souhlasí s tím, že „používá</w:t>
      </w:r>
      <w:r>
        <w:rPr>
          <w:noProof/>
        </w:rPr>
        <w:t>ní zjednodušených formulářů žádosti“, „opatření mající za cíl zjednodušit strukturované sítě a partnerství“; „opatření mající za cíl zjednodušit financování akcí, které zahrnují několik cílových odvětví“, a „lepší koordinace mezi různými programy/fondy“ př</w:t>
      </w:r>
      <w:r>
        <w:rPr>
          <w:noProof/>
        </w:rPr>
        <w:t>edstavují hlavní kroky, které se mají přijmout pro zjednodušení a snížení administrativní zátěže příjemců.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Posouzení dopadů</w:t>
      </w:r>
    </w:p>
    <w:p w:rsidR="005D4D04" w:rsidRDefault="00500AC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 xml:space="preserve">Posouzení dopadů bylo připraveno k analýze možného návrhu programu Kultura, práva a hodnoty Evropy, který by spojil na období </w:t>
      </w:r>
      <w:r>
        <w:rPr>
          <w:noProof/>
        </w:rPr>
        <w:t>2014–2020 program Práva, rovnost a občanství, program Evropa pro občany a program Kreativní Evropa – a program Spravedlnost. Komise rozhodla vytvořit samostatný program Kreativní Evropa a vytvořit Fond pro spravedlnost, práva a hodnoty s dvěma programy fin</w:t>
      </w:r>
      <w:r>
        <w:rPr>
          <w:noProof/>
        </w:rPr>
        <w:t>ancování: program Spravedlnost a program Práva a hodnoty. Posouzení dopadů je i nadále platné a vychází z něj všechny tyto iniciativy.</w:t>
      </w:r>
    </w:p>
    <w:p w:rsidR="005D4D04" w:rsidRDefault="00500AC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Dne 20. dubna 2018 Výbor pro kontrolu regulace vydal kladné stanovisko k doprovodnému posouzení dopadů. Výbor v něm dopor</w:t>
      </w:r>
      <w:r>
        <w:rPr>
          <w:noProof/>
        </w:rPr>
        <w:t>učil zdokonalit zprávu, pokud jde o některé klíčové aspekty, jako je úplné využití výsledků hodnocení, lepší navržení budoucích priorit, objasnění očekávaných dopadů změn prováděcích mechanismů. Tyto aspekty byly posíleny ve finální verzi posouzení dopadů.</w:t>
      </w:r>
      <w:r>
        <w:rPr>
          <w:noProof/>
        </w:rPr>
        <w:t xml:space="preserve"> Posouzení dopadů shromáždilo poznatky získané z programu Kreativní Evropa, programu Práva, rovnost a občanství a programu Evropa pro občany a navrhlo novou strukturu. Prozkoumalo rovněž prováděcí mechanismus, který umožní prosazovat hodnoty a kulturu EU p</w:t>
      </w:r>
      <w:r>
        <w:rPr>
          <w:noProof/>
        </w:rPr>
        <w:t>ři současném dosažení cílů účinnosti, flexibility, součinnosti a zjednodušení stanovených pro nadcházející víceletý finanční rámec. Řádně byly zohledněny výsledky hodnocení v polovině období. Všechny hodnocené programy vykázaly jasnou přidanou hodnotu. Nov</w:t>
      </w:r>
      <w:r>
        <w:rPr>
          <w:noProof/>
        </w:rPr>
        <w:t>é sdružování do klastrů umožní dále využít potenciál současných programů na prosazování hodnot EU a zvýší přidanou hodnotu EU.</w:t>
      </w:r>
    </w:p>
    <w:p w:rsidR="005D4D04" w:rsidRDefault="00500AC6">
      <w:pPr>
        <w:rPr>
          <w:noProof/>
        </w:rPr>
      </w:pPr>
      <w:r>
        <w:rPr>
          <w:noProof/>
        </w:rPr>
        <w:t>Byly analyzovány tři hlavní scénáře: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zachování stávající situace u čtyř programů financování v rámci podklastru „hodnoty“ rozpočt</w:t>
      </w:r>
      <w:r>
        <w:rPr>
          <w:noProof/>
        </w:rPr>
        <w:t>u EU, konkrétně programu Práva, rovnost a občanství, programu Spravedlnost, programu Kreativní Evropa a programu Evropa pro občany,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jako alternativu ke stávající situaci a základnímu scénáři je v druhém scénáři navrhováno rozvinout součinnost mezi stávajíc</w:t>
      </w:r>
      <w:r>
        <w:rPr>
          <w:noProof/>
        </w:rPr>
        <w:t>ími programy a sdružit je do jedné politické části o hodnotách EU s dvěma základními programy financování: programem Evropská kultura, práva a hodnoty a programem Spravedlnost.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 xml:space="preserve">třetí scénář zahrnoval vytvořit jediný program financování pokrývající všechny </w:t>
      </w:r>
      <w:r>
        <w:rPr>
          <w:noProof/>
        </w:rPr>
        <w:t>čtyři programy financování uvedené výše.</w:t>
      </w:r>
    </w:p>
    <w:p w:rsidR="005D4D04" w:rsidRDefault="00500AC6">
      <w:pPr>
        <w:rPr>
          <w:b/>
          <w:i/>
          <w:noProof/>
        </w:rPr>
      </w:pPr>
      <w:r>
        <w:rPr>
          <w:b/>
          <w:i/>
          <w:noProof/>
        </w:rPr>
        <w:t>Základní scénář: zachování stávající situace se čtyřmi programy financování a proporcionální 15% rozpočtový škrt</w:t>
      </w:r>
    </w:p>
    <w:p w:rsidR="005D4D04" w:rsidRDefault="00500AC6">
      <w:pPr>
        <w:rPr>
          <w:noProof/>
        </w:rPr>
      </w:pPr>
      <w:r>
        <w:rPr>
          <w:noProof/>
        </w:rPr>
        <w:t>Analýza základního scénáře s možným 15% snížením dostupného financování ukazuje, že by nastaly negativ</w:t>
      </w:r>
      <w:r>
        <w:rPr>
          <w:noProof/>
        </w:rPr>
        <w:t>ní následky pro provádění politik. Konkrétně:</w:t>
      </w:r>
    </w:p>
    <w:p w:rsidR="005D4D04" w:rsidRDefault="00500AC6">
      <w:pPr>
        <w:rPr>
          <w:noProof/>
        </w:rPr>
      </w:pPr>
      <w:r>
        <w:rPr>
          <w:noProof/>
        </w:rPr>
        <w:t xml:space="preserve">15% snížení financování programu </w:t>
      </w:r>
      <w:r>
        <w:rPr>
          <w:b/>
          <w:noProof/>
        </w:rPr>
        <w:t>Práva, rovnost a občanství</w:t>
      </w:r>
      <w:r>
        <w:rPr>
          <w:noProof/>
        </w:rPr>
        <w:t xml:space="preserve"> by se odrazilo v každoročním stanovování priorit, tj. koncentrování financování v některých oblastech v jednom roce a podporování jiných politických o</w:t>
      </w:r>
      <w:r>
        <w:rPr>
          <w:noProof/>
        </w:rPr>
        <w:t>blastí v následujících letech, a to v rozporu s narůstajícími potřebami v oblasti. Toto snížení by rovněž vedlo k omezení studií, sběru údajů, kampaní zvyšujících povědomí atd., které jsou nutné pro zajištění podložených politických opatření a legislativy.</w:t>
      </w:r>
    </w:p>
    <w:p w:rsidR="005D4D04" w:rsidRDefault="00500AC6">
      <w:pPr>
        <w:rPr>
          <w:noProof/>
        </w:rPr>
      </w:pPr>
      <w:r>
        <w:rPr>
          <w:noProof/>
        </w:rPr>
        <w:t>V případě</w:t>
      </w:r>
      <w:r>
        <w:rPr>
          <w:b/>
          <w:noProof/>
        </w:rPr>
        <w:t xml:space="preserve"> programu Evropa pro občany</w:t>
      </w:r>
      <w:r>
        <w:rPr>
          <w:noProof/>
        </w:rPr>
        <w:t xml:space="preserve"> by rozpočtový škrt ve výši 15 % snížil základní rozpočet na 157 milionů EUR, což není dostačující pro závazek Komise postavit občany do centra evropského procesu. Kritický počet účastníků a zeměpisné pokrytí činností n</w:t>
      </w:r>
      <w:r>
        <w:rPr>
          <w:noProof/>
        </w:rPr>
        <w:t>utné k dosažení zamýšleného dopadu by již nebyly dosaženy. Stabilní rozpočtový příděl (na základě rozpočtu 2017) by umožnil kontinuitu, ale měl by stále pouze omezený dopad.</w:t>
      </w:r>
    </w:p>
    <w:p w:rsidR="005D4D04" w:rsidRDefault="00500AC6">
      <w:pPr>
        <w:rPr>
          <w:noProof/>
        </w:rPr>
      </w:pPr>
      <w:r>
        <w:rPr>
          <w:noProof/>
        </w:rPr>
        <w:t xml:space="preserve">Snížení financování podprogramu </w:t>
      </w:r>
      <w:r>
        <w:rPr>
          <w:b/>
          <w:noProof/>
        </w:rPr>
        <w:t>MEDIA v rámci programu Kreativní Evropa</w:t>
      </w:r>
      <w:r>
        <w:rPr>
          <w:noProof/>
        </w:rPr>
        <w:t xml:space="preserve"> o 15 %by n</w:t>
      </w:r>
      <w:r>
        <w:rPr>
          <w:noProof/>
        </w:rPr>
        <w:t>evyhnutelně znamenalo racionalizaci a koncentraci na omezený počet akcí. Snížení financování by mělo neúměrný dopad na země s nižší výrobní kapacitou a/nebo země s omezenou zeměpisnou/jazykovou oblastí. Snížil by se rovněž počet vzdělávacích aktivit pro au</w:t>
      </w:r>
      <w:r>
        <w:rPr>
          <w:noProof/>
        </w:rPr>
        <w:t xml:space="preserve">diovizuální profesionály a počet koprodukcí EU, což jsou práce snáze překračující hranice. Omezení rozsahu sítě provozovatelů kin by negativně ovlivnilo přístup občanů EU, a to zejména ze středoevropských a východoevropských zemí k zahraničnímu evropskému </w:t>
      </w:r>
      <w:r>
        <w:rPr>
          <w:noProof/>
        </w:rPr>
        <w:t>obsahu.</w:t>
      </w:r>
    </w:p>
    <w:p w:rsidR="005D4D04" w:rsidRDefault="00500AC6">
      <w:pPr>
        <w:rPr>
          <w:noProof/>
        </w:rPr>
      </w:pPr>
      <w:r>
        <w:rPr>
          <w:noProof/>
        </w:rPr>
        <w:t xml:space="preserve">U podprogramu Kultura programu </w:t>
      </w:r>
      <w:r>
        <w:rPr>
          <w:b/>
          <w:noProof/>
        </w:rPr>
        <w:t>Kreativní Evropa</w:t>
      </w:r>
      <w:r>
        <w:rPr>
          <w:noProof/>
        </w:rPr>
        <w:t xml:space="preserve"> by 15% snížení neumožnilo dosáhnout kritického množství v reakci na potřeby kulturního a tvůrčího odvětví. Z toho by vyplývala zejména omezená evropská přidaná hodnota, a tudíž omezený dopad na kultur</w:t>
      </w:r>
      <w:r>
        <w:rPr>
          <w:noProof/>
        </w:rPr>
        <w:t>ní rozmanitost, méně příležitostí k přeshraniční spolupráci, méně příležitostí na trhu a méně kariérních příležitostí pro pracovníky v kulturním a tvůrčím odvětví. Společenský dopad by se snížil a mezinárodní otevření programu by muselo být omezeno na jeho</w:t>
      </w:r>
      <w:r>
        <w:rPr>
          <w:noProof/>
        </w:rPr>
        <w:t xml:space="preserve"> úroveň před rokem 2014 a upuštěno od účasti klíčových sousedních partnerských zemí EU.</w:t>
      </w:r>
    </w:p>
    <w:p w:rsidR="005D4D04" w:rsidRDefault="00500AC6">
      <w:pPr>
        <w:rPr>
          <w:noProof/>
        </w:rPr>
      </w:pPr>
      <w:r>
        <w:rPr>
          <w:b/>
          <w:noProof/>
        </w:rPr>
        <w:t>Finanční záruka</w:t>
      </w:r>
      <w:r>
        <w:rPr>
          <w:noProof/>
        </w:rPr>
        <w:t xml:space="preserve"> pro kulturní a tvůrčí odvětví by mohla být ohrožena, což by bylo negativní pro tato odvětví zejména ve východních zemích, kde jsou finanční trhy méně ro</w:t>
      </w:r>
      <w:r>
        <w:rPr>
          <w:noProof/>
        </w:rPr>
        <w:t>zvinuté a kde je tudíž méně možností k přístupu k financování.</w:t>
      </w:r>
    </w:p>
    <w:p w:rsidR="005D4D04" w:rsidRDefault="00500AC6">
      <w:pPr>
        <w:rPr>
          <w:b/>
          <w:i/>
          <w:noProof/>
        </w:rPr>
      </w:pPr>
      <w:r>
        <w:rPr>
          <w:b/>
          <w:i/>
          <w:noProof/>
        </w:rPr>
        <w:t>Zavržené alternativy v posouzení dopadů: jeden program</w:t>
      </w:r>
    </w:p>
    <w:p w:rsidR="005D4D04" w:rsidRDefault="00500AC6">
      <w:pPr>
        <w:rPr>
          <w:noProof/>
        </w:rPr>
      </w:pPr>
      <w:r>
        <w:rPr>
          <w:noProof/>
        </w:rPr>
        <w:t>Z důvodů souvisejících s právním základem byla alternativa jednoho nástroje/programu navrhovaná ve třetím scénáři zavržena. Většina aktivi</w:t>
      </w:r>
      <w:r>
        <w:rPr>
          <w:noProof/>
        </w:rPr>
        <w:t>t a politik je založena na článcích, které stanový řádný legislativní postup, vyjma stávajícího programu Evropa pro občany. V současnosti hlavní zaměření programu Evropa pro občany je na účast občanů, a tudíž je založeno na článku 352 SFEU (jednomyslnost).</w:t>
      </w:r>
      <w:r>
        <w:rPr>
          <w:noProof/>
        </w:rPr>
        <w:t xml:space="preserve"> Po analýze by cíle a odpovídající aktivity mohly být, pokud by bylo jejich zaměření do určité míry změněno, upraveny tak, aby vyhovovaly novému přístupu širšího programu; v takovém případě by spadaly do působnosti čl. 167 odst. 1 a 2 SFEU, které stanoví ř</w:t>
      </w:r>
      <w:r>
        <w:rPr>
          <w:noProof/>
        </w:rPr>
        <w:t>ádný legislativní postup. Vzhledem k postavení Spojeného království a Irska, pokud jde o prostor svobody, bezpečnosti a práva, jakož i postavení Dánska podle protokolů 21 a 22 připojených ke Smlouvám, však program Spravedlnost, přestože rovněž podléhá řádn</w:t>
      </w:r>
      <w:r>
        <w:rPr>
          <w:noProof/>
        </w:rPr>
        <w:t>ému legislativnímu postupu, musí zůstat v samostatném nástroji.</w:t>
      </w:r>
    </w:p>
    <w:p w:rsidR="005D4D04" w:rsidRDefault="00500AC6">
      <w:pPr>
        <w:rPr>
          <w:b/>
          <w:i/>
          <w:noProof/>
        </w:rPr>
      </w:pPr>
      <w:r>
        <w:rPr>
          <w:b/>
          <w:i/>
          <w:noProof/>
        </w:rPr>
        <w:t>Navrhované alternativy v posouzení dopadů: rámec hodnot EU s dvěma programy financování</w:t>
      </w:r>
    </w:p>
    <w:p w:rsidR="005D4D04" w:rsidRDefault="00500AC6">
      <w:pPr>
        <w:rPr>
          <w:noProof/>
        </w:rPr>
      </w:pPr>
      <w:r>
        <w:rPr>
          <w:noProof/>
        </w:rPr>
        <w:t>Analýza ukazuje, že existuje prostor pro zlepšení, pokud jde o stávající situaci čtyř programů financová</w:t>
      </w:r>
      <w:r>
        <w:rPr>
          <w:noProof/>
        </w:rPr>
        <w:t>ní. Proto jako alternativu ke stávající situaci a základnímu scénáři je navrhováno rozvinout synergie mezi stávajícími programy a výsadními liniemi a zkombinovat je do jedné politické části o hodnotách EU s dvěma základními programy financování: program Ku</w:t>
      </w:r>
      <w:r>
        <w:rPr>
          <w:noProof/>
        </w:rPr>
        <w:t>ltura, práva a hodnoty Evropy a program Spravedlnost, jak jsou prezentovány níže:</w:t>
      </w:r>
    </w:p>
    <w:p w:rsidR="005D4D04" w:rsidRDefault="00500AC6">
      <w:pPr>
        <w:rPr>
          <w:noProof/>
        </w:rPr>
      </w:pPr>
      <w:r>
        <w:rPr>
          <w:noProof/>
        </w:rPr>
        <w:t>Nová architektura budoucího financování jako alternativa k základnímu scénáři se zaměřuje na: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rozvoj součinností mezi politikami s nalezením společných základů pro akci při s</w:t>
      </w:r>
      <w:r>
        <w:rPr>
          <w:noProof/>
        </w:rPr>
        <w:t>oučasném respektování jejich specifik;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omezení překrývání a fragmentací;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zajištění flexibility při přidělování finančních prostředků při současném zajištění určité míry předvídatelnosti finančního krytí vyčleněného na každou politiku;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 xml:space="preserve">podporu </w:t>
      </w:r>
      <w:r>
        <w:rPr>
          <w:noProof/>
        </w:rPr>
        <w:t>meziodvětvových a inovačních akcí;</w:t>
      </w:r>
    </w:p>
    <w:p w:rsidR="005D4D04" w:rsidRDefault="00500AC6">
      <w:pPr>
        <w:pStyle w:val="Tiret0"/>
        <w:tabs>
          <w:tab w:val="clear" w:pos="850"/>
        </w:tabs>
        <w:ind w:left="709" w:hanging="425"/>
        <w:rPr>
          <w:noProof/>
        </w:rPr>
      </w:pPr>
      <w:r>
        <w:rPr>
          <w:noProof/>
        </w:rPr>
        <w:t>zajištění kritického množství zdrojů na prosazování hodnot při zohlednění potřeb každé politiky.</w:t>
      </w:r>
    </w:p>
    <w:p w:rsidR="005D4D04" w:rsidRDefault="00500AC6">
      <w:pPr>
        <w:rPr>
          <w:b/>
          <w:i/>
          <w:noProof/>
        </w:rPr>
      </w:pPr>
      <w:r>
        <w:rPr>
          <w:b/>
          <w:i/>
          <w:noProof/>
        </w:rPr>
        <w:t xml:space="preserve">Zvolená alternativa </w:t>
      </w:r>
    </w:p>
    <w:p w:rsidR="005D4D04" w:rsidRDefault="00500AC6">
      <w:pPr>
        <w:rPr>
          <w:noProof/>
        </w:rPr>
      </w:pPr>
      <w:r>
        <w:rPr>
          <w:noProof/>
        </w:rPr>
        <w:t xml:space="preserve">Komise rozhodla vytvořit samostatný program Kreativní Evropa a vytvořit Fond pro spravedlnost, práva a </w:t>
      </w:r>
      <w:r>
        <w:rPr>
          <w:noProof/>
        </w:rPr>
        <w:t>hodnoty zahrnující dva programy: program Spravedlnost a program Práva a hodnoty. Posouzení dopadů je i nadále platné a tyto iniciativy z něj vycházejí. Toto rozhodnutí je zachyceno v navrhovaném balíčku VFR na období po roce 2020 představeném 2. května 201</w:t>
      </w:r>
      <w:r>
        <w:rPr>
          <w:noProof/>
        </w:rPr>
        <w:t>8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Zjednodušení</w:t>
      </w:r>
    </w:p>
    <w:p w:rsidR="005D4D04" w:rsidRDefault="00500AC6">
      <w:pPr>
        <w:spacing w:before="0"/>
        <w:rPr>
          <w:rStyle w:val="None"/>
          <w:noProof/>
        </w:rPr>
      </w:pPr>
      <w:r>
        <w:rPr>
          <w:noProof/>
        </w:rPr>
        <w:t>Při provádění programu Spravedlnost bude usilováno o zjednodušující opatření, např. jednorázové částky, paušální sazby a jednotkové náklady.</w:t>
      </w:r>
    </w:p>
    <w:p w:rsidR="005D4D04" w:rsidRDefault="00500AC6">
      <w:pPr>
        <w:spacing w:before="0"/>
        <w:rPr>
          <w:rStyle w:val="None"/>
          <w:noProof/>
        </w:rPr>
      </w:pPr>
      <w:r>
        <w:rPr>
          <w:rStyle w:val="None"/>
          <w:noProof/>
        </w:rPr>
        <w:t>Komplexita a nesourodost pravidel financování současných programů představují překážku pro žadatel</w:t>
      </w:r>
      <w:r>
        <w:rPr>
          <w:rStyle w:val="None"/>
          <w:noProof/>
        </w:rPr>
        <w:t>e. Využití jednotného místa pro externí uživatele účastnící se životního cyklu grantů (portálu pro účastníky), včetně celkového systému řízení grantů hrají důležitou roli při zjednodušování přístupu k programu. Program Spravedlnost bude i nadále řízen pros</w:t>
      </w:r>
      <w:r>
        <w:rPr>
          <w:rStyle w:val="None"/>
          <w:noProof/>
        </w:rPr>
        <w:t>třednictvím korporátního systému IT Komise vyvíjeného v současnosti na základě H2020.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Základní práva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Cíle programu jsou úzce spjaty s prosazováním základních práv a jsou v souladu s Listinou základních práv Evropské unie. Program Spravedlnost (a program Pr</w:t>
      </w:r>
      <w:r>
        <w:rPr>
          <w:noProof/>
        </w:rPr>
        <w:t>áva a hodnoty) budou zejména tvořit součást Fondu pro spravedlnost, práva a hodnoty v rozpočtu EU, jehož cílem je podporovat otevřené, demokratické a inkluzivní společnosti a posílit postavení lidí prostřednictvím ochrany a prosazování práv, hodnot a prost</w:t>
      </w:r>
      <w:r>
        <w:rPr>
          <w:noProof/>
        </w:rPr>
        <w:t>řednictvím dalšího rozvoje prostoru práva EU.</w:t>
      </w:r>
    </w:p>
    <w:p w:rsidR="005D4D04" w:rsidRDefault="00500AC6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 w:rsidR="005D4D04" w:rsidRDefault="00500AC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Style w:val="None"/>
          <w:noProof/>
        </w:rPr>
      </w:pPr>
      <w:r>
        <w:rPr>
          <w:rStyle w:val="None"/>
          <w:noProof/>
        </w:rPr>
        <w:t>Finanční krytí pro provádění programu Spravedlnost na období od 1. ledna 2021 do 31. prosince 2027 bude činit [305 000 000] EUR (v běžných cenách).</w:t>
      </w:r>
    </w:p>
    <w:p w:rsidR="005D4D04" w:rsidRDefault="00500AC6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Plány provádění a způs</w:t>
      </w:r>
      <w:r>
        <w:rPr>
          <w:b/>
          <w:noProof/>
        </w:rPr>
        <w:t>oby monitorování, hodnocení a podávání zpráv</w:t>
      </w:r>
    </w:p>
    <w:p w:rsidR="005D4D04" w:rsidRDefault="00500AC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Style w:val="None"/>
          <w:noProof/>
        </w:rPr>
      </w:pPr>
      <w:r>
        <w:rPr>
          <w:rStyle w:val="None"/>
          <w:noProof/>
        </w:rPr>
        <w:t>Budoucí program Spravedlnost bude i nadále řízen přímo Komisí jak v případě grantů, tak i zadávání veřejných zakázek.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Bude sestaven plán provádění pro specifikaci modalit, za kterých program poběží.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Bude sestave</w:t>
      </w:r>
      <w:r>
        <w:rPr>
          <w:noProof/>
        </w:rPr>
        <w:t>n podrobný plán monitorování a hodnocení pro specifikaci, jak budou související opatření prováděna v praxi a jaká bude strategie údajů. Monitorování programu bude probíhat jednak soustavně (např. včasným reagováním na neplánované události / výjimečné potře</w:t>
      </w:r>
      <w:r>
        <w:rPr>
          <w:noProof/>
        </w:rPr>
        <w:t>by) a pravidelně plánovaně (podáváním zpráv o klíčových výzvách k podávání návrhů, přezkumech projektu, koordinaci nebo osvětových akcích) a bude případně podkladem pro klíčové ukazatele programu. Monitorovací zprávy budou následně podkladem pro: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>hodnocení</w:t>
      </w:r>
      <w:r>
        <w:rPr>
          <w:noProof/>
        </w:rPr>
        <w:t xml:space="preserve"> v polovině období (které se provede nejpozději čtyři roky od počátku provádění programu), ve spojení se závěrečným hodnocením předchozích programů; a</w:t>
      </w:r>
    </w:p>
    <w:p w:rsidR="005D4D04" w:rsidRDefault="00500AC6">
      <w:pPr>
        <w:pStyle w:val="Tiret0"/>
        <w:tabs>
          <w:tab w:val="clear" w:pos="850"/>
        </w:tabs>
        <w:spacing w:before="0"/>
        <w:ind w:left="709" w:hanging="425"/>
        <w:rPr>
          <w:noProof/>
        </w:rPr>
      </w:pPr>
      <w:r>
        <w:rPr>
          <w:noProof/>
        </w:rPr>
        <w:t xml:space="preserve">závěrečné hodnocení (které se provede nejpozději čtyři roky po skočení programového období). </w:t>
      </w:r>
    </w:p>
    <w:p w:rsidR="005D4D04" w:rsidRDefault="00500AC6">
      <w:pPr>
        <w:spacing w:before="0"/>
        <w:rPr>
          <w:rFonts w:eastAsia="Arial Unicode MS"/>
          <w:noProof/>
        </w:rPr>
      </w:pPr>
      <w:r>
        <w:rPr>
          <w:noProof/>
        </w:rPr>
        <w:t xml:space="preserve">Tato </w:t>
      </w:r>
      <w:r>
        <w:rPr>
          <w:noProof/>
        </w:rPr>
        <w:t>hodnocení se provedou v souladu s body 22 a 23 interinstitucionální dohody ze dne 13. dubna 2016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v případě, že tři orgány potvrdily, že hodnocení stávajících právních předpisů a politiky by měla poskytnout základ k posouzení dopadů budoucích možných opatř</w:t>
      </w:r>
      <w:r>
        <w:rPr>
          <w:noProof/>
        </w:rPr>
        <w:t>ení. Tato hodnocení posoudí účinky programu v praxi na základě klíčových ukazatelů/cílů programu a podrobné analýzy míry, v jaké lze program považovat za relevantní, účinný, účelný a poskytující dostatek přidané hodnoty EU a soudržný s ostatními politikami</w:t>
      </w:r>
      <w:r>
        <w:rPr>
          <w:noProof/>
        </w:rPr>
        <w:t xml:space="preserve"> EU. Budou zahrnovat doporučení k řešení jakýchkoliv identifikovaných nedostatků/problémů nebo potenciálu, jak více zdokonalit akce a jejich výsledky a maximalizovat jejich využití/dopad.</w:t>
      </w:r>
    </w:p>
    <w:p w:rsidR="005D4D04" w:rsidRDefault="00500AC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Arial Unicode MS"/>
          <w:noProof/>
        </w:rPr>
      </w:pPr>
      <w:r>
        <w:rPr>
          <w:noProof/>
        </w:rPr>
        <w:t xml:space="preserve">Komise bude pravidelně podávat zprávy Evropskému parlamentu, Radě a </w:t>
      </w:r>
      <w:r>
        <w:rPr>
          <w:noProof/>
        </w:rPr>
        <w:t>všem ostatním relevantními orgánům a institucím EU prostřednictvím zpráv o monitorování a hodnocení a veřejného srovnávacího přehledu klíčových ukazatelů programu.</w:t>
      </w:r>
    </w:p>
    <w:p w:rsidR="005D4D04" w:rsidRDefault="00500AC6">
      <w:pPr>
        <w:pStyle w:val="Bullet0"/>
        <w:tabs>
          <w:tab w:val="clear" w:pos="850"/>
        </w:tabs>
        <w:spacing w:before="0"/>
        <w:ind w:left="284" w:hanging="284"/>
        <w:rPr>
          <w:b/>
          <w:noProof/>
        </w:rPr>
      </w:pPr>
      <w:r>
        <w:rPr>
          <w:b/>
          <w:noProof/>
        </w:rPr>
        <w:t>Podrobné vysvětlení konkrétních ustanovení návrhu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Cílem navrhovaného přístupu je spojit zjed</w:t>
      </w:r>
      <w:r>
        <w:rPr>
          <w:noProof/>
        </w:rPr>
        <w:t xml:space="preserve">nodušení postupů financování, což požadují všechny zúčastněné strany, s přístupem, který bude více zaměřený na výsledky. 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Návrh stanovuje obecné a specifické cíle programu (článek 3) a druhy činností financovaných programem (příloha I). Obecné a specifické</w:t>
      </w:r>
      <w:r>
        <w:rPr>
          <w:noProof/>
        </w:rPr>
        <w:t xml:space="preserve"> cíle definují oblast působnosti programu (oblasti politiky), zatímco druhy činností jsou orientované na financování, vztahují se na všechny dotčené oblasti politiky a definují horizontální způsob, jak dosáhnout výsledků prostřednictvím financování. Zárove</w:t>
      </w:r>
      <w:r>
        <w:rPr>
          <w:noProof/>
        </w:rPr>
        <w:t xml:space="preserve">ň druhy činností ukazují, v jakých případech financování znamená skutečně přidanou hodnotu pro dosažení cílů politiky. 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Komise v rámci provádění tohoto nařízení stanoví roční priority financování pro jednotlivé oblasti politiky. Účast na programu je otevře</w:t>
      </w:r>
      <w:r>
        <w:rPr>
          <w:noProof/>
        </w:rPr>
        <w:t xml:space="preserve">ná všem právním subjektům legálně usazeným v členských státech nebo v třetí zemi, která se programu účastní, bez jakýchkoli dalších omezení přístupu k programu. </w:t>
      </w:r>
    </w:p>
    <w:p w:rsidR="005D4D04" w:rsidRDefault="00500AC6">
      <w:pPr>
        <w:spacing w:before="0"/>
        <w:rPr>
          <w:noProof/>
        </w:rPr>
      </w:pPr>
      <w:r>
        <w:rPr>
          <w:noProof/>
        </w:rPr>
        <w:t>Tato struktura umožňuje zjednodušení, jakož i lepší orientaci programu na potřeby a vývoj v ob</w:t>
      </w:r>
      <w:r>
        <w:rPr>
          <w:noProof/>
        </w:rPr>
        <w:t>lasti politiky. Poskytuje navíc stabilní rámec pro hodnocení, protože specifické cíle jsou přímo provázány s ukazateli, které se v průběhu doby trvání programu nezmění a budou pravidelně sledovány a hodnoceny. V zájmu flexibility a lepšího provádění není n</w:t>
      </w:r>
      <w:r>
        <w:rPr>
          <w:noProof/>
        </w:rPr>
        <w:t>avrhováno, aby se vyčlenily konkrétní částky na každý specifický cíl v rámci programu.</w:t>
      </w:r>
    </w:p>
    <w:p w:rsidR="005D4D04" w:rsidRDefault="005D4D04">
      <w:pPr>
        <w:rPr>
          <w:noProof/>
        </w:rPr>
        <w:sectPr w:rsidR="005D4D04" w:rsidSect="00500AC6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5D4D04" w:rsidRDefault="00500AC6" w:rsidP="00500AC6">
      <w:pPr>
        <w:pStyle w:val="Rfrenceinterinstitutionnelle"/>
        <w:rPr>
          <w:noProof/>
        </w:rPr>
      </w:pPr>
      <w:r w:rsidRPr="00500AC6">
        <w:t>2018/0208 (COD)</w:t>
      </w:r>
    </w:p>
    <w:p w:rsidR="005D4D04" w:rsidRDefault="00500AC6">
      <w:pPr>
        <w:pStyle w:val="Statut"/>
        <w:rPr>
          <w:noProof/>
        </w:rPr>
      </w:pPr>
      <w:r>
        <w:rPr>
          <w:noProof/>
        </w:rPr>
        <w:t>Návrh</w:t>
      </w:r>
    </w:p>
    <w:p w:rsidR="005D4D04" w:rsidRDefault="00500AC6">
      <w:pPr>
        <w:pStyle w:val="Typedudocument"/>
        <w:rPr>
          <w:noProof/>
        </w:rPr>
      </w:pPr>
      <w:r>
        <w:rPr>
          <w:noProof/>
        </w:rPr>
        <w:t>NAŘÍZENÍ EVROPSKÉHO PARLAMENTU A RADY,</w:t>
      </w:r>
    </w:p>
    <w:p w:rsidR="005D4D04" w:rsidRDefault="00500AC6">
      <w:pPr>
        <w:pStyle w:val="Titreobjet"/>
        <w:rPr>
          <w:noProof/>
        </w:rPr>
      </w:pPr>
      <w:r>
        <w:rPr>
          <w:noProof/>
        </w:rPr>
        <w:t xml:space="preserve">kterým se zavádí program Spravedlnost </w:t>
      </w:r>
    </w:p>
    <w:p w:rsidR="005D4D04" w:rsidRDefault="00500AC6">
      <w:pPr>
        <w:pStyle w:val="Institutionquiagit"/>
        <w:shd w:val="clear" w:color="auto" w:fill="FFFFFF" w:themeFill="background1"/>
        <w:rPr>
          <w:noProof/>
        </w:rPr>
      </w:pPr>
      <w:r>
        <w:rPr>
          <w:noProof/>
        </w:rPr>
        <w:t>EVROPSKÝ PARLAM</w:t>
      </w:r>
      <w:r>
        <w:rPr>
          <w:noProof/>
        </w:rPr>
        <w:t>ENT A RADA EVROPSKÉ UNIE,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s ohledem na Smlouvu o fungování Evropské unie, a zejména na čl. 81 odst. 1 a 2 a čl. 82 odst. 1 této smlouvy,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s ohledem na návrh Evropské komise,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po postoupení návrhu legislativního aktu vnitrostátním parlamentům,</w:t>
      </w:r>
    </w:p>
    <w:p w:rsidR="005D4D04" w:rsidRDefault="00500AC6">
      <w:pPr>
        <w:shd w:val="clear" w:color="auto" w:fill="FFFFFF" w:themeFill="background1"/>
        <w:rPr>
          <w:i/>
          <w:noProof/>
        </w:rPr>
      </w:pPr>
      <w:r>
        <w:rPr>
          <w:noProof/>
        </w:rPr>
        <w:t xml:space="preserve">s ohledem na </w:t>
      </w:r>
      <w:r>
        <w:rPr>
          <w:noProof/>
        </w:rPr>
        <w:t>stanovisko Evropského hospodářského a sociálního výboru</w:t>
      </w:r>
      <w:r>
        <w:rPr>
          <w:rStyle w:val="FootnoteReference"/>
          <w:noProof/>
        </w:rPr>
        <w:footnoteReference w:id="8"/>
      </w:r>
      <w:r>
        <w:rPr>
          <w:noProof/>
        </w:rPr>
        <w:t>,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s ohledem na stanovisko Výboru regionů</w:t>
      </w:r>
      <w:r>
        <w:rPr>
          <w:rStyle w:val="FootnoteReference"/>
          <w:noProof/>
        </w:rPr>
        <w:footnoteReference w:id="9"/>
      </w:r>
      <w:r>
        <w:rPr>
          <w:noProof/>
        </w:rPr>
        <w:t>,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v souladu s řádným legislativním postupem,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vzhledem k těmto důvodům:</w:t>
      </w:r>
    </w:p>
    <w:p w:rsidR="005D4D04" w:rsidRDefault="00500AC6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Podle článku 2 Smlouvy o Evropské unii „Unie je založena na hodnotách úcty k lidské </w:t>
      </w:r>
      <w:r>
        <w:rPr>
          <w:noProof/>
        </w:rPr>
        <w:t>důstojnosti, svobody, demokracie, rovnosti, právního státu a dodržování lidských práv, včetně práv příslušníků menšin. Tyto hodnoty jsou společné členským státům ve společnosti vyznačující se pluralismem, nepřípustností diskriminace, tolerancí, spravedlnos</w:t>
      </w:r>
      <w:r>
        <w:rPr>
          <w:noProof/>
        </w:rPr>
        <w:t>tí, solidaritou a rovností žen a mužů“. Článek 3 dále rozvádí, že „cílem Unie je podporovat mír, své hodnoty a blahobyt svých obyvatel“ a že mimo jiné „respektuje svou bohatou kulturní a jazykovou rozmanitost a dbá na zachování a rozvoj evropského kulturní</w:t>
      </w:r>
      <w:r>
        <w:rPr>
          <w:noProof/>
        </w:rPr>
        <w:t>ho dědictví“. Tyto hodnoty jsou dále potvrzeny a vyjádřeny v právech, svobodách a zásadách zakotvených v Listině základních práv Evropské unie (dále jen „listina“).</w:t>
      </w:r>
    </w:p>
    <w:p w:rsidR="005D4D04" w:rsidRDefault="00500AC6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Tyto práva a hodnoty musí být nadále prosazovány a posilovány, sdíleny mezi občany a ob</w:t>
      </w:r>
      <w:r>
        <w:rPr>
          <w:noProof/>
        </w:rPr>
        <w:t xml:space="preserve">yvateli v rámci Unie a stát se středobodem evropských společností. Proto se v rozpočtu Unie vytvoří nový </w:t>
      </w:r>
      <w:r>
        <w:rPr>
          <w:b/>
          <w:noProof/>
        </w:rPr>
        <w:t>Fond pro spravedlnost, práva a hodnoty</w:t>
      </w:r>
      <w:r>
        <w:rPr>
          <w:noProof/>
        </w:rPr>
        <w:t xml:space="preserve">, který bude zahrnovat programy </w:t>
      </w:r>
      <w:r>
        <w:rPr>
          <w:b/>
          <w:noProof/>
        </w:rPr>
        <w:t>Práva a hodnoty</w:t>
      </w:r>
      <w:r>
        <w:rPr>
          <w:noProof/>
        </w:rPr>
        <w:t xml:space="preserve"> a </w:t>
      </w:r>
      <w:r>
        <w:rPr>
          <w:b/>
          <w:noProof/>
        </w:rPr>
        <w:t>Spravedlnost</w:t>
      </w:r>
      <w:r>
        <w:rPr>
          <w:noProof/>
        </w:rPr>
        <w:t xml:space="preserve">. V době, kdy evropské společnosti čelí extremismu, radikalismu a rozkolům, je nanejvýš důležité prosazovat, posilovat a bránit spravedlnost, </w:t>
      </w:r>
      <w:r>
        <w:rPr>
          <w:noProof/>
          <w:sz w:val="23"/>
        </w:rPr>
        <w:t>práva a hodnoty EU</w:t>
      </w:r>
      <w:r>
        <w:rPr>
          <w:noProof/>
        </w:rPr>
        <w:t>:</w:t>
      </w:r>
      <w:r>
        <w:rPr>
          <w:noProof/>
          <w:sz w:val="23"/>
        </w:rPr>
        <w:t xml:space="preserve"> lidská práva, úctu k lidské důstojnosti, svobodu, demokracii, rovnost a právní stát. Bude to m</w:t>
      </w:r>
      <w:r>
        <w:rPr>
          <w:noProof/>
          <w:sz w:val="23"/>
        </w:rPr>
        <w:t>ít zásadní a bezprostřední dopad na politický, sociální, kulturní a hospodářský život v Unii.</w:t>
      </w:r>
      <w:r>
        <w:rPr>
          <w:noProof/>
        </w:rPr>
        <w:t xml:space="preserve"> Jako součást nového fondu program Práva a hodnoty spojí dohromady program Práva, rovnost a občanství na období 2014 až 2020 zavedený nařízením Evropského parlamen</w:t>
      </w:r>
      <w:r>
        <w:rPr>
          <w:noProof/>
        </w:rPr>
        <w:t>tu a Rady (EU) č. 1381/2013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a program Evropa pro občany zavedený nařízením Rady (EU) č. 390/2014</w:t>
      </w:r>
      <w:r>
        <w:rPr>
          <w:rStyle w:val="FootnoteReference"/>
          <w:noProof/>
        </w:rPr>
        <w:footnoteReference w:id="11"/>
      </w:r>
      <w:r>
        <w:rPr>
          <w:noProof/>
        </w:rPr>
        <w:t>. Program Spravedlnost (dále jen „program“) bude i nadále podporovat rozvoj integrovaného evropského prostoru práva a přeshraniční spolupráce, v návaznosti na</w:t>
      </w:r>
      <w:r>
        <w:rPr>
          <w:noProof/>
        </w:rPr>
        <w:t xml:space="preserve"> program Spravedlnost na období 2014–2020 zavedený nařízením Evropského parlamentu a Rady (EU) č. 1381/2013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(dále jen „předchozí program“). </w:t>
      </w:r>
    </w:p>
    <w:p w:rsidR="005D4D04" w:rsidRDefault="00500AC6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Fond pro spravedlnost, práva a hodnoty a jeho dva jednotlivé programy financování se budou zaměřovat přednostn</w:t>
      </w:r>
      <w:r>
        <w:rPr>
          <w:noProof/>
        </w:rPr>
        <w:t>ě na osoby a subjekty, které přispívají k tomu, aby naše společné hodnoty, práva a bohatá rozmanitost byly živoucí a dynamické. Konečným cílem je podpořit a zachovat naši právem se řídící, spravedlivou, inkluzivní a demokratickou společnost. To zahrnuje dy</w:t>
      </w:r>
      <w:r>
        <w:rPr>
          <w:noProof/>
        </w:rPr>
        <w:t xml:space="preserve">namickou občanskou společnost podněcující demokratickou, občanskou a společenskou účast obyvatel a podporování bohaté rozmanitosti evropské společnosti, rovněž na základě naší společné historie a paměti. Článek 11 Smlouvy o EU dále uvádí, že orgány dávají </w:t>
      </w:r>
      <w:r>
        <w:rPr>
          <w:noProof/>
        </w:rPr>
        <w:t>vhodnými způsoby občanům a reprezentativním sdružením možnost projevovat a veřejně vyměňovat své názory na všechny oblasti činnosti Unie.</w:t>
      </w:r>
    </w:p>
    <w:p w:rsidR="005D4D04" w:rsidRDefault="00500AC6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Smlouva o fungování Evropské unie (SFEU) stanoví vytvoření prostoru svobody, bezpečnosti a práva při respektování </w:t>
      </w:r>
      <w:r>
        <w:rPr>
          <w:noProof/>
        </w:rPr>
        <w:t>základních práv a různých právních systémů a tradic členských států. Za tímto účelem může Unie přijímat opatření k rozvoji justiční spolupráce v občanských věcech a justiční spolupráce v trestních věcech a podporovat činnosti členských států v oblasti před</w:t>
      </w:r>
      <w:r>
        <w:rPr>
          <w:noProof/>
        </w:rPr>
        <w:t>cházení trestné činnosti.</w:t>
      </w:r>
      <w:bookmarkStart w:id="28" w:name="OLE_LINK7"/>
      <w:bookmarkStart w:id="29" w:name="OLE_LINK8"/>
      <w:bookmarkEnd w:id="28"/>
      <w:bookmarkEnd w:id="29"/>
      <w:r>
        <w:rPr>
          <w:noProof/>
        </w:rPr>
        <w:t xml:space="preserve"> Při dalším rozvíjení evropského prostoru práva je třeba zajistit dodržování základních práv a obecných zásad a hodnot, jako jsou zákaz diskriminace, rovnost žen a mužů, účinný přístup ke spravedlnosti pro všechny, právní stát a do</w:t>
      </w:r>
      <w:r>
        <w:rPr>
          <w:noProof/>
        </w:rPr>
        <w:t>bře fungující nezávislý systém soudnictví.</w:t>
      </w:r>
    </w:p>
    <w:p w:rsidR="005D4D04" w:rsidRDefault="00500AC6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Financování by mělo zůstat jedním z hlavních nástrojů úspěšného provádění ambiciózních cílů stanovených Smlouvami. Cílů by mělo být dosaženo mimo jiné zavedením flexibilního a účinného programu Spravedlnost, k</w:t>
      </w:r>
      <w:r>
        <w:rPr>
          <w:noProof/>
        </w:rPr>
        <w:t>terý by usnadňoval plánování a provádění těchto cílů.</w:t>
      </w:r>
    </w:p>
    <w:p w:rsidR="005D4D04" w:rsidRDefault="00500AC6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Pro postupné vytváření prostoru svobody, bezpečnosti a práva má Unie přijímat opatření týkající se justiční spolupráce v občanských a trestních věcech založené na zásadě vzájemného uznávání rozsudků</w:t>
      </w:r>
      <w:r>
        <w:rPr>
          <w:noProof/>
        </w:rPr>
        <w:t xml:space="preserve"> a soudních rozhodnutí, která je již od zasedání Evropské rady v Tampere ve dnech 15. a 16. října 1999 základním kamenem justiční spolupráce v rámci Unie. Vzájemné uznávání vyžaduje vysokou úroveň vzájemné důvěry mezi členskými státy.</w:t>
      </w:r>
      <w:r>
        <w:rPr>
          <w:rFonts w:ascii="Arial" w:hAnsi="Arial"/>
          <w:noProof/>
          <w:sz w:val="18"/>
        </w:rPr>
        <w:t xml:space="preserve"> </w:t>
      </w:r>
      <w:r>
        <w:rPr>
          <w:noProof/>
        </w:rPr>
        <w:t>V zájmu usnadnění vzá</w:t>
      </w:r>
      <w:r>
        <w:rPr>
          <w:noProof/>
        </w:rPr>
        <w:t>jemného uznávání a podpoření vzájemné důvěry byla v několika oblastech přijata opatření na sbližování právních předpisů členských států.</w:t>
      </w:r>
      <w:r>
        <w:rPr>
          <w:rFonts w:ascii="Lucida Sans Unicode" w:hAnsi="Lucida Sans Unicode"/>
          <w:noProof/>
          <w:sz w:val="19"/>
        </w:rPr>
        <w:t xml:space="preserve"> </w:t>
      </w:r>
      <w:r>
        <w:rPr>
          <w:noProof/>
        </w:rPr>
        <w:t>Dobře fungující prostor práva, v němž jsou odstraněny překážky bránící přeshraničním soudním řízením a přístupu ke spra</w:t>
      </w:r>
      <w:r>
        <w:rPr>
          <w:noProof/>
        </w:rPr>
        <w:t>vedlnosti v přeshraničních situacích je rovněž klíčový pro zajištění hospodářského růstu.</w:t>
      </w:r>
    </w:p>
    <w:p w:rsidR="005D4D04" w:rsidRDefault="00500AC6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Dodržování zásad právního státu je zásadní pro vysokou úroveň vzájemné důvěry v oblasti spravedlnosti a vnitřních věcí, zejména pro účinnou justiční spolupráci v </w:t>
      </w:r>
      <w:r>
        <w:rPr>
          <w:noProof/>
        </w:rPr>
        <w:t>občanských a trestních věcech, která je založena na vzájemném uznávání. Právní stát je jednou ze společných hodnot zakotvených v článku 2 SEU a zásada účinné právní ochrany stanovená v čl. 19 odst. 1 SEU a článku 47 listiny je konkrétním vyjádřením zásad p</w:t>
      </w:r>
      <w:r>
        <w:rPr>
          <w:noProof/>
        </w:rPr>
        <w:t>rávního státu. Prosazováním právního státu podporou úsilí o zlepšení nezávislosti, kvality a účinnosti vnitrostátních systémů soudnictví posiluje vzájemnou důvěru, která je nezbytná pro justiční spolupráci v občanských a trestních věcech.</w:t>
      </w:r>
    </w:p>
    <w:p w:rsidR="005D4D04" w:rsidRDefault="00500AC6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Podle čl. </w:t>
      </w:r>
      <w:hyperlink r:id="rId18" w:tooltip="Čl. 81 odst. 2 písm. h) Smlouvy o fungování Evropské unie">
        <w:r>
          <w:rPr>
            <w:noProof/>
          </w:rPr>
          <w:t>81 odst. 2 písm. h)</w:t>
        </w:r>
      </w:hyperlink>
      <w:r>
        <w:rPr>
          <w:noProof/>
        </w:rPr>
        <w:t xml:space="preserve"> a čl. </w:t>
      </w:r>
      <w:hyperlink r:id="rId19" w:tooltip="Čl. 82 odst. 1 písm. c) Smlouvy o fungování Evropské unie">
        <w:r>
          <w:rPr>
            <w:noProof/>
          </w:rPr>
          <w:t>82 odst. 1 písm. c)</w:t>
        </w:r>
      </w:hyperlink>
      <w:r>
        <w:rPr>
          <w:noProof/>
        </w:rPr>
        <w:t xml:space="preserve"> Smlouvy o fungování EU podporuje Unie vzdělávání soudců a soudních zaměstnanců jako nástroj pro zlepšení justiční spolupráce v občanských a trestních věcech založené na zá</w:t>
      </w:r>
      <w:r>
        <w:rPr>
          <w:noProof/>
        </w:rPr>
        <w:t>sadě vzájemného uznávání rozsudků a soudních rozhodnutí. Vzdělávání právních odborníků je důležitým nástrojem pro prohlubování vzájemného porozumění o tom, jak nejlépe dodržovat zásady právního státu. Přispěje k vytvoření evropského prostoru práva vytvořen</w:t>
      </w:r>
      <w:r>
        <w:rPr>
          <w:noProof/>
        </w:rPr>
        <w:t>ím společné právní kultury mezi právními odborníky členských států. Je zásadní zajistit správné a soudržné uplatňování práva v Unii a vzájemnou důvěru mezi právními odborníky v přeshraničních řízeních. Vzdělávací aktivity podporované tímto programem by měl</w:t>
      </w:r>
      <w:r>
        <w:rPr>
          <w:noProof/>
        </w:rPr>
        <w:t>y být založeny na řádném posouzení vzdělávacích potřeb, využívat nejmodernější metodiku vzdělávání, zahrnovat přeshraniční akce spojující právní odborníky z různých členských států, sestávat z aktivního učení a prvků pro navazování kontaktů a být udržiteln</w:t>
      </w:r>
      <w:r>
        <w:rPr>
          <w:noProof/>
        </w:rPr>
        <w:t>é.</w:t>
      </w:r>
    </w:p>
    <w:p w:rsidR="005D4D04" w:rsidRDefault="00500AC6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Na justičním vzdělávání se mohou podílet různí aktéři, jako jsou právní, justiční a správní orgány členských států, akademické instituce, vnitrostátní subjekty odpovědné za justiční vzdělávání, organizace nebo sítě poskytující vzdělávání na evropské</w:t>
      </w:r>
      <w:r>
        <w:rPr>
          <w:noProof/>
        </w:rPr>
        <w:t xml:space="preserve"> úrovni či sítě soudních koordinátorů práva Unie. Orgány a subjekty sledující cíl obecného evropského zájmu v oblasti vzdělávání soudců, jako jsou Evropská síť pro justiční vzdělávání, Akademie evropského práva (ERA), Evropská síť rad pro justici (ENCJ), S</w:t>
      </w:r>
      <w:r>
        <w:rPr>
          <w:noProof/>
        </w:rPr>
        <w:t xml:space="preserve">družení státních rad a nejvyšších správních soudů Evropské unie (ACA-Europe), Síť předsedů nejvyšších soudů Evropské unie (RPCSJUE) a Evropský institut veřejné správy (EIPA), by měly i nadále plnit svou úlohu při podpoře vzdělávacích programů pro soudce a </w:t>
      </w:r>
      <w:r>
        <w:rPr>
          <w:noProof/>
        </w:rPr>
        <w:t>soudní zaměstnance, které mají skutečný evropský rozměr, a měla by jim tudíž být poskytována přiměřená finanční podpora v souladu s postupy a kritérii stanovenými v ročních pracovních programech přijatých Komisí podle tohoto nařízení.</w:t>
      </w:r>
    </w:p>
    <w:p w:rsidR="005D4D04" w:rsidRDefault="00500AC6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Program by měl p</w:t>
      </w:r>
      <w:r>
        <w:rPr>
          <w:noProof/>
        </w:rPr>
        <w:t xml:space="preserve">odporovat roční pracovní program Evropské sítě pro justiční vzdělávání, což je zásadní aktér justičního vzdělávání. Evropská sít pro justiční vzdělávání se nachází ve výjimečné situaci, neboť jde o jedinou síť na úrovni Unie sdružující subjekty justičního </w:t>
      </w:r>
      <w:r>
        <w:rPr>
          <w:noProof/>
        </w:rPr>
        <w:t>vzdělávání členských států. Má jedinečné postavení pro organizování výměn nových a zkušených soudců a státních zástupců mezi všemi členskými státy a pro koordinaci činnosti vnitrostátních subjektů justičního vzdělávání, pokud jde o organizování vzdělávacíc</w:t>
      </w:r>
      <w:r>
        <w:rPr>
          <w:noProof/>
        </w:rPr>
        <w:t>h aktivit o právu Unie a propagaci osvědčených vzdělávacích postupů. Evropská síť pro justiční vzdělávání je rovněž poskytovatel vzdělávacích aktivit vynikající kvality poskytovaných nákladově efektivním způsobem na úrovni Unie. Zahrnuje navíc subjekty jus</w:t>
      </w:r>
      <w:r>
        <w:rPr>
          <w:noProof/>
        </w:rPr>
        <w:t>tičního vzdělávání kandidátských zemi jako pozorovatele.</w:t>
      </w:r>
    </w:p>
    <w:p w:rsidR="005D4D04" w:rsidRDefault="00500AC6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Opatření v rámci programu by měla podporovat posílené vzájemné uznávání soudních rozhodnutí a rozsudků a nezbytné sbližování právních předpisů, které usnadní spolupráci mezi příslušnými orgány, </w:t>
      </w:r>
      <w:r>
        <w:rPr>
          <w:noProof/>
        </w:rPr>
        <w:t>včetně finančních zpravodajských jednotek, a soudní ochranu práv jednotlivce v občanských a obchodních věcech. Program by rovněž měl podpořit procesní právní předpisy pro přeshraniční věci a větší konvergenci v občanském právu, která pomůže odstranit překá</w:t>
      </w:r>
      <w:r>
        <w:rPr>
          <w:noProof/>
        </w:rPr>
        <w:t>žky bránící řádnému a účinnému fungování soudních a mimosoudních řízení, z čehož budou těžit všichni účastníci občanskoprávního sporu. Konečně za účelem podpory účinného prosazování a praktického uplatňování práva Unie upravujícího justiční spolupráci v ob</w:t>
      </w:r>
      <w:r>
        <w:rPr>
          <w:noProof/>
        </w:rPr>
        <w:t>čanských věcech by měl program podporovat fungování Evropské soudní sítě pro občanské a obchodní věci vytvořené rozhodnutím Rady 2001/470/ES.</w:t>
      </w:r>
    </w:p>
    <w:p w:rsidR="005D4D04" w:rsidRDefault="00500AC6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Podle čl. 3 odst. 3 SEU, článku 24 listiny a Úmluvy OSN o právech dítěte z roku 1989 by měl program podporova</w:t>
      </w:r>
      <w:r>
        <w:rPr>
          <w:noProof/>
        </w:rPr>
        <w:t>t ochranu práv dítěte a začlenit prosazování práv dítěte při provádění všech jeho opatření.</w:t>
      </w:r>
    </w:p>
    <w:p w:rsidR="005D4D04" w:rsidRDefault="00500AC6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Program na období 2014–2020 umožňoval vzdělávací aktivity o právu Unie, zejména o působnosti a uplatňování listiny zacílené na členy justičních orgánů a jiné p</w:t>
      </w:r>
      <w:r>
        <w:rPr>
          <w:noProof/>
        </w:rPr>
        <w:t xml:space="preserve">rávníky. Ve svých závěrech ze dne 12. října 2017 o uplatňování listiny v roce 2016 Rada připomněla, že je důležité zvyšovat povědomí o uplatňování listiny na úrovni členských států i na úrovni Unie, a to i mezi tvůrci politik, právními odborníky z praxe a </w:t>
      </w:r>
      <w:r>
        <w:rPr>
          <w:noProof/>
        </w:rPr>
        <w:t>samotnými nositeli těchto práv. Pro začleňování základních práv konzistentním způsobem je proto nutné rozšířit finanční podporu na činnosti věnované zvyšování povědomí pro jiné orgány veřejné moci, než jsou justiční orgány a právníci.</w:t>
      </w:r>
    </w:p>
    <w:p w:rsidR="005D4D04" w:rsidRDefault="00500AC6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Podle článku 67 </w:t>
      </w:r>
      <w:r>
        <w:rPr>
          <w:noProof/>
        </w:rPr>
        <w:t>SFEU má Unie tvořit prostor svobody, bezpečnosti a práva při respektování základních práv, pro nějž je zásadní přístup ke spravedlnosti. Za účelem usnadnění účinného přístupu ke spravedlnosti a s cílem podpořit vzájemnou důvěru, která je nezbytná pro řádné</w:t>
      </w:r>
      <w:r>
        <w:rPr>
          <w:noProof/>
        </w:rPr>
        <w:t xml:space="preserve"> fungování prostoru svobody, bezpečnosti a práva, je nutné rozšířit finanční podporu na činnosti jiných orgánů, než jsou justiční orgány a právníci, jakož i na organizace občanské společnosti, které přispívají k těmto cílům.</w:t>
      </w:r>
    </w:p>
    <w:p w:rsidR="005D4D04" w:rsidRDefault="00500AC6"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Podle článků 8 a 10 SFEU b</w:t>
      </w:r>
      <w:r>
        <w:rPr>
          <w:noProof/>
        </w:rPr>
        <w:t>y měl tento program ve všech svých činnostech podporovat zohlednění rovnosti žen a mužů a cílů v oblasti zákazu diskriminace.</w:t>
      </w:r>
    </w:p>
    <w:p w:rsidR="005D4D04" w:rsidRDefault="00500AC6"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Opatření, na něž se vztahuje toto nařízení, by měla přispívat k vytvoření evropského prostoru práva, zdokonalení přeshraniční</w:t>
      </w:r>
      <w:r>
        <w:rPr>
          <w:noProof/>
        </w:rPr>
        <w:t xml:space="preserve"> spolupráce a vytváření sítí a dosažení správného, soudržného a jednotného uplatňování práva Unie. Financované činnosti by rovněž měly přispět ke společnému chápání hodnot Unie, právního státu, lepší znalosti práva a politik Unie, sdílení poznatků a osvědč</w:t>
      </w:r>
      <w:r>
        <w:rPr>
          <w:noProof/>
        </w:rPr>
        <w:t xml:space="preserve">ených postupů při používání nástrojů justiční spolupráce ze strany všech dotčených zúčastněných stran, jakož i k rozšíření interoperabilních digitálních řešení umožňujících hladkou a účinnou přeshraniční spolupráci a měly by poskytovat stabilní analytický </w:t>
      </w:r>
      <w:r>
        <w:rPr>
          <w:noProof/>
        </w:rPr>
        <w:t>základ pro podporu a rozvoj, vymáhání a řádné provádění práva a politik Unie. Intervence Unie umožní, aby tato opatření byla prováděna jednotně v rámci celé Unie a aby přinášela úspory z rozsahu. Kromě toho může Unie lépe než členské státy reagovat na přes</w:t>
      </w:r>
      <w:r>
        <w:rPr>
          <w:noProof/>
        </w:rPr>
        <w:t>hraniční situace a může poskytnout evropskou platformu pro vzájemné čerpání zkušeností.</w:t>
      </w:r>
    </w:p>
    <w:p w:rsidR="005D4D04" w:rsidRDefault="00500AC6"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Komise by měla zajistit celkový soulad, doplňkovost a součinnost s prací institucí a jiných subjektů Unie, jako je Eurojust, eu-LISA a Úřad evropského veřejného ža</w:t>
      </w:r>
      <w:r>
        <w:rPr>
          <w:noProof/>
        </w:rPr>
        <w:t>lobce a měla by zhodnotit práci dalších vnitrostátních a mezinárodních aktérů v oblastech, na něž se program vztahuje.</w:t>
      </w:r>
    </w:p>
    <w:p w:rsidR="005D4D04" w:rsidRDefault="00500AC6"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Je nezbytné zajistit evropskou přidanou hodnotu všech opatření a činností prováděných v rámci programu, jejich doplňkovost s činnost</w:t>
      </w:r>
      <w:r>
        <w:rPr>
          <w:noProof/>
        </w:rPr>
        <w:t xml:space="preserve">mi členských států a jejich soulad s ostatními činnostmi Unie. Aby se zajistilo účinné přidělování finančních prostředků ze souhrnného rozpočtu Unie, je zapotřebí dodržovat celkový soulad, doplňkovost a součinnost mezi finančními programy, které podporují </w:t>
      </w:r>
      <w:r>
        <w:rPr>
          <w:noProof/>
        </w:rPr>
        <w:t>vzájemně související oblasti politiky, a to zejména v rámci Fondu pro spravedlnost, práva a hodnoty – a tudíž s programem Práva a hodnoty – a mezi programem a programem pro jednotný trh, správou hranic a bezpečností, zejména Azylovým, migračním a integračn</w:t>
      </w:r>
      <w:r>
        <w:rPr>
          <w:noProof/>
        </w:rPr>
        <w:t>ím fondem (AMIF) a Fondem pro vnitřní bezpečnost, strategickou infrastrukturou a zejména programem Digitální Evropa, programem Erasmus+, rámcovým programem pro výzkum a inovace a nástrojem předvstupní pomoci a nařízením LIFE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 w:rsidR="005D4D04" w:rsidRDefault="00500AC6"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Toto nařízení stanoví fi</w:t>
      </w:r>
      <w:r>
        <w:rPr>
          <w:noProof/>
        </w:rPr>
        <w:t>nanční krytí programu Spravedlnost, které má představovat hlavní referenční částku ve smyslu [bodu 17 interinstitucionální dohody ze dne 2. prosince 2013 mezi Evropským parlamentem, Radou a Komisí o rozpočtové kázni, spolupráci v rozpočtových záležitostech</w:t>
      </w:r>
      <w:r>
        <w:rPr>
          <w:noProof/>
        </w:rPr>
        <w:t xml:space="preserve"> a řádném finančním řízení</w:t>
      </w:r>
      <w:r>
        <w:rPr>
          <w:rStyle w:val="FootnoteReference"/>
          <w:noProof/>
        </w:rPr>
        <w:footnoteReference w:id="14"/>
      </w:r>
      <w:r>
        <w:rPr>
          <w:noProof/>
        </w:rPr>
        <w:t>] pro Evropský parlament a Radu během ročního rozpočtového procesu.</w:t>
      </w:r>
    </w:p>
    <w:p w:rsidR="005D4D04" w:rsidRDefault="00500AC6"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Na tento program se vztahuje nařízení (EU, Euratom) č. [</w:t>
      </w:r>
      <w:r>
        <w:t>nové finanční nařízení</w:t>
      </w:r>
      <w:r>
        <w:rPr>
          <w:noProof/>
        </w:rPr>
        <w:t xml:space="preserve">] („finanční nařízení“). Stanoví pravidla pro plnění rozpočtu Unie, včetně </w:t>
      </w:r>
      <w:r>
        <w:rPr>
          <w:noProof/>
        </w:rPr>
        <w:t>pravidel týkajících se grantů, cen, zadávání veřejných zakázek, nepřímého plnění, , finančních nástrojů a rozpočtových záruk.</w:t>
      </w:r>
    </w:p>
    <w:p w:rsidR="005D4D04" w:rsidRDefault="00500AC6">
      <w:pPr>
        <w:pStyle w:val="ManualConsidrant"/>
        <w:rPr>
          <w:noProof/>
          <w:color w:val="008000"/>
        </w:rPr>
      </w:pPr>
      <w:r>
        <w:t>(21)</w:t>
      </w:r>
      <w:r>
        <w:tab/>
      </w:r>
      <w:r>
        <w:rPr>
          <w:noProof/>
        </w:rPr>
        <w:t>Druhy financování a způsoby provádění podle tohoto nařízení by se měly vybírat na základě toho, nakolik jsou schopny dosáhnou</w:t>
      </w:r>
      <w:r>
        <w:rPr>
          <w:noProof/>
        </w:rPr>
        <w:t>t specifických cílů opatření a přinést výsledky, přičemž se přihlíží zejména k nákladům na kontrolní opatření, administrativní zátěži a očekávanému riziku nesouladu. Mělo by to zahrnovat zvážení použití jednorázových částek, paušální sazeb a jednotkových n</w:t>
      </w:r>
      <w:r>
        <w:rPr>
          <w:noProof/>
        </w:rPr>
        <w:t xml:space="preserve">ákladů, jakož i financování nesouvisejícího s náklady, jak je uvedeno v čl. 125 odst. 1 finančního nařízení. </w:t>
      </w:r>
    </w:p>
    <w:p w:rsidR="005D4D04" w:rsidRDefault="00500AC6">
      <w:pPr>
        <w:pStyle w:val="ManualConsidrant"/>
        <w:rPr>
          <w:noProof/>
          <w:color w:val="008000"/>
        </w:rPr>
      </w:pPr>
      <w:r>
        <w:t>(22)</w:t>
      </w:r>
      <w:r>
        <w:tab/>
      </w:r>
      <w:r>
        <w:rPr>
          <w:noProof/>
        </w:rPr>
        <w:t>V souladu s finančním nařízením, nařízením Evropského parlamentu a Rady (EU, Euratom) č. 883/2013</w:t>
      </w:r>
      <w:r>
        <w:rPr>
          <w:rStyle w:val="FootnoteReference"/>
          <w:noProof/>
        </w:rPr>
        <w:footnoteReference w:id="15"/>
      </w:r>
      <w:r>
        <w:rPr>
          <w:noProof/>
        </w:rPr>
        <w:t>, nařízením Rady (ES, Euratom) č. 2988/95</w:t>
      </w:r>
      <w:r>
        <w:rPr>
          <w:rStyle w:val="FootnoteReference"/>
          <w:noProof/>
        </w:rPr>
        <w:footnoteReference w:id="16"/>
      </w:r>
      <w:r>
        <w:rPr>
          <w:noProof/>
        </w:rPr>
        <w:t>,</w:t>
      </w:r>
      <w:r>
        <w:rPr>
          <w:noProof/>
        </w:rPr>
        <w:t xml:space="preserve"> nařízením Rady (Euratom, ES) č. 2185/96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a nařízením Rady (EU) 2017/1939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mají být finanční zájmy Unie chráněny prostřednictvím přiměřených opatření, včetně prevence, odhalování, nápravy a vyšetřování nesrovnalostí a podvodů, zpětného získávání ztracených</w:t>
      </w:r>
      <w:r>
        <w:rPr>
          <w:noProof/>
        </w:rPr>
        <w:t>, neoprávněně vyplacených či nesprávně použitých finančních prostředků a případného ukládání správních sankcí. Zejména může Evropský úřad pro boj proti podvodům (OLAF) provádět v souladu s nařízením (EU, Euratom) č. 883/2013 a nařízením (Euratom, ES) č. 21</w:t>
      </w:r>
      <w:r>
        <w:rPr>
          <w:noProof/>
        </w:rPr>
        <w:t>85/96 správní vyšetřování, včetně kontrol a inspekcí na místě, aby zjistil, zda nedošlo k podvodu, korupci nebo jinému protiprávnímu jednání poškozujícímu finanční zájmy Unie. V souladu s nařízením (EU) 2017/1939 může Úřad evropského veřejného žalobce vyše</w:t>
      </w:r>
      <w:r>
        <w:rPr>
          <w:noProof/>
        </w:rPr>
        <w:t>třovat a stíhat podvody a jiné trestné činy poškozující finanční zájmy Unie, jak je stanoveno ve směrnici Evropského parlamentu a Rady (EU) 2017/1371</w:t>
      </w:r>
      <w:r>
        <w:rPr>
          <w:rStyle w:val="FootnoteReference"/>
          <w:noProof/>
        </w:rPr>
        <w:footnoteReference w:id="19"/>
      </w:r>
      <w:r>
        <w:rPr>
          <w:noProof/>
        </w:rPr>
        <w:t>. V souladu s finančním nařízením musí všechny osoby nebo subjekty, které přijímají finanční prostředky Un</w:t>
      </w:r>
      <w:r>
        <w:rPr>
          <w:noProof/>
        </w:rPr>
        <w:t xml:space="preserve">ie, plně spolupracovat při ochraně finančních zájmů Unie, udělit Komisi, úřadu OLAF, Úřadu evropského veřejného žalobce a Evropskému účetnímu dvoru (EÚD) nezbytná práva a potřebný přístup a zajistit, aby třetí osoby podílející se na vynakládání finančních </w:t>
      </w:r>
      <w:r>
        <w:rPr>
          <w:noProof/>
        </w:rPr>
        <w:t>prostředků Unie udělily rovnocenná práva.</w:t>
      </w:r>
    </w:p>
    <w:p w:rsidR="005D4D04" w:rsidRDefault="00500AC6"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Třetí země, které jsou členy Evropského hospodářského prostoru (EHP), se mohou účastnit programů Unie v rámci spolupráce zavedené podle Dohody o EHP, která stanoví provádění programů na základě rozhodnutí přij</w:t>
      </w:r>
      <w:r>
        <w:rPr>
          <w:noProof/>
        </w:rPr>
        <w:t>atého podle uvedené dohody. Třetí země se mohou programu rovněž zúčastnit na základě jiných právních nástrojů. Toto nařízení by mělo obsahovat zvláštní ustanovení za účelem udělení nezbytných práv a přístupu příslušné schvalující osobě, Evropskému úřadu pr</w:t>
      </w:r>
      <w:r>
        <w:rPr>
          <w:noProof/>
        </w:rPr>
        <w:t>o boj proti podvodům (OLAF), Evropskému účetnímu dvoru, aby mohly komplexně vykonávat své pravomoci.</w:t>
      </w:r>
    </w:p>
    <w:p w:rsidR="005D4D04" w:rsidRDefault="00500AC6">
      <w:pPr>
        <w:pStyle w:val="ManualConsidrant"/>
      </w:pPr>
      <w:bookmarkStart w:id="30" w:name="OLE_LINK39"/>
      <w:bookmarkStart w:id="31" w:name="OLE_LINK40"/>
      <w:r>
        <w:rPr>
          <w:noProof/>
        </w:rPr>
        <w:t xml:space="preserve">Na toto nařízení se vztahují horizontální finanční pravidla přijatá Evropským parlamentem a Radou na základě článku 322 Smlouvy o fungování Evropské unie. </w:t>
      </w:r>
      <w:r>
        <w:rPr>
          <w:noProof/>
        </w:rPr>
        <w:t>Tato pravidla jsou stanovena ve finančním nařízení a určují zejména postup sestavování a plnění rozpočtu prostřednictvím grantů, zadávání veřejných zakázek, cen, nepřímého plnění a kontrolu odpovědnosti účastníků finančních operací. Pravidla přijatá na zák</w:t>
      </w:r>
      <w:r>
        <w:rPr>
          <w:noProof/>
        </w:rPr>
        <w:t xml:space="preserve">ladě článku 322 SFEU se rovněž týkají ochrany rozpočtu Unie v případě všeobecných nedostatků týkajících se právního státu v členských státech, neboť dodržování právního státu je základní podmínkou řádného finančního řízení a efektivního financování z EU. </w:t>
      </w:r>
    </w:p>
    <w:p w:rsidR="005D4D04" w:rsidRDefault="00500AC6"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 xml:space="preserve"> </w:t>
      </w:r>
      <w:bookmarkEnd w:id="30"/>
      <w:bookmarkEnd w:id="31"/>
      <w:r>
        <w:rPr>
          <w:noProof/>
        </w:rPr>
        <w:t>Podle [článku 94 rozhodnutí Rady 2013/755/EU</w:t>
      </w:r>
      <w:r>
        <w:rPr>
          <w:rStyle w:val="FootnoteReference"/>
          <w:noProof/>
        </w:rPr>
        <w:footnoteReference w:id="20"/>
      </w:r>
      <w:r>
        <w:rPr>
          <w:noProof/>
        </w:rPr>
        <w:t>] jsou osoby a subjekty usazené v zámořských zemích a územích způsobilé k získání finančních prostředků s výhradou pravidel a cílů programu a případných režimů použitelných na členský stát, s nímž je přísl</w:t>
      </w:r>
      <w:r>
        <w:rPr>
          <w:noProof/>
        </w:rPr>
        <w:t>ušná zámořská země nebo území spojeno.</w:t>
      </w:r>
    </w:p>
    <w:p w:rsidR="005D4D04" w:rsidRDefault="00500AC6"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Vzhledem k významu boje proti změnám klimatu v souladu se závazky Unie provést Pařížskou dohodu a cíle OSN v oblasti udržitelného rozvoje přispěje tento program k tomu, aby se opatření v oblasti klimatu stala výz</w:t>
      </w:r>
      <w:r>
        <w:rPr>
          <w:noProof/>
        </w:rPr>
        <w:t>namným tématem a dosáhlo se celkového cíle, že 25 % výdajů z rozpočtu Unie bude směřovat na podporu cílů souvisejících s touto problematikou. Během přípravy a provádění programu budou identifikována relevantní opatření a budou znovu posouzena v souvislosti</w:t>
      </w:r>
      <w:r>
        <w:rPr>
          <w:noProof/>
        </w:rPr>
        <w:t xml:space="preserve"> s hodnocením v polovině období.</w:t>
      </w:r>
    </w:p>
    <w:p w:rsidR="005D4D04" w:rsidRDefault="00500AC6"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Podle odstavců 22 a 23 interinstitucionální dohody o zdokonalení tvorby právních předpisů ze dne 13. dubna 2016 existuje potřeba hodnotit tento program na základě informací shromážděných prostřednictvím zvláštních moni</w:t>
      </w:r>
      <w:r>
        <w:rPr>
          <w:noProof/>
        </w:rPr>
        <w:t>torovacích požadavků a zároveň omezit nadměrnou regulaci a administrativní zátěž, a to zejména pro členské státy. Tyto požadavky mohou případně zahrnovat měřitelné ukazatele jako základ pro hodnocení praktických účinků programu.</w:t>
      </w:r>
    </w:p>
    <w:p w:rsidR="005D4D04" w:rsidRDefault="00500AC6"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Za účelem zajištění je</w:t>
      </w:r>
      <w:r>
        <w:rPr>
          <w:noProof/>
        </w:rPr>
        <w:t>dnotných podmínek k provedení tohoto nařízení by měla být na Komisi přenesena pravomoc přijímat akty v souladu s článkem 290 Smlouvy o fungování Evropské unie, pokud jde o ukazatele uvedené v článcích 12 a 14 a v příloze II. Je obzvláště důležité, aby Komi</w:t>
      </w:r>
      <w:r>
        <w:rPr>
          <w:noProof/>
        </w:rPr>
        <w:t>se v rámci přípravné činnosti vedla odpovídající konzultace, a to i na odborné úrovni, a aby tyto konzultace probíhaly v souladu se zásadami stanovenými v interinstitucionální dohodě ze dne 13. dubna 2016 o zdokonalení tvorby právních předpisů. Pro zajiště</w:t>
      </w:r>
      <w:r>
        <w:rPr>
          <w:noProof/>
        </w:rPr>
        <w:t>ní rovné účasti na vypracovávání aktů v přenesené pravomoci obdrží Evropský parlament a Rada veškeré dokumenty současně s odborníky z členských států a jejich odborníci mají automaticky přístup na setkání skupin odborníků Komise, jež se věnují přípravě akt</w:t>
      </w:r>
      <w:r>
        <w:rPr>
          <w:noProof/>
        </w:rPr>
        <w:t>ů v přenesené pravomoci.</w:t>
      </w:r>
    </w:p>
    <w:p w:rsidR="005D4D04" w:rsidRDefault="00500AC6">
      <w:pPr>
        <w:pStyle w:val="ManualConsidrant"/>
        <w:rPr>
          <w:noProof/>
          <w:color w:val="008000"/>
        </w:rPr>
      </w:pPr>
      <w:r>
        <w:t>(29)</w:t>
      </w:r>
      <w:r>
        <w:tab/>
      </w:r>
      <w:r>
        <w:rPr>
          <w:noProof/>
        </w:rPr>
        <w:t>Za účelem zajištění jednotných podmínek k provedení tohoto nařízení by měly být Komisi svěřeny prováděcí pravomoci. Tyto pravomoci by měly být vykonávány v souladu s nařízením Evropského parlamentu a Rady (EU) č. 182/2011</w:t>
      </w:r>
      <w:r>
        <w:rPr>
          <w:rStyle w:val="FootnoteReference"/>
          <w:noProof/>
        </w:rPr>
        <w:footnoteReference w:id="21"/>
      </w:r>
      <w:r>
        <w:rPr>
          <w:noProof/>
        </w:rPr>
        <w:t>.</w:t>
      </w:r>
    </w:p>
    <w:p w:rsidR="005D4D04" w:rsidRDefault="00500AC6">
      <w:pPr>
        <w:pStyle w:val="ManualConsidrant"/>
        <w:rPr>
          <w:noProof/>
        </w:rPr>
      </w:pPr>
      <w:r>
        <w:t>(3</w:t>
      </w:r>
      <w:r>
        <w:t>0)</w:t>
      </w:r>
      <w:r>
        <w:tab/>
      </w:r>
      <w:r>
        <w:rPr>
          <w:noProof/>
        </w:rPr>
        <w:t>V souladu s články 1 a 2 Protokolu č. 22 o postavení Dánska, připojeného ke Smlouvě o Evropské unii a ke Smlouvě o fungování Evropské unie, se Dánsko neúčastní přijímání tohoto nařízení a toto nařízení pro něj není závazné ani použitelné.</w:t>
      </w:r>
    </w:p>
    <w:p w:rsidR="005D4D04" w:rsidRDefault="00500AC6"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>[V soulad</w:t>
      </w:r>
      <w:r>
        <w:rPr>
          <w:noProof/>
        </w:rPr>
        <w:t>u s článkem 3 a čl. 4a odst. 1 Protokolu č. 21 o postavení Spojeného království a Irska s ohledem na prostor svobody, bezpečnosti a práva, připojeného ke Smlouvě o Evropské unii a ke Smlouvě o fungování Evropské unie, oznámilo Irsko (dopisem ze dne ...) sv</w:t>
      </w:r>
      <w:r>
        <w:rPr>
          <w:noProof/>
        </w:rPr>
        <w:t xml:space="preserve">é přání účastnit se přijímání a používání tohoto nařízení, NEBO </w:t>
      </w:r>
    </w:p>
    <w:p w:rsidR="005D4D04" w:rsidRDefault="00500AC6">
      <w:pPr>
        <w:shd w:val="clear" w:color="auto" w:fill="FFFFFF" w:themeFill="background1"/>
        <w:ind w:left="709"/>
        <w:rPr>
          <w:noProof/>
        </w:rPr>
      </w:pPr>
      <w:r>
        <w:rPr>
          <w:noProof/>
        </w:rPr>
        <w:t>[</w:t>
      </w:r>
      <w:r>
        <w:rPr>
          <w:i/>
          <w:noProof/>
        </w:rPr>
        <w:t>V souladu s články 1 a 2 a čl. 4a odst. 1 Protokolu č. 21 o postavení Spojeného království a Irska s ohledem na prostor svobody, bezpečnosti a práva, připojeného ke Smlouvě o Evropské unii a</w:t>
      </w:r>
      <w:r>
        <w:rPr>
          <w:i/>
          <w:noProof/>
        </w:rPr>
        <w:t> ke Smlouvě o fungování Evropské unie, a aniž je dotčen článek 4 uvedeného protokolu, se Irsko neúčastní přijímání tohoto nařízení a toto nařízení pro ně není závazné ani použitelné,</w:t>
      </w:r>
      <w:r>
        <w:rPr>
          <w:noProof/>
        </w:rPr>
        <w:t>]</w:t>
      </w:r>
    </w:p>
    <w:p w:rsidR="005D4D04" w:rsidRDefault="00500AC6">
      <w:pPr>
        <w:pStyle w:val="Formuledadoption"/>
        <w:rPr>
          <w:noProof/>
        </w:rPr>
      </w:pPr>
      <w:r>
        <w:rPr>
          <w:noProof/>
        </w:rPr>
        <w:t>PŘIJALY TOTO NAŘÍZENÍ:</w:t>
      </w:r>
    </w:p>
    <w:p w:rsidR="005D4D04" w:rsidRDefault="00500AC6">
      <w:pPr>
        <w:pStyle w:val="SectionTitle"/>
        <w:shd w:val="clear" w:color="auto" w:fill="FFFFFF" w:themeFill="background1"/>
        <w:rPr>
          <w:noProof/>
        </w:rPr>
      </w:pPr>
      <w:r>
        <w:rPr>
          <w:noProof/>
        </w:rPr>
        <w:t>Kapitola I</w:t>
      </w:r>
      <w:r>
        <w:rPr>
          <w:noProof/>
        </w:rPr>
        <w:br/>
        <w:t>Obecná ustanovení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</w:t>
      </w:r>
      <w:r>
        <w:rPr>
          <w:noProof/>
        </w:rPr>
        <w:br/>
        <w:t>Předmět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Tot</w:t>
      </w:r>
      <w:r>
        <w:rPr>
          <w:noProof/>
        </w:rPr>
        <w:t>o nařízení zavádí program Spravedlnost (dále jen „program“).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 xml:space="preserve">Stanoví cíle programu, rozpočet na období 2021–2027, formy financování z prostředků Unie a pravidla pro poskytování tohoto financování.  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2</w:t>
      </w:r>
      <w:r>
        <w:rPr>
          <w:noProof/>
        </w:rPr>
        <w:br/>
        <w:t>Definice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Pro účely tohoto nařízení se použijí ty</w:t>
      </w:r>
      <w:r>
        <w:rPr>
          <w:noProof/>
        </w:rPr>
        <w:t>to definice: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„soudci a soudními zaměstnanci“ se rozumí soudci, státní zástupci a soudní úředníci, jakož i jiní právní odborníci spojení se soudnictvím, jako jsou advokáti, notáři, soudní vykonavatelé nebo exekutoři, insolvenční správci, mediátoři a soud</w:t>
      </w:r>
      <w:r>
        <w:rPr>
          <w:noProof/>
        </w:rPr>
        <w:t>ní tlumočníci a překladatelé, soudní znalci, vězeňský personál a probační úředníci.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3</w:t>
      </w:r>
      <w:r>
        <w:rPr>
          <w:noProof/>
        </w:rPr>
        <w:br/>
        <w:t>Cíle programu</w:t>
      </w:r>
    </w:p>
    <w:p w:rsidR="005D4D04" w:rsidRDefault="00500AC6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>Obecným cílem programu je přispět k dalšímu rozvoji evropského prostoru práva založeného na právním státu, vzájemném uznávání a vzájemné důvěře.</w:t>
      </w:r>
    </w:p>
    <w:p w:rsidR="005D4D04" w:rsidRDefault="00500AC6">
      <w:pPr>
        <w:pStyle w:val="ManualNumPar1"/>
        <w:rPr>
          <w:noProof/>
          <w:szCs w:val="24"/>
        </w:rPr>
      </w:pPr>
      <w:r>
        <w:t>2</w:t>
      </w:r>
      <w:r>
        <w:t>.</w:t>
      </w:r>
      <w:r>
        <w:tab/>
      </w:r>
      <w:r>
        <w:rPr>
          <w:noProof/>
        </w:rPr>
        <w:t>Program má tyto specifické cíle, jejichž podrobný popis je stanoven v příloze I: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usnadňovat a podporovat justiční spolupráci v občanských a trestních věcech a prosazovat právní stát mimo jiné podporou úsilí o zlepšení účinnosti vnitrostátních systémů </w:t>
      </w:r>
      <w:r>
        <w:rPr>
          <w:noProof/>
        </w:rPr>
        <w:t>soudnictví a výkonu rozhodnutí;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podporovat a prosazovat justiční vzdělávání s cílem podpořit společnou kulturu práva, justice a právního státu;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usnadňovat účinný přístup ke spravedlnosti pro všechny a účinnou právní ochranu, mimo jiné elektronickými </w:t>
      </w:r>
      <w:r>
        <w:rPr>
          <w:noProof/>
        </w:rPr>
        <w:t>prostředky, podporováním efektivních občanských a trestních řízení a prosazováním a podporováním práv obětí trestných činů, jakož i procesních práv podezřelých a obviněných osob v trestním řízení.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4</w:t>
      </w:r>
      <w:r>
        <w:rPr>
          <w:noProof/>
        </w:rPr>
        <w:br/>
        <w:t>Rozpočet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Finanční krytí pro provádění programu </w:t>
      </w:r>
      <w:r>
        <w:rPr>
          <w:noProof/>
        </w:rPr>
        <w:t>na období 2021–2027 činí [305 000 000] EUR v běžných cenách.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Částku uvedenou v odstavci 1 lze použít na technickou a správní pomoc určenou pro provádění programu, jako jsou přípravné, monitorovací, kontrolní, auditní a hodnoticí činnosti, včetně systémů</w:t>
      </w:r>
      <w:r>
        <w:rPr>
          <w:noProof/>
        </w:rPr>
        <w:t xml:space="preserve"> informačních technologií na úrovni organizace.</w:t>
      </w:r>
    </w:p>
    <w:p w:rsidR="005D4D04" w:rsidRDefault="00500AC6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Aniž je dotčeno finanční nařízení, mohou být výdaje na opatření z projektů zařazených do prvního pracovního programu způsobilé od 1. ledna 2021.</w:t>
      </w:r>
    </w:p>
    <w:p w:rsidR="005D4D04" w:rsidRDefault="00500AC6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Do programu mohou být na žádost členských států převedeny</w:t>
      </w:r>
      <w:r>
        <w:rPr>
          <w:noProof/>
        </w:rPr>
        <w:t xml:space="preserve"> zdroje, jež jim byly přiděleny v rámci sdíleného řízení. Komise tyto zdroje vynakládá přímo v souladu s čl. 62 odst. 1 písm. a) finančního nařízení, nebo nepřímo v souladu s čl. 62 odst. 1 písm. c). Tyto zdroje se pokud možno použijí ve prospěch dotčeného</w:t>
      </w:r>
      <w:r>
        <w:rPr>
          <w:noProof/>
        </w:rPr>
        <w:t xml:space="preserve"> členského státu.</w:t>
      </w:r>
    </w:p>
    <w:p w:rsidR="005D4D04" w:rsidRDefault="005D4D04">
      <w:pPr>
        <w:pStyle w:val="Text1"/>
        <w:rPr>
          <w:noProof/>
        </w:rPr>
      </w:pP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5</w:t>
      </w:r>
      <w:r>
        <w:rPr>
          <w:noProof/>
        </w:rPr>
        <w:br/>
        <w:t>Třetí země přidružené k programu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Program je otevřen těmto třetím zemím: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členové Evropského sdružení volného obchodu (ESVO), kteří jsou členy Evropského hospodářského prostoru (EHP), v souladu s podmínkami stanovenými v Dohodě</w:t>
      </w:r>
      <w:r>
        <w:rPr>
          <w:noProof/>
        </w:rPr>
        <w:t xml:space="preserve"> o EHP;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přistupující země, kandidáti a potenciální kandidáti v souladu s obecnými zásadami a obecnými podmínkami pro účast těchto zemí v programech Unie stanovených v příslušných rámcových dohodách a rozhodnutích Rady přidružení nebo obdobných dohodách </w:t>
      </w:r>
      <w:r>
        <w:rPr>
          <w:noProof/>
        </w:rPr>
        <w:t>a v souladu se zvláštními podmínkami stanovenými v dohodách mezi Unií a těmito zeměmi;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země, na něž se vztahuje evropská politika sousedství, v souladu s obecnými zásadami a obecnými podmínkami pro účast těchto zemí v programech Unie stanovených v přísl</w:t>
      </w:r>
      <w:r>
        <w:rPr>
          <w:noProof/>
        </w:rPr>
        <w:t>ušných rámcových dohodách a rozhodnutích Rady přidružení nebo obdobných dohodách a v souladu se zvláštními podmínkami stanovenými v dohodách mezi Unií a těmito zeměmi;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jiné třetí země v souladu s podmínkami stanovenými ve specifických dohodách upravujíc</w:t>
      </w:r>
      <w:r>
        <w:rPr>
          <w:noProof/>
        </w:rPr>
        <w:t>ích účast této třetí země na jakémkoliv programu Unie, pokud dohoda</w:t>
      </w:r>
    </w:p>
    <w:p w:rsidR="005D4D04" w:rsidRDefault="00500AC6">
      <w:pPr>
        <w:pStyle w:val="Point2"/>
        <w:rPr>
          <w:noProof/>
        </w:rPr>
      </w:pPr>
      <w:r>
        <w:rPr>
          <w:noProof/>
        </w:rPr>
        <w:t>–</w:t>
      </w:r>
      <w:r>
        <w:rPr>
          <w:noProof/>
        </w:rPr>
        <w:tab/>
        <w:t>zajišťuje spravedlivou rovnováhu, pokud jde o příspěvky a výhody třetí země účastnící se programů Unie,</w:t>
      </w:r>
    </w:p>
    <w:p w:rsidR="005D4D04" w:rsidRDefault="00500AC6">
      <w:pPr>
        <w:pStyle w:val="Point2"/>
        <w:rPr>
          <w:noProof/>
        </w:rPr>
      </w:pPr>
      <w:r>
        <w:rPr>
          <w:noProof/>
        </w:rPr>
        <w:t>–</w:t>
      </w:r>
      <w:r>
        <w:rPr>
          <w:noProof/>
        </w:rPr>
        <w:tab/>
        <w:t>stanoví podmínky účasti v programech Unie, včetně výpočtu finančních příspěvků k</w:t>
      </w:r>
      <w:r>
        <w:rPr>
          <w:noProof/>
        </w:rPr>
        <w:t xml:space="preserve"> jednotlivým programům a jejich správních nákladů. Tyto příspěvky představují účelově vázané příjmy v souladu s [čl. 21 odst. 5] [nového finančního nařízení],</w:t>
      </w:r>
    </w:p>
    <w:p w:rsidR="005D4D04" w:rsidRDefault="00500AC6">
      <w:pPr>
        <w:pStyle w:val="Point2"/>
        <w:rPr>
          <w:noProof/>
        </w:rPr>
      </w:pPr>
      <w:r>
        <w:rPr>
          <w:noProof/>
        </w:rPr>
        <w:t>–</w:t>
      </w:r>
      <w:r>
        <w:rPr>
          <w:noProof/>
        </w:rPr>
        <w:tab/>
        <w:t>nepřiznává dané třetí zemi rozhodovací pravomoc ohledně programu,</w:t>
      </w:r>
    </w:p>
    <w:p w:rsidR="005D4D04" w:rsidRDefault="00500AC6">
      <w:pPr>
        <w:pStyle w:val="Point2"/>
        <w:rPr>
          <w:noProof/>
        </w:rPr>
      </w:pPr>
      <w:r>
        <w:rPr>
          <w:noProof/>
        </w:rPr>
        <w:t>–</w:t>
      </w:r>
      <w:r>
        <w:rPr>
          <w:noProof/>
        </w:rPr>
        <w:tab/>
        <w:t>zaručuje práva Unie na zaji</w:t>
      </w:r>
      <w:r>
        <w:rPr>
          <w:noProof/>
        </w:rPr>
        <w:t>štění řádného finančního řízení a ochrany jejích finančních zájmů.</w:t>
      </w:r>
    </w:p>
    <w:p w:rsidR="005D4D04" w:rsidRDefault="005D4D04">
      <w:pPr>
        <w:pStyle w:val="Text1"/>
        <w:rPr>
          <w:noProof/>
        </w:rPr>
      </w:pP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6</w:t>
      </w:r>
      <w:r>
        <w:rPr>
          <w:noProof/>
        </w:rPr>
        <w:br/>
        <w:t>Provádění a formy financování z prostředků EU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Program se provádí v rámci přímého řízení v souladu s finančním nařízením nebo v rámci nepřímého řízení společně se subjekty uvede</w:t>
      </w:r>
      <w:r>
        <w:rPr>
          <w:noProof/>
        </w:rPr>
        <w:t>nými v čl. 61 odst. 1 písm. c) finančního nařízení.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Program může poskytovat financování jednou z forem stanovených ve finančním nařízení.</w:t>
      </w:r>
    </w:p>
    <w:p w:rsidR="005D4D04" w:rsidRDefault="00500AC6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[Příspěvky do vzájemného pojišťovacího mechanismu mohou pokrývat rizika spojená se zpětným získáváním prostředků</w:t>
      </w:r>
      <w:r>
        <w:rPr>
          <w:noProof/>
        </w:rPr>
        <w:t xml:space="preserve"> dlužných příjemci a lze je považovat za dostatečnou záruku podle finančního nařízení. Použijí se ustanovení stanovená v [článku X] nařízení XXX [nástupce nařízení o záručním fondu]].</w:t>
      </w:r>
    </w:p>
    <w:p w:rsidR="005D4D04" w:rsidRDefault="00500AC6">
      <w:pPr>
        <w:pStyle w:val="Titrearticle"/>
        <w:rPr>
          <w:noProof/>
        </w:rPr>
      </w:pPr>
      <w:r>
        <w:rPr>
          <w:noProof/>
        </w:rPr>
        <w:t>Článek 7</w:t>
      </w:r>
      <w:r>
        <w:rPr>
          <w:noProof/>
        </w:rPr>
        <w:br/>
        <w:t>Druhy opatření</w:t>
      </w:r>
    </w:p>
    <w:p w:rsidR="005D4D04" w:rsidRDefault="00500AC6">
      <w:pPr>
        <w:rPr>
          <w:noProof/>
        </w:rPr>
      </w:pPr>
      <w:r>
        <w:rPr>
          <w:noProof/>
        </w:rPr>
        <w:t>Opatření přispívající k dosažení specifického cí</w:t>
      </w:r>
      <w:r>
        <w:rPr>
          <w:noProof/>
        </w:rPr>
        <w:t>le uvedeného v článku 3 mohou být financována podle tohoto nařízení. Pro financování jsou způsobilé zejména činnosti uvedené v příloze I.</w:t>
      </w:r>
    </w:p>
    <w:p w:rsidR="005D4D04" w:rsidRDefault="00500AC6">
      <w:pPr>
        <w:pStyle w:val="SectionTitle"/>
        <w:shd w:val="clear" w:color="auto" w:fill="FFFFFF" w:themeFill="background1"/>
        <w:rPr>
          <w:noProof/>
        </w:rPr>
      </w:pPr>
      <w:r>
        <w:rPr>
          <w:noProof/>
        </w:rPr>
        <w:t>Kapitola II</w:t>
      </w:r>
      <w:r>
        <w:rPr>
          <w:noProof/>
        </w:rPr>
        <w:br/>
        <w:t>Granty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8</w:t>
      </w:r>
      <w:r>
        <w:rPr>
          <w:noProof/>
        </w:rPr>
        <w:br/>
        <w:t>Granty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Granty v rámci programu se udělují a spravují v souladu s hlavou VIII finančního</w:t>
      </w:r>
      <w:r>
        <w:rPr>
          <w:noProof/>
        </w:rPr>
        <w:t xml:space="preserve"> nařízení.</w:t>
      </w:r>
    </w:p>
    <w:p w:rsidR="005D4D04" w:rsidRDefault="00500AC6">
      <w:pPr>
        <w:pStyle w:val="Titrearticle"/>
        <w:shd w:val="clear" w:color="auto" w:fill="FFFFFF" w:themeFill="background1"/>
        <w:rPr>
          <w:i w:val="0"/>
          <w:iCs/>
          <w:noProof/>
        </w:rPr>
      </w:pPr>
      <w:r>
        <w:rPr>
          <w:noProof/>
        </w:rPr>
        <w:t>Článek 9</w:t>
      </w:r>
      <w:r>
        <w:rPr>
          <w:noProof/>
        </w:rPr>
        <w:br/>
        <w:t>Kumulativní (doplňkové) a kombinované financování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Na opatření, na něž byl získán příspěvek v rámci programu, lze rovněž získat příspěvek z jakéhokoli jiného programu Unie, včetně fondů se sdíleným řízením, pokud tyto příspěvky nepokr</w:t>
      </w:r>
      <w:r>
        <w:rPr>
          <w:noProof/>
        </w:rPr>
        <w:t xml:space="preserve">ývají tytéž náklady. [Kumulativní financování nesmí překročit celkové způsobilé náklady opatření a podporu z různých programů Unie lze vypočítat proporcionálně]. 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V případě, že program a fondy se sdíleným řízením uvedené v článku 1 nařízení (EU)[XX] [na</w:t>
      </w:r>
      <w:r>
        <w:rPr>
          <w:noProof/>
        </w:rPr>
        <w:t xml:space="preserve">řízení o společných ustanoveních] stanoví společně finanční podporu jednoho opatření, toto opatření se provede v souladu s pravidly stanovenými v tomto nařízení, včetně pravidel pro zpětné získání neoprávněně vyplacených částek. </w:t>
      </w:r>
    </w:p>
    <w:p w:rsidR="005D4D04" w:rsidRDefault="00500AC6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Opatření, která jsou zp</w:t>
      </w:r>
      <w:r>
        <w:rPr>
          <w:noProof/>
        </w:rPr>
        <w:t>ůsobilá podle programu a splňují podmínky uvedené v druhém pododstavci, lze identifikovat s cílem, aby byla financována z fondů se sdíleným řízením. V takovém případě platí pravidla týkající se míry spolufinancování a způsobilosti stanovená v tomto nařízen</w:t>
      </w:r>
      <w:r>
        <w:rPr>
          <w:noProof/>
        </w:rPr>
        <w:t xml:space="preserve">í. </w:t>
      </w:r>
    </w:p>
    <w:p w:rsidR="005D4D04" w:rsidRDefault="00500AC6">
      <w:pPr>
        <w:ind w:left="567"/>
        <w:rPr>
          <w:noProof/>
        </w:rPr>
      </w:pPr>
      <w:r>
        <w:rPr>
          <w:noProof/>
        </w:rPr>
        <w:t xml:space="preserve">Opatření uvedená v prvním pododstavci musí splňovat tyto kumulativní podmínky: 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byla posouzena v rámci výzvy k podávání návrhů podle tohoto programu; 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splňují minimální požadavky na kvalitu dané výzvou k podávání návrhů; 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nemohou být financová</w:t>
      </w:r>
      <w:r>
        <w:rPr>
          <w:noProof/>
        </w:rPr>
        <w:t xml:space="preserve">na v rámci dané výzvy k podávání návrhů z důvodu rozpočtových omezení. </w:t>
      </w:r>
    </w:p>
    <w:p w:rsidR="005D4D04" w:rsidRDefault="00500AC6">
      <w:pPr>
        <w:ind w:left="720"/>
        <w:rPr>
          <w:noProof/>
        </w:rPr>
      </w:pPr>
      <w:r>
        <w:rPr>
          <w:noProof/>
        </w:rPr>
        <w:t>Opatření provede řídicí orgán uvedený v článku [65] nařízení (EU)[XX] [nařízení o společných ustanoveních] v souladu s pravidly stanovenými v uvedeném nařízení a nařízeních pro jednotl</w:t>
      </w:r>
      <w:r>
        <w:rPr>
          <w:noProof/>
        </w:rPr>
        <w:t>ivé fondy, včetně pravidel pro finanční opravy.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10</w:t>
      </w:r>
      <w:r>
        <w:rPr>
          <w:noProof/>
        </w:rPr>
        <w:br/>
        <w:t>Způsobilé subjekty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Kromě kritérií stanovených v [článku 197] finančního nařízení se použijí kritéria způsobilosti stanovená v odstavcích 2 a 3.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Způsobilé jsou tyto subjekty: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právní subjekty</w:t>
      </w:r>
      <w:r>
        <w:rPr>
          <w:noProof/>
        </w:rPr>
        <w:t xml:space="preserve"> usazené v jedné z těchto zemí:</w:t>
      </w:r>
    </w:p>
    <w:p w:rsidR="005D4D04" w:rsidRDefault="00500AC6">
      <w:pPr>
        <w:pStyle w:val="Bullet3"/>
        <w:numPr>
          <w:ilvl w:val="0"/>
          <w:numId w:val="29"/>
        </w:numPr>
        <w:shd w:val="clear" w:color="auto" w:fill="FFFFFF" w:themeFill="background1"/>
        <w:rPr>
          <w:noProof/>
        </w:rPr>
      </w:pPr>
      <w:r>
        <w:rPr>
          <w:noProof/>
        </w:rPr>
        <w:t>členském státě nebo zámořské zemi nebo území s ním spojeném;</w:t>
      </w:r>
    </w:p>
    <w:p w:rsidR="005D4D04" w:rsidRDefault="00500AC6">
      <w:pPr>
        <w:pStyle w:val="Bullet3"/>
        <w:numPr>
          <w:ilvl w:val="0"/>
          <w:numId w:val="29"/>
        </w:numPr>
        <w:shd w:val="clear" w:color="auto" w:fill="FFFFFF" w:themeFill="background1"/>
        <w:rPr>
          <w:noProof/>
        </w:rPr>
      </w:pPr>
      <w:r>
        <w:rPr>
          <w:noProof/>
        </w:rPr>
        <w:t>třetí zemi přidružené k programu;</w:t>
      </w:r>
    </w:p>
    <w:p w:rsidR="005D4D04" w:rsidRDefault="00500AC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jakýkoli právní subjekt založený podle práva Unie nebo jakákoli mezinárodní organizace.</w:t>
      </w:r>
    </w:p>
    <w:p w:rsidR="005D4D04" w:rsidRDefault="00500AC6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Grant na provozní náklady lze </w:t>
      </w:r>
      <w:r>
        <w:rPr>
          <w:noProof/>
        </w:rPr>
        <w:t>udělit Evropské síti pro justiční vzdělávání bez výzvy k podávání návrhů na pokrytí výdajů souvisejících s jejím stálým pracovním programem.</w:t>
      </w:r>
    </w:p>
    <w:p w:rsidR="005D4D04" w:rsidRDefault="00500AC6">
      <w:pPr>
        <w:pStyle w:val="SectionTitle"/>
        <w:shd w:val="clear" w:color="auto" w:fill="FFFFFF" w:themeFill="background1"/>
        <w:rPr>
          <w:noProof/>
        </w:rPr>
      </w:pPr>
      <w:r>
        <w:rPr>
          <w:noProof/>
        </w:rPr>
        <w:t>Kapitola III</w:t>
      </w:r>
      <w:r>
        <w:rPr>
          <w:noProof/>
        </w:rPr>
        <w:br/>
        <w:t>Tvorba programů, monitorování, hodnocení a kontrola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11</w:t>
      </w:r>
      <w:r>
        <w:rPr>
          <w:noProof/>
        </w:rPr>
        <w:br/>
        <w:t>Pracovní program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Program se provádí p</w:t>
      </w:r>
      <w:r>
        <w:rPr>
          <w:noProof/>
        </w:rPr>
        <w:t xml:space="preserve">rostřednictvím pracovních programů uvedených v článku 110 finančního nařízení. </w:t>
      </w:r>
    </w:p>
    <w:p w:rsidR="005D4D04" w:rsidRDefault="00500AC6">
      <w:pPr>
        <w:pStyle w:val="ManualNumPar1"/>
        <w:rPr>
          <w:noProof/>
          <w:szCs w:val="23"/>
        </w:rPr>
      </w:pPr>
      <w:r>
        <w:t>2.</w:t>
      </w:r>
      <w:r>
        <w:tab/>
      </w:r>
      <w:r>
        <w:rPr>
          <w:noProof/>
        </w:rPr>
        <w:t>Pracovní program přijme Komise prostřednictvím prováděcího aktu. Tento prováděcí akt se přijímá poradním postupem uvedeným v článku 17.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12</w:t>
      </w:r>
      <w:r>
        <w:rPr>
          <w:noProof/>
        </w:rPr>
        <w:br/>
        <w:t>Monitorování a vykazování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Ukazatele pro vykazování pokroku dosaženého při plnění specifických cílů programu stanovených v článku 3 jsou uvedeny v příloze II.</w:t>
      </w:r>
    </w:p>
    <w:p w:rsidR="005D4D04" w:rsidRDefault="00500AC6">
      <w:pPr>
        <w:pStyle w:val="ManualNumPar1"/>
        <w:rPr>
          <w:noProof/>
          <w:szCs w:val="24"/>
        </w:rPr>
      </w:pPr>
      <w:r>
        <w:t>2.</w:t>
      </w:r>
      <w:r>
        <w:tab/>
      </w:r>
      <w:r>
        <w:rPr>
          <w:noProof/>
        </w:rPr>
        <w:t>K zajištění účinného posouzení pokroku dosaženého v provádění programu při plnění jeho cílů je Komisi svěřena pravomoc</w:t>
      </w:r>
      <w:r>
        <w:rPr>
          <w:noProof/>
        </w:rPr>
        <w:t xml:space="preserve"> přijímat akty v přenesené pravomoci v souladu s článkem 14, aby v případě nutnosti rozvinula ustanovení monitorovacího a hodnotícího rámce, mimo jiné prostřednictvím změn přílohy II za účelem přezkumu těchto ukazatelů.</w:t>
      </w:r>
    </w:p>
    <w:p w:rsidR="005D4D04" w:rsidRDefault="00500AC6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Systém vykazování výkonnosti zaji</w:t>
      </w:r>
      <w:r>
        <w:rPr>
          <w:noProof/>
        </w:rPr>
        <w:t>stí, aby údaje pro monitorování provádění programu a jeho výsledků byly shromažďovány účinně, efektivně a včas. Za tímto účelem se příjemcům finančních prostředků Unie a členským státům uloží přiměřené požadavky na vykazování.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13</w:t>
      </w:r>
      <w:r>
        <w:rPr>
          <w:noProof/>
        </w:rPr>
        <w:br/>
        <w:t>Hodnocení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Hodnoc</w:t>
      </w:r>
      <w:r>
        <w:rPr>
          <w:noProof/>
        </w:rPr>
        <w:t>ení se provádějí včas tak, aby je bylo možné promítnout do rozhodovacího procesu.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Průběžné hodnocení programu se provede, jakmile je k dispozici dostatek informací o jeho provádění, avšak nejpozději do čtyř let od začátku provádění programu.</w:t>
      </w:r>
    </w:p>
    <w:p w:rsidR="005D4D04" w:rsidRDefault="00500AC6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Na konci</w:t>
      </w:r>
      <w:r>
        <w:rPr>
          <w:noProof/>
        </w:rPr>
        <w:t xml:space="preserve"> provádění programu, avšak nejpozději do čtyř let po skončení období uvedeného v článku 1 provede Komise závěrečné hodnocení programu.</w:t>
      </w:r>
    </w:p>
    <w:p w:rsidR="005D4D04" w:rsidRDefault="00500AC6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Komise sdělí závěry hodnocení spolu se svými připomínkami Evropskému parlamentu, Radě, Evropskému hospodářskému a soci</w:t>
      </w:r>
      <w:r>
        <w:rPr>
          <w:noProof/>
        </w:rPr>
        <w:t>álnímu výboru a Výboru regionů.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14</w:t>
      </w:r>
      <w:r>
        <w:rPr>
          <w:noProof/>
        </w:rPr>
        <w:br/>
        <w:t>Výkon přenesené pravomoci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Pravomoc přijímat akty v přenesené pravomoci je svěřena Komisi za podmínek stanovených v tomto článku.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Pravomoc přijímat akty v přenesené pravomoci uvedená v článku 12 je svěřena Kom</w:t>
      </w:r>
      <w:r>
        <w:rPr>
          <w:noProof/>
        </w:rPr>
        <w:t>isi do 31. prosince 2027.</w:t>
      </w:r>
    </w:p>
    <w:p w:rsidR="005D4D04" w:rsidRDefault="00500AC6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Evropský parlament nebo Rada mohou přenesení pravomoci uvedené v článku 12 kdykoli zrušit. Rozhodnutím o zrušení se ukončuje přenesení pravomoci v něm blíže určené. Rozhodnutí nabývá účinku prvním dnem po zveřejnění v </w:t>
      </w:r>
      <w:r>
        <w:rPr>
          <w:i/>
          <w:noProof/>
        </w:rPr>
        <w:t>Úředním v</w:t>
      </w:r>
      <w:r>
        <w:rPr>
          <w:i/>
          <w:noProof/>
        </w:rPr>
        <w:t>ěstníku</w:t>
      </w:r>
      <w:r>
        <w:rPr>
          <w:noProof/>
        </w:rPr>
        <w:t xml:space="preserve"> Evropské unie, nebo k pozdějšímu dni, který je v něm upřesněn. Nedotýká se platnosti již platných aktů v přenesené pravomoci.</w:t>
      </w:r>
    </w:p>
    <w:p w:rsidR="005D4D04" w:rsidRDefault="00500AC6"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Před přijetím aktu v přenesené pravomoci Komise vede konzultace s odborníky jmenovanými jednotlivými členskými státy v </w:t>
      </w:r>
      <w:r>
        <w:rPr>
          <w:noProof/>
        </w:rPr>
        <w:t>souladu se zásadami stanovenými v interinstitucionální dohodě ze dne 13. dubna 2016 o zdokonalení tvorby právních předpisů.</w:t>
      </w:r>
    </w:p>
    <w:p w:rsidR="005D4D04" w:rsidRDefault="00500AC6"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Přijetí aktu v přenesené pravomoci Komise neprodleně oznámí současně Evropskému parlamentu a Radě.</w:t>
      </w:r>
    </w:p>
    <w:p w:rsidR="005D4D04" w:rsidRDefault="00500AC6">
      <w:pPr>
        <w:pStyle w:val="ManualNumPar1"/>
        <w:rPr>
          <w:noProof/>
          <w:szCs w:val="24"/>
        </w:rPr>
      </w:pPr>
      <w:r>
        <w:t>6.</w:t>
      </w:r>
      <w:r>
        <w:tab/>
      </w:r>
      <w:r>
        <w:rPr>
          <w:noProof/>
        </w:rPr>
        <w:t>Akt v přenesené pravomoci p</w:t>
      </w:r>
      <w:r>
        <w:rPr>
          <w:noProof/>
        </w:rPr>
        <w:t>řijatý podle článku 12 vstoupí v platnost, pokud proti němu Evropský parlament nebo Rada nevysloví námitky ve lhůtě dvou měsíců ode dne, kdy jim byl tento akt oznámen, nebo pokud Evropský parlament i Rada před uplynutím této lhůty informují Komisi o tom, ž</w:t>
      </w:r>
      <w:r>
        <w:rPr>
          <w:noProof/>
        </w:rPr>
        <w:t>e námitky nevysloví. Z podnětu Evropského parlamentu nebo Rady se tato lhůta prodlouží o dva měsíce.</w:t>
      </w:r>
    </w:p>
    <w:p w:rsidR="005D4D04" w:rsidRDefault="00500AC6">
      <w:pPr>
        <w:pStyle w:val="Titrearticle"/>
        <w:shd w:val="clear" w:color="auto" w:fill="FFFFFF" w:themeFill="background1"/>
        <w:rPr>
          <w:i w:val="0"/>
          <w:noProof/>
        </w:rPr>
      </w:pPr>
      <w:r>
        <w:rPr>
          <w:noProof/>
        </w:rPr>
        <w:t>Článek 15</w:t>
      </w:r>
      <w:r>
        <w:rPr>
          <w:noProof/>
        </w:rPr>
        <w:br/>
        <w:t>Ochrana finančních zájmů Unie</w:t>
      </w:r>
    </w:p>
    <w:p w:rsidR="005D4D04" w:rsidRDefault="00500AC6">
      <w:pPr>
        <w:rPr>
          <w:noProof/>
        </w:rPr>
      </w:pPr>
      <w:r>
        <w:rPr>
          <w:noProof/>
        </w:rPr>
        <w:t xml:space="preserve">V případě, že se rozhodnutím podle mezinárodní dohody nebo na základě jakéhokoliv jiného právního nástroje účastní </w:t>
      </w:r>
      <w:r>
        <w:rPr>
          <w:noProof/>
        </w:rPr>
        <w:t>programu třetí země, tato třetí země udělí nezbytná práva a potřebný přístup příslušné schvalující osobě, Evropskému úřadu pro boj proti podvodům (OLAF), Evropskému účetnímu dvoru, aby mohly komplexně vykonávat své pravomoci. V případě úřadu OLAF tato práv</w:t>
      </w:r>
      <w:r>
        <w:rPr>
          <w:noProof/>
        </w:rPr>
        <w:t>a zahrnují právo provádět vyšetřování, včetně kontrol a inspekcí na místě, v souladu s nařízením Evropského parlamentu a Rady (EU, Euratom) č. 883/2013 o vyšetřování prováděném Evropským úřadem pro boj proti podvodům (OLAF).</w:t>
      </w:r>
    </w:p>
    <w:p w:rsidR="005D4D04" w:rsidRDefault="00500AC6">
      <w:pPr>
        <w:pStyle w:val="SectionTitle"/>
        <w:shd w:val="clear" w:color="auto" w:fill="FFFFFF" w:themeFill="background1"/>
        <w:rPr>
          <w:noProof/>
        </w:rPr>
      </w:pPr>
      <w:r>
        <w:rPr>
          <w:noProof/>
        </w:rPr>
        <w:t>Kapitola IV</w:t>
      </w:r>
      <w:r>
        <w:rPr>
          <w:noProof/>
        </w:rPr>
        <w:br/>
        <w:t>Přechodná a závěreč</w:t>
      </w:r>
      <w:r>
        <w:rPr>
          <w:noProof/>
        </w:rPr>
        <w:t>ná ustanovení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16</w:t>
      </w:r>
      <w:r>
        <w:rPr>
          <w:noProof/>
        </w:rPr>
        <w:br/>
        <w:t>Informace, komunikace a propagace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Příjemci finančních prostředků Unie uvádějí původ a zajišťují viditelnost těchto prostředků (zejména při propagaci opatření a jejich výsledků) tím, že poskytují ucelené, účinné a přiměřené inform</w:t>
      </w:r>
      <w:r>
        <w:rPr>
          <w:noProof/>
        </w:rPr>
        <w:t>ace různým cílovým skupinám včetně médií a veřejnosti.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Komise provádí k programu a jeho opatřením a výsledkům informační a komunikační kampaně. Finanční zdroje vyčleněné na program rovněž přispívají ke sdělování politických priorit Unie na úrovni organi</w:t>
      </w:r>
      <w:r>
        <w:rPr>
          <w:noProof/>
        </w:rPr>
        <w:t>zace, souvisejí-li s cíli uvedenými v článku 3.</w:t>
      </w:r>
    </w:p>
    <w:p w:rsidR="005D4D04" w:rsidRDefault="00500AC6">
      <w:pPr>
        <w:pStyle w:val="Titrearticle"/>
        <w:rPr>
          <w:noProof/>
        </w:rPr>
      </w:pPr>
      <w:r>
        <w:rPr>
          <w:noProof/>
        </w:rPr>
        <w:t>Článek 17</w:t>
      </w:r>
      <w:r>
        <w:rPr>
          <w:noProof/>
        </w:rPr>
        <w:br/>
        <w:t>Postup projednávání ve výboru</w:t>
      </w:r>
    </w:p>
    <w:p w:rsidR="005D4D04" w:rsidRDefault="00500AC6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Komisi je nápomocen výbor. Tento výbor je výborem ve smyslu nařízení (EU) č. 182/2011. 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Odkazuje-li se na tento odstavec, použije se článek 4 nařízení (EU) </w:t>
      </w:r>
      <w:r>
        <w:rPr>
          <w:noProof/>
        </w:rPr>
        <w:t>č. 182/2011.</w:t>
      </w:r>
    </w:p>
    <w:p w:rsidR="005D4D04" w:rsidRDefault="005D4D04">
      <w:pPr>
        <w:pStyle w:val="Text1"/>
        <w:rPr>
          <w:noProof/>
        </w:rPr>
      </w:pP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18</w:t>
      </w:r>
      <w:r>
        <w:rPr>
          <w:noProof/>
        </w:rPr>
        <w:br/>
        <w:t>Zrušení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>Nařízení (EU) č. 1382/2013 se zrušuje s účinkem ode dne 1. ledna 2021.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19</w:t>
      </w:r>
      <w:r>
        <w:rPr>
          <w:noProof/>
        </w:rPr>
        <w:br/>
        <w:t>Přechodná ustanovení</w:t>
      </w:r>
    </w:p>
    <w:p w:rsidR="005D4D04" w:rsidRDefault="00500AC6">
      <w:pPr>
        <w:pStyle w:val="ManualNumPar1"/>
        <w:rPr>
          <w:noProof/>
          <w:szCs w:val="24"/>
        </w:rPr>
      </w:pPr>
      <w:r>
        <w:t>1.</w:t>
      </w:r>
      <w:r>
        <w:tab/>
      </w:r>
      <w:r>
        <w:rPr>
          <w:noProof/>
        </w:rPr>
        <w:t xml:space="preserve">Tímto nařízením není dotčeno pokračování ani změna příslušných opatření podle nařízení č. 1382/2013, které se na </w:t>
      </w:r>
      <w:r>
        <w:rPr>
          <w:noProof/>
        </w:rPr>
        <w:t>příslušná opatření použije až do jejich ukončení.</w:t>
      </w:r>
    </w:p>
    <w:p w:rsidR="005D4D04" w:rsidRDefault="00500AC6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Finanční krytí programu může zahrnovat i výdaje na technickou a správní pomoc nezbytné pro zajištění přechodu k programu od opatření přijatých podle jeho předchůdce, nařízení (EU) č. 1382/2013.</w:t>
      </w:r>
    </w:p>
    <w:p w:rsidR="005D4D04" w:rsidRDefault="00500AC6"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V příp</w:t>
      </w:r>
      <w:r>
        <w:rPr>
          <w:noProof/>
        </w:rPr>
        <w:t>adě potřeby lze do rozpočtu na období po roce 2027 začlenit i prostředky na pokrytí výdajů stanovených v čl. 4 odst. 2, aby bylo možno řídit opatření, jež nebudou dokončena do 31. prosince 2027.</w:t>
      </w:r>
    </w:p>
    <w:p w:rsidR="005D4D04" w:rsidRDefault="00500AC6">
      <w:pPr>
        <w:pStyle w:val="Titrearticle"/>
        <w:shd w:val="clear" w:color="auto" w:fill="FFFFFF" w:themeFill="background1"/>
        <w:rPr>
          <w:noProof/>
        </w:rPr>
      </w:pPr>
      <w:r>
        <w:rPr>
          <w:noProof/>
        </w:rPr>
        <w:t>Článek 20</w:t>
      </w:r>
      <w:r>
        <w:rPr>
          <w:noProof/>
        </w:rPr>
        <w:br/>
        <w:t>Vstup v platnost</w:t>
      </w:r>
    </w:p>
    <w:p w:rsidR="005D4D04" w:rsidRDefault="00500AC6">
      <w:pPr>
        <w:shd w:val="clear" w:color="auto" w:fill="FFFFFF" w:themeFill="background1"/>
        <w:rPr>
          <w:noProof/>
        </w:rPr>
      </w:pPr>
      <w:r>
        <w:rPr>
          <w:noProof/>
        </w:rPr>
        <w:t xml:space="preserve">Toto nařízení vstupuje v platnost </w:t>
      </w:r>
      <w:r>
        <w:rPr>
          <w:noProof/>
        </w:rPr>
        <w:t xml:space="preserve">dvacátým dnem po vyhlášení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 w:rsidR="005D4D04" w:rsidRDefault="00500AC6">
      <w:pPr>
        <w:pStyle w:val="Applicationdirecte"/>
        <w:shd w:val="clear" w:color="auto" w:fill="FFFFFF" w:themeFill="background1"/>
        <w:spacing w:before="0"/>
        <w:rPr>
          <w:noProof/>
        </w:rPr>
      </w:pPr>
      <w:r>
        <w:rPr>
          <w:noProof/>
        </w:rPr>
        <w:t>Toto nařízení je závazné v celém rozsahu a přímo použitelné v členských státech v souladu se Smlouvami.</w:t>
      </w:r>
    </w:p>
    <w:p w:rsidR="005D4D04" w:rsidRDefault="00500AC6" w:rsidP="00500AC6">
      <w:pPr>
        <w:pStyle w:val="Fait"/>
        <w:rPr>
          <w:noProof/>
        </w:rPr>
      </w:pPr>
      <w:r w:rsidRPr="00500AC6">
        <w:t>V Bruselu dne</w:t>
      </w:r>
    </w:p>
    <w:p w:rsidR="005D4D04" w:rsidRDefault="00500AC6">
      <w:pPr>
        <w:pStyle w:val="Institutionquisigne"/>
        <w:shd w:val="clear" w:color="auto" w:fill="FFFFFF" w:themeFill="background1"/>
        <w:tabs>
          <w:tab w:val="clear" w:pos="4252"/>
          <w:tab w:val="left" w:pos="5387"/>
        </w:tabs>
        <w:rPr>
          <w:noProof/>
        </w:rPr>
      </w:pPr>
      <w:r>
        <w:rPr>
          <w:noProof/>
        </w:rPr>
        <w:t>Za Evropský parlament</w:t>
      </w:r>
      <w:r>
        <w:rPr>
          <w:noProof/>
        </w:rPr>
        <w:tab/>
        <w:t>Za Radu</w:t>
      </w:r>
    </w:p>
    <w:p w:rsidR="005D4D04" w:rsidRDefault="00500AC6">
      <w:pPr>
        <w:pStyle w:val="Personnequisigne"/>
        <w:shd w:val="clear" w:color="auto" w:fill="FFFFFF" w:themeFill="background1"/>
        <w:tabs>
          <w:tab w:val="clear" w:pos="4252"/>
          <w:tab w:val="left" w:pos="5387"/>
        </w:tabs>
        <w:rPr>
          <w:noProof/>
        </w:rPr>
      </w:pPr>
      <w:r>
        <w:rPr>
          <w:noProof/>
        </w:rPr>
        <w:t>předseda/předsedkyně</w:t>
      </w:r>
      <w:r>
        <w:rPr>
          <w:noProof/>
        </w:rPr>
        <w:tab/>
        <w:t>předseda/předsedkyně</w:t>
      </w:r>
    </w:p>
    <w:p w:rsidR="005D4D04" w:rsidRDefault="005D4D04">
      <w:pPr>
        <w:rPr>
          <w:noProof/>
        </w:rPr>
        <w:sectPr w:rsidR="005D4D04" w:rsidSect="00500AC6"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5D4D04" w:rsidRDefault="00500AC6">
      <w:pPr>
        <w:pStyle w:val="Fichefinanciretitre"/>
        <w:rPr>
          <w:noProof/>
        </w:rPr>
      </w:pPr>
      <w:r>
        <w:rPr>
          <w:noProof/>
        </w:rPr>
        <w:t>LEGISLATIVNÍ FINANČNÍ VÝKAZ</w:t>
      </w:r>
    </w:p>
    <w:p w:rsidR="005D4D04" w:rsidRDefault="00500AC6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RÁMEC NÁVRHU/PODNĚTU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Název návrhu/podnětu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Příslušné oblasti politik (skupina programů)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Povaha návrhu/podnětu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Odůvodnění návrhu/podnětu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Doba trvání akce a finanční dopad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Předpokládaný způsob řízení </w:t>
      </w:r>
    </w:p>
    <w:p w:rsidR="005D4D04" w:rsidRDefault="00500AC6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SPRÁVNÍ OPATŘENÍ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Pravidla pro sledování a podávání zpráv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Systém řízení a kontroly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Opatření k zamezení podvodů a nesrovnalostí </w:t>
      </w:r>
    </w:p>
    <w:p w:rsidR="005D4D04" w:rsidRDefault="00500AC6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ODHADOVANÝ FINANČNÍ DOPAD NÁVRHU/PODNĚTU </w:t>
      </w:r>
    </w:p>
    <w:p w:rsidR="005D4D04" w:rsidRDefault="00500AC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Okruhy víceletého finančního rámce a dotčené výdajové rozpočtové položky </w:t>
      </w:r>
    </w:p>
    <w:p w:rsidR="005D4D04" w:rsidRDefault="00500AC6"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Odhadovaný dopad na výdaje</w:t>
      </w:r>
      <w:r>
        <w:rPr>
          <w:noProof/>
        </w:rPr>
        <w:t xml:space="preserve"> </w:t>
      </w:r>
    </w:p>
    <w:p w:rsidR="005D4D04" w:rsidRDefault="00500AC6"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Odhadovaný souhrnný dopad na výdaje </w:t>
      </w:r>
    </w:p>
    <w:p w:rsidR="005D4D04" w:rsidRDefault="00500AC6"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Odhadovaný dopad na prostředky správní povahy</w:t>
      </w:r>
    </w:p>
    <w:p w:rsidR="005D4D04" w:rsidRDefault="00500AC6"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Příspěvky třetích stran </w:t>
      </w:r>
    </w:p>
    <w:p w:rsidR="005D4D04" w:rsidRDefault="00500AC6">
      <w:pPr>
        <w:pStyle w:val="ManualHeading2"/>
        <w:jc w:val="left"/>
        <w:rPr>
          <w:b w:val="0"/>
          <w:noProof/>
        </w:rPr>
        <w:sectPr w:rsidR="005D4D04" w:rsidSect="00500AC6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Odhadovaný dopad na příjmy</w:t>
      </w:r>
    </w:p>
    <w:p w:rsidR="005D4D04" w:rsidRDefault="00500AC6">
      <w:pPr>
        <w:jc w:val="center"/>
        <w:rPr>
          <w:noProof/>
        </w:rPr>
      </w:pPr>
      <w:r>
        <w:rPr>
          <w:b/>
          <w:noProof/>
          <w:u w:val="single"/>
        </w:rPr>
        <w:t>LEGISLATIVNÍ FINANČNÍ VÝKAZ</w:t>
      </w:r>
    </w:p>
    <w:p w:rsidR="005D4D04" w:rsidRDefault="00500AC6"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RÁMEC NÁVRHU/PODNĚTU </w:t>
      </w:r>
    </w:p>
    <w:p w:rsidR="005D4D04" w:rsidRDefault="00500AC6"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Název návrhu/podnětu </w:t>
      </w:r>
    </w:p>
    <w:p w:rsidR="005D4D04" w:rsidRDefault="00500AC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Program Spravedlnost</w:t>
      </w:r>
    </w:p>
    <w:p w:rsidR="005D4D04" w:rsidRDefault="00500AC6"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Příslušné oblasti politik podle členění ABM/ABB</w:t>
      </w:r>
      <w:r>
        <w:rPr>
          <w:rStyle w:val="FootnoteReference"/>
          <w:noProof/>
        </w:rPr>
        <w:footnoteReference w:id="22"/>
      </w:r>
      <w:r>
        <w:rPr>
          <w:i/>
          <w:noProof/>
        </w:rPr>
        <w:t xml:space="preserve"> </w:t>
      </w:r>
    </w:p>
    <w:p w:rsidR="005D4D04" w:rsidRDefault="00500AC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II. Soudržnost a hodnoty </w:t>
      </w:r>
    </w:p>
    <w:p w:rsidR="005D4D04" w:rsidRDefault="00500AC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7. Investice do t</w:t>
      </w:r>
      <w:r>
        <w:rPr>
          <w:noProof/>
        </w:rPr>
        <w:t>ěchto oblastí: Lidé, sociální soudržnost a hodnoty</w:t>
      </w:r>
    </w:p>
    <w:p w:rsidR="005D4D04" w:rsidRDefault="00500AC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Spravedlnost, práva a hodnoty…</w:t>
      </w:r>
    </w:p>
    <w:p w:rsidR="005D4D04" w:rsidRDefault="00500AC6"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Povaha návrhu/podnětu </w:t>
      </w:r>
    </w:p>
    <w:p w:rsidR="005D4D04" w:rsidRDefault="00500AC6">
      <w:pPr>
        <w:rPr>
          <w:b/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 xml:space="preserve">nová akce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nová akce následující po pilotním projektu / přípravné akci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78"/>
      </w:r>
      <w:r>
        <w:rPr>
          <w:i/>
          <w:noProof/>
        </w:rPr>
        <w:t xml:space="preserve"> </w:t>
      </w:r>
      <w:r>
        <w:rPr>
          <w:b/>
          <w:noProof/>
        </w:rPr>
        <w:t>prodloužení stávající akce</w:t>
      </w:r>
      <w:r>
        <w:rPr>
          <w:noProof/>
        </w:rPr>
        <w:t xml:space="preserve">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 xml:space="preserve">sloučení jedné či více akcí v </w:t>
      </w:r>
      <w:r>
        <w:rPr>
          <w:b/>
          <w:noProof/>
        </w:rPr>
        <w:t>jinou/novou akci nebo přesměrování jedné či více akcí na jinou/novou akci</w:t>
      </w:r>
      <w:r>
        <w:rPr>
          <w:noProof/>
        </w:rPr>
        <w:t xml:space="preserve"> </w:t>
      </w:r>
    </w:p>
    <w:p w:rsidR="005D4D04" w:rsidRDefault="00500AC6">
      <w:pPr>
        <w:pStyle w:val="ManualHeading2"/>
        <w:rPr>
          <w:noProof/>
        </w:rPr>
      </w:pPr>
      <w:r>
        <w:t>1.4.</w:t>
      </w:r>
      <w:r>
        <w:tab/>
      </w:r>
      <w:r>
        <w:rPr>
          <w:noProof/>
        </w:rPr>
        <w:t xml:space="preserve">Odůvodnění návrhu/podnětu </w:t>
      </w:r>
    </w:p>
    <w:p w:rsidR="005D4D04" w:rsidRDefault="00500AC6"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Potřeby, které mají být uspokojeny v krátkodobém nebo dlouhodobém horizontu, včetně podrobného harmonogramu pro zahajovací fázi provádění </w:t>
      </w:r>
      <w:r>
        <w:rPr>
          <w:noProof/>
        </w:rPr>
        <w:t>podnětu</w:t>
      </w:r>
    </w:p>
    <w:p w:rsidR="005D4D04" w:rsidRDefault="00500AC6">
      <w:pPr>
        <w:rPr>
          <w:noProof/>
        </w:rPr>
      </w:pPr>
      <w:r>
        <w:rPr>
          <w:noProof/>
        </w:rPr>
        <w:t>Ačkoli jsou právní předpisy klíčovým nástrojem pro provádění cílů Unie v oblasti práva, je třeba je doplnit o další prostředky. V této souvislosti má důležitou úlohu financování, zejména financování opatření zaměřených na zvyšování účinnosti právní</w:t>
      </w:r>
      <w:r>
        <w:rPr>
          <w:noProof/>
        </w:rPr>
        <w:t>ch předpisů prohlubováním vědomostí o těchto předpisech, zvyšováním povědomí a schopnosti občanů, odborníků a zúčastněných stran, a to podporou těchto činností:</w:t>
      </w:r>
    </w:p>
    <w:p w:rsidR="005D4D04" w:rsidRDefault="00500AC6">
      <w:pPr>
        <w:rPr>
          <w:noProof/>
        </w:rPr>
      </w:pPr>
      <w:r>
        <w:rPr>
          <w:noProof/>
        </w:rPr>
        <w:t xml:space="preserve">– informování veřejnosti a osvěta, včetně podpory vnitrostátních a evropských kampaní, s cílem </w:t>
      </w:r>
      <w:r>
        <w:rPr>
          <w:noProof/>
        </w:rPr>
        <w:t>informovat lidi o jejich právech garantovaných v právních předpisech Unie a o tom, jak je v praxi vymáhat,</w:t>
      </w:r>
    </w:p>
    <w:p w:rsidR="005D4D04" w:rsidRDefault="00500AC6">
      <w:pPr>
        <w:rPr>
          <w:noProof/>
        </w:rPr>
      </w:pPr>
      <w:r>
        <w:rPr>
          <w:noProof/>
        </w:rPr>
        <w:t xml:space="preserve">– odborná příprava a budování kapacit pro právníky (jako jsou soudci a státní zástupci) a jiné odborníky, aby byli schopni účinněji uplatňovat právo </w:t>
      </w:r>
      <w:r>
        <w:rPr>
          <w:noProof/>
        </w:rPr>
        <w:t>a politiky Unie v praxi.</w:t>
      </w:r>
    </w:p>
    <w:p w:rsidR="005D4D04" w:rsidRDefault="00500AC6">
      <w:pPr>
        <w:rPr>
          <w:noProof/>
        </w:rPr>
      </w:pPr>
      <w:r>
        <w:rPr>
          <w:noProof/>
        </w:rPr>
        <w:t>Financování hraje také ústřední úlohu při podpoře spolupráce na nadnárodní úrovni a rozvoji vzájemné důvěry prostřednictvím:</w:t>
      </w:r>
    </w:p>
    <w:p w:rsidR="005D4D04" w:rsidRDefault="00500AC6">
      <w:pPr>
        <w:rPr>
          <w:noProof/>
        </w:rPr>
      </w:pPr>
      <w:r>
        <w:rPr>
          <w:noProof/>
        </w:rPr>
        <w:t>– upevňování sítí, tj. celounijních organizací, které pomáhají s přípravou budoucích iniciativ v této obla</w:t>
      </w:r>
      <w:r>
        <w:rPr>
          <w:noProof/>
        </w:rPr>
        <w:t>sti a s jejich důsledným prováděním v celé Evropě,</w:t>
      </w:r>
    </w:p>
    <w:p w:rsidR="005D4D04" w:rsidRDefault="00500AC6">
      <w:pPr>
        <w:rPr>
          <w:noProof/>
        </w:rPr>
      </w:pPr>
      <w:r>
        <w:rPr>
          <w:noProof/>
        </w:rPr>
        <w:t>– přeshraniční spolupráce při vymáhání práva, například při zřizování systému varování o pohřešovaných dětech, koordinaci operativní a přeshraniční protidrogové spolupráce.</w:t>
      </w:r>
    </w:p>
    <w:p w:rsidR="005D4D04" w:rsidRDefault="00500AC6">
      <w:pPr>
        <w:rPr>
          <w:noProof/>
        </w:rPr>
      </w:pPr>
      <w:r>
        <w:rPr>
          <w:noProof/>
        </w:rPr>
        <w:t>Kromě toho by se financování měl</w:t>
      </w:r>
      <w:r>
        <w:rPr>
          <w:noProof/>
        </w:rPr>
        <w:t>o využít k podpoře:</w:t>
      </w:r>
    </w:p>
    <w:p w:rsidR="005D4D04" w:rsidRDefault="00500AC6">
      <w:pPr>
        <w:rPr>
          <w:noProof/>
        </w:rPr>
      </w:pPr>
      <w:r>
        <w:rPr>
          <w:noProof/>
        </w:rPr>
        <w:t xml:space="preserve">– výzkumu, analýz a dalších podpůrných aktivit, jež poskytnou zákonodárcům jasné a podrobné informace o problémech a situaci na místě. Výsledky těchto činností povedou k vypracování a provádění politik Unie a zajistí, aby byly založené </w:t>
      </w:r>
      <w:r>
        <w:rPr>
          <w:noProof/>
        </w:rPr>
        <w:t>na faktech, aby byly cílené a dobře strukturované.</w:t>
      </w:r>
    </w:p>
    <w:p w:rsidR="005D4D04" w:rsidRDefault="00500AC6">
      <w:pPr>
        <w:rPr>
          <w:noProof/>
        </w:rPr>
      </w:pPr>
      <w:r>
        <w:rPr>
          <w:noProof/>
        </w:rPr>
        <w:t>Všechny uvedené činnosti budou prováděny během celého období 2021–2027. V této fázi je s ohledem na rychlost nových politických výzev, jimž musíme čelit a na něž musíme reagovat, obtížné stanovit přesný ok</w:t>
      </w:r>
      <w:r>
        <w:rPr>
          <w:noProof/>
        </w:rPr>
        <w:t>amžik zahájení činností.</w:t>
      </w:r>
    </w:p>
    <w:p w:rsidR="005D4D04" w:rsidRDefault="00500AC6">
      <w:pPr>
        <w:pStyle w:val="ManualHeading3"/>
        <w:rPr>
          <w:noProof/>
        </w:rPr>
      </w:pPr>
      <w:r>
        <w:t>1.4.2.</w:t>
      </w:r>
      <w:r>
        <w:tab/>
      </w:r>
      <w:r>
        <w:rPr>
          <w:noProof/>
        </w:rPr>
        <w:t>Přidaná hodnota ze zapojení Unie (může být důsledkem různých faktorů, např. přínosů z koordinace, právní jistoty, vyšší účelnosti nebo doplňkovosti). Pro účely tohoto bodu se „přidanou hodnotou ze zapojení Unie“ rozumí hodno</w:t>
      </w:r>
      <w:r>
        <w:rPr>
          <w:noProof/>
        </w:rPr>
        <w:t>ta plynoucí ze zásahu Unie, jež doplňuje hodnotu, která by jinak vznikla činností samotných členských států.</w:t>
      </w:r>
    </w:p>
    <w:p w:rsidR="005D4D04" w:rsidRDefault="00500AC6">
      <w:pPr>
        <w:rPr>
          <w:noProof/>
          <w:u w:val="single"/>
        </w:rPr>
      </w:pPr>
      <w:r>
        <w:rPr>
          <w:noProof/>
          <w:u w:val="single"/>
        </w:rPr>
        <w:t>Důvody pro opatření na evropské úrovni (</w:t>
      </w:r>
      <w:r>
        <w:rPr>
          <w:i/>
          <w:noProof/>
          <w:u w:val="single"/>
        </w:rPr>
        <w:t>ex ante</w:t>
      </w:r>
      <w:r>
        <w:rPr>
          <w:noProof/>
          <w:u w:val="single"/>
        </w:rPr>
        <w:t xml:space="preserve">) </w:t>
      </w:r>
    </w:p>
    <w:p w:rsidR="005D4D04" w:rsidRDefault="00500AC6">
      <w:pPr>
        <w:rPr>
          <w:noProof/>
        </w:rPr>
      </w:pPr>
      <w:r>
        <w:rPr>
          <w:noProof/>
        </w:rPr>
        <w:t>Financování z programu Spravedlnost se soustředí na činnosti, kde mohou opatření na úrovni Unie p</w:t>
      </w:r>
      <w:r>
        <w:rPr>
          <w:noProof/>
        </w:rPr>
        <w:t xml:space="preserve">řinést v porovnání s opatřením na úrovni členského státu dodatečnou hodnotu. Činnosti, na něž se vztahuje toto nařízení, přispívají účinnému uplatňování </w:t>
      </w:r>
      <w:r>
        <w:rPr>
          <w:i/>
          <w:noProof/>
        </w:rPr>
        <w:t>acquis</w:t>
      </w:r>
      <w:r>
        <w:rPr>
          <w:noProof/>
        </w:rPr>
        <w:t xml:space="preserve"> tím, že rozvíjí vzájemnou důvěru mezi členskými státy, zdokonalují přeshraniční spolupráci a vyt</w:t>
      </w:r>
      <w:r>
        <w:rPr>
          <w:noProof/>
        </w:rPr>
        <w:t xml:space="preserve">váření sítí a umožňují správné, soudržné a jednotné uplatňování práva Unie v rámci celé Unie. Pouze činnost na úrovni Unie může přinést koordinovaná opatření, která se dostanou ke všem členským státům Unie. Evropská unie může lépe reagovat na přeshraniční </w:t>
      </w:r>
      <w:r>
        <w:rPr>
          <w:noProof/>
        </w:rPr>
        <w:t>situace než členské státy a může poskytnout evropskou platformu pro čerpání zkušeností. Bez podpory Unie by zúčastněné strany řešily obdobné problémy roztříštěně a izolovaně.</w:t>
      </w:r>
    </w:p>
    <w:p w:rsidR="005D4D04" w:rsidRDefault="00500AC6">
      <w:pPr>
        <w:rPr>
          <w:noProof/>
          <w:u w:val="single"/>
        </w:rPr>
      </w:pPr>
      <w:r>
        <w:rPr>
          <w:noProof/>
          <w:u w:val="single"/>
        </w:rPr>
        <w:t>Očekávaná vytvořená přidaná hodnota na úrovni Unie (</w:t>
      </w:r>
      <w:r>
        <w:rPr>
          <w:i/>
          <w:noProof/>
          <w:u w:val="single"/>
        </w:rPr>
        <w:t>ex post</w:t>
      </w:r>
      <w:r>
        <w:rPr>
          <w:noProof/>
          <w:u w:val="single"/>
        </w:rPr>
        <w:t xml:space="preserve">) </w:t>
      </w:r>
    </w:p>
    <w:p w:rsidR="005D4D04" w:rsidRDefault="00500AC6">
      <w:pPr>
        <w:rPr>
          <w:noProof/>
        </w:rPr>
      </w:pPr>
      <w:r>
        <w:rPr>
          <w:noProof/>
        </w:rPr>
        <w:t>Spolupráce a navazo</w:t>
      </w:r>
      <w:r>
        <w:rPr>
          <w:noProof/>
        </w:rPr>
        <w:t>vání kontaktů mezi zúčastněnými stranami povede v různých členských státech k šíření osvědčených postupů, zejména k šíření inovativních a integrovaných přístupů. Všichni, kdo se na těchto činnostech podílejí, pak budou ve svém profesním prostředí působit j</w:t>
      </w:r>
      <w:r>
        <w:rPr>
          <w:noProof/>
        </w:rPr>
        <w:t>ako prostředníci a budou osvědčené postupy dále šířit ve svém členském státě.</w:t>
      </w:r>
    </w:p>
    <w:p w:rsidR="005D4D04" w:rsidRDefault="00500AC6">
      <w:pPr>
        <w:rPr>
          <w:noProof/>
        </w:rPr>
      </w:pPr>
      <w:r>
        <w:rPr>
          <w:noProof/>
        </w:rPr>
        <w:t xml:space="preserve">Bude podporován kvalitní analytický základ pro prosazování a rozvoj politik. Opatření na úrovni Evropské unie umožní, aby tyto činnosti byly prováděny jednotně v rámci celé Unie </w:t>
      </w:r>
      <w:r>
        <w:rPr>
          <w:noProof/>
        </w:rPr>
        <w:t>a aby přinášely úspory z rozsahu. Financování na vnitrostátní úrovni by nepřineslo stejné výsledky, ale zůstalo by roztříštěné a omezené a neuspokojilo by potřeby Evropské unie jako celku.</w:t>
      </w:r>
    </w:p>
    <w:p w:rsidR="005D4D04" w:rsidRDefault="00500AC6">
      <w:pPr>
        <w:pStyle w:val="ManualHeading3"/>
        <w:rPr>
          <w:noProof/>
        </w:rPr>
      </w:pPr>
      <w:r>
        <w:t>1.4.3.</w:t>
      </w:r>
      <w:r>
        <w:tab/>
      </w:r>
      <w:r>
        <w:rPr>
          <w:noProof/>
        </w:rPr>
        <w:t>Závěry vyvozené z podobných zkušeností v minulosti</w:t>
      </w:r>
    </w:p>
    <w:p w:rsidR="005D4D04" w:rsidRDefault="00500AC6">
      <w:pPr>
        <w:rPr>
          <w:noProof/>
        </w:rPr>
      </w:pPr>
      <w:r>
        <w:rPr>
          <w:noProof/>
        </w:rPr>
        <w:t>Hodnocení</w:t>
      </w:r>
      <w:r>
        <w:rPr>
          <w:noProof/>
        </w:rPr>
        <w:t xml:space="preserve"> v polovině období provedené u probíhajícího programu v oblasti spravedlnosti potvrdilo celkovou účinnost programu a platnost jeho cílů, zjistilo však také několik aspektů vyžadujících zlepšení, zejména rozšíření okruhu potenciálních příjemců, na něž jsou </w:t>
      </w:r>
      <w:r>
        <w:rPr>
          <w:noProof/>
        </w:rPr>
        <w:t xml:space="preserve">činnosti programu zaměřeny, revize ukazatelů pro sledování, posilování součinnosti s ostatními příslušnými programy a iniciativami EU v oblasti financování. </w:t>
      </w:r>
    </w:p>
    <w:p w:rsidR="005D4D04" w:rsidRDefault="00500AC6">
      <w:pPr>
        <w:pStyle w:val="ManualHeading3"/>
        <w:rPr>
          <w:noProof/>
        </w:rPr>
      </w:pPr>
      <w:r>
        <w:t>1.4.4.</w:t>
      </w:r>
      <w:r>
        <w:tab/>
      </w:r>
      <w:r>
        <w:rPr>
          <w:noProof/>
        </w:rPr>
        <w:t>Soulad a možná synergie s dalšími vhodnými nástroji</w:t>
      </w:r>
    </w:p>
    <w:p w:rsidR="005D4D04" w:rsidRDefault="00500AC6">
      <w:pPr>
        <w:rPr>
          <w:noProof/>
        </w:rPr>
      </w:pPr>
      <w:r>
        <w:rPr>
          <w:noProof/>
        </w:rPr>
        <w:t>Program bude usilovat o součinnost, sou</w:t>
      </w:r>
      <w:r>
        <w:rPr>
          <w:noProof/>
        </w:rPr>
        <w:t>držnost a komplementaritu s ostatními nástroji Unie, např. s programy v oblasti migrace, správy hranic a bezpečnosti, spotřebitelů, zaměstnanosti, sociálních věcí a vzdělávání, vnějšího rozvoje a spolupráce. Zabrání se zdvojení činností v rámci těchto osta</w:t>
      </w:r>
      <w:r>
        <w:rPr>
          <w:noProof/>
        </w:rPr>
        <w:t>tních programů. Pro dosažení společných cílů mohou být prostředky rozděleny mezi program Spravedlnost a program Práva a hodnoty.</w:t>
      </w:r>
    </w:p>
    <w:p w:rsidR="005D4D04" w:rsidRDefault="00500AC6"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1.5.</w:t>
      </w:r>
      <w:r>
        <w:tab/>
      </w:r>
      <w:r>
        <w:rPr>
          <w:noProof/>
        </w:rPr>
        <w:t xml:space="preserve">Doba trvání akce a finanční dopad </w:t>
      </w:r>
    </w:p>
    <w:p w:rsidR="005D4D04" w:rsidRDefault="00500AC6">
      <w:pPr>
        <w:rPr>
          <w:noProof/>
        </w:rPr>
      </w:pPr>
      <w:r>
        <w:rPr>
          <w:noProof/>
        </w:rPr>
        <w:t>X</w:t>
      </w:r>
      <w:r>
        <w:rPr>
          <w:b/>
          <w:i/>
          <w:noProof/>
        </w:rPr>
        <w:t xml:space="preserve"> </w:t>
      </w:r>
      <w:r>
        <w:rPr>
          <w:b/>
          <w:noProof/>
        </w:rPr>
        <w:t xml:space="preserve">Časově omezená doba trvání </w:t>
      </w:r>
    </w:p>
    <w:p w:rsidR="005D4D04" w:rsidRDefault="00500AC6">
      <w:pPr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s platností od 1. 1. 2021 do 31. 12. 2027, </w:t>
      </w:r>
    </w:p>
    <w:p w:rsidR="005D4D04" w:rsidRDefault="00500AC6">
      <w:pPr>
        <w:rPr>
          <w:noProof/>
        </w:rPr>
      </w:pPr>
      <w:r>
        <w:rPr>
          <w:noProof/>
        </w:rPr>
        <w:t>x</w:t>
      </w:r>
      <w:r>
        <w:rPr>
          <w:noProof/>
        </w:rPr>
        <w:tab/>
        <w:t>finanční</w:t>
      </w:r>
      <w:r>
        <w:rPr>
          <w:noProof/>
        </w:rPr>
        <w:t xml:space="preserve"> dopad od roku 2021 do roku 2027 pro prostředky na závazky a od roku 2021 do roku 2027 a dále pro prostředky na platby.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Časově neomezená doba trvání</w:t>
      </w:r>
    </w:p>
    <w:p w:rsidR="005D4D04" w:rsidRDefault="00500AC6">
      <w:pPr>
        <w:rPr>
          <w:noProof/>
        </w:rPr>
      </w:pPr>
      <w:r>
        <w:rPr>
          <w:noProof/>
        </w:rPr>
        <w:t>Provádění s obdobím rozběhu od RRRR do RRRR,</w:t>
      </w:r>
    </w:p>
    <w:p w:rsidR="005D4D04" w:rsidRDefault="00500AC6">
      <w:pPr>
        <w:rPr>
          <w:noProof/>
        </w:rPr>
      </w:pPr>
      <w:r>
        <w:rPr>
          <w:noProof/>
        </w:rPr>
        <w:t>poté plné fungování.</w:t>
      </w:r>
    </w:p>
    <w:p w:rsidR="005D4D04" w:rsidRDefault="00500AC6">
      <w:pPr>
        <w:pStyle w:val="ManualHeading2"/>
        <w:rPr>
          <w:bCs/>
          <w:noProof/>
          <w:szCs w:val="24"/>
        </w:rPr>
      </w:pPr>
      <w:r>
        <w:t>1.6.</w:t>
      </w:r>
      <w:r>
        <w:tab/>
      </w:r>
      <w:r>
        <w:rPr>
          <w:noProof/>
        </w:rPr>
        <w:t>Předpokládaný způsob řízení</w:t>
      </w:r>
      <w:r>
        <w:rPr>
          <w:rStyle w:val="FootnoteReference"/>
          <w:noProof/>
        </w:rPr>
        <w:footnoteReference w:id="24"/>
      </w:r>
      <w:r>
        <w:rPr>
          <w:rStyle w:val="FootnoteReference"/>
          <w:noProof/>
        </w:rPr>
        <w:t xml:space="preserve"> </w:t>
      </w:r>
    </w:p>
    <w:p w:rsidR="005D4D04" w:rsidRDefault="00500AC6">
      <w:pPr>
        <w:rPr>
          <w:noProof/>
        </w:rPr>
      </w:pPr>
      <w:r>
        <w:rPr>
          <w:noProof/>
        </w:rPr>
        <w:t>x</w:t>
      </w:r>
      <w:r>
        <w:rPr>
          <w:i/>
          <w:noProof/>
        </w:rPr>
        <w:t xml:space="preserve"> </w:t>
      </w:r>
      <w:r>
        <w:rPr>
          <w:b/>
          <w:noProof/>
        </w:rPr>
        <w:t>Přímé řízení</w:t>
      </w:r>
      <w:r>
        <w:rPr>
          <w:noProof/>
        </w:rPr>
        <w:t xml:space="preserve"> Komisí</w:t>
      </w:r>
    </w:p>
    <w:p w:rsidR="005D4D04" w:rsidRDefault="00500AC6">
      <w:pPr>
        <w:rPr>
          <w:noProof/>
        </w:rPr>
      </w:pPr>
      <w:r>
        <w:rPr>
          <w:noProof/>
        </w:rPr>
        <w:t xml:space="preserve">x prostřednictvím jejích útvarů, včetně jejích zaměstnanců v delegacích Unie,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prostřednictvím výkonných agentur.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Sdílené řízení</w:t>
      </w:r>
      <w:r>
        <w:rPr>
          <w:noProof/>
        </w:rPr>
        <w:t xml:space="preserve"> s členskými státy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Nepřímé řízení</w:t>
      </w:r>
      <w:r>
        <w:rPr>
          <w:noProof/>
        </w:rPr>
        <w:t>, při kterém jsou úkoly souvisejícími s plněním rozpočtu pověřeny: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třetí země nebo subjekty určené těmito zeměmi,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mezinárodní organizace a jejich agentury (upřesněte),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EIB a Evropský investiční fond,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subjekty uvedené v článcích 70 a 71 finančního nařízení,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veřejnoprávní subjekty,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soukromoprávní subjekty pověře</w:t>
      </w:r>
      <w:r>
        <w:rPr>
          <w:noProof/>
        </w:rPr>
        <w:t>né výkonem veřejné služby v rozsahu, v jakém poskytují dostatečné finanční záruky,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soukromoprávní subjekty členského státu pověřené uskutečňováním partnerství soukromého a veřejného sektoru a poskytující dostatečné finanční záruky,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osoby pověřené prová</w:t>
      </w:r>
      <w:r>
        <w:rPr>
          <w:noProof/>
        </w:rPr>
        <w:t>děním zvláštních činností v rámci společné zahraniční a bezpečnostní politiky podle hlavy V Smlouvy o EU a určené v příslušném základním právním aktu.</w:t>
      </w:r>
    </w:p>
    <w:p w:rsidR="005D4D04" w:rsidRDefault="005D4D04">
      <w:pPr>
        <w:rPr>
          <w:noProof/>
        </w:rPr>
        <w:sectPr w:rsidR="005D4D04" w:rsidSect="00500AC6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5D4D04" w:rsidRDefault="00500AC6"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SPRÁVNÍ OPATŘENÍ </w:t>
      </w:r>
    </w:p>
    <w:p w:rsidR="005D4D04" w:rsidRDefault="00500AC6"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Pravidla pro sledování a podávání zpráv </w:t>
      </w:r>
    </w:p>
    <w:p w:rsidR="005D4D04" w:rsidRDefault="00500AC6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četn</w:t>
      </w:r>
      <w:r>
        <w:rPr>
          <w:i/>
          <w:noProof/>
          <w:sz w:val="20"/>
        </w:rPr>
        <w:t>ost a podmínky.</w:t>
      </w:r>
    </w:p>
    <w:p w:rsidR="005D4D04" w:rsidRDefault="00500AC6">
      <w:pPr>
        <w:rPr>
          <w:noProof/>
        </w:rPr>
      </w:pPr>
      <w:r>
        <w:rPr>
          <w:noProof/>
        </w:rPr>
        <w:t>Návrh obsahuje povinnosti týkající se sledování a hodnocení. Pokroky dosahované při plnění specifických cílů budou každoročně sledovány na základě ukazatelů obsažených v návrhu.</w:t>
      </w:r>
    </w:p>
    <w:p w:rsidR="005D4D04" w:rsidRDefault="00500AC6">
      <w:pPr>
        <w:rPr>
          <w:noProof/>
        </w:rPr>
      </w:pPr>
      <w:r>
        <w:rPr>
          <w:noProof/>
        </w:rPr>
        <w:t>Komise kromě toho nejpozději do poloviny roku 2025 předloží pr</w:t>
      </w:r>
      <w:r>
        <w:rPr>
          <w:noProof/>
        </w:rPr>
        <w:t>ůběžnou hodnotící zprávu o pokroku dosaženém při plnění cílů programu, o účinnosti využívání zdrojů a jeho evropské přidané hodnotě. Po ukončení programu bude provedeno následné hodnocení dlouhodobých dopadů a udržitelnosti účinků programu.</w:t>
      </w:r>
    </w:p>
    <w:p w:rsidR="005D4D04" w:rsidRDefault="00500AC6"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>Systém říz</w:t>
      </w:r>
      <w:r>
        <w:rPr>
          <w:noProof/>
        </w:rPr>
        <w:t xml:space="preserve">ení a kontroly </w:t>
      </w:r>
    </w:p>
    <w:p w:rsidR="005D4D04" w:rsidRDefault="00500AC6">
      <w:pPr>
        <w:pStyle w:val="ManualHeading3"/>
        <w:rPr>
          <w:bCs/>
          <w:noProof/>
        </w:rPr>
      </w:pPr>
      <w:r>
        <w:t>2.2.1.</w:t>
      </w:r>
      <w:r>
        <w:tab/>
      </w:r>
      <w:r>
        <w:rPr>
          <w:noProof/>
        </w:rPr>
        <w:t>Odůvodnění navrhovaných způsobů řízení, mechanismů provádění financování, způsobů plateb a kontrolní strategie.</w:t>
      </w:r>
    </w:p>
    <w:p w:rsidR="005D4D04" w:rsidRDefault="00500AC6">
      <w:pPr>
        <w:rPr>
          <w:noProof/>
        </w:rPr>
      </w:pPr>
      <w:r>
        <w:rPr>
          <w:noProof/>
        </w:rPr>
        <w:t>Prostřednictvím přímého řízení Komise podporuje další činnosti, které přispívají k dosažení společných cílů politiky Unie</w:t>
      </w:r>
      <w:r>
        <w:rPr>
          <w:noProof/>
        </w:rPr>
        <w:t>. Program Spravedlnost bude řídit přímo Komise, jelikož je tak možné lépe přizpůsobit programy potřebám politiky a získat větší flexibilitu pro upravení priorit v případě nových potřeb. Kromě přímého řízení Komise též umožní navázat přímý kontakt s příjemc</w:t>
      </w:r>
      <w:r>
        <w:rPr>
          <w:noProof/>
        </w:rPr>
        <w:t xml:space="preserve">i finančních prostředků / zhotoviteli, kteří se přímo podílejí na činnostech sloužících politikám Unie. </w:t>
      </w:r>
    </w:p>
    <w:p w:rsidR="005D4D04" w:rsidRDefault="00500AC6">
      <w:pPr>
        <w:rPr>
          <w:noProof/>
        </w:rPr>
      </w:pPr>
      <w:r>
        <w:rPr>
          <w:noProof/>
        </w:rPr>
        <w:t xml:space="preserve">Průběžné hodnocení programu Spravedlnost na období 2014–2020 dospělo k závěru, že byť v programu Spravedlnost existuje prostor pro zjednodušení, tento </w:t>
      </w:r>
      <w:r>
        <w:rPr>
          <w:noProof/>
        </w:rPr>
        <w:t>prostor je omezený stávajícím rámcem řízení. Nicméně větší využívání institucionálních nástrojů IT pro řízení grantů a rozsáhlejší zavádění jednotkových nákladů do řízení programu budou představovat faktory zjednodušení.</w:t>
      </w:r>
    </w:p>
    <w:p w:rsidR="005D4D04" w:rsidRDefault="00500AC6">
      <w:pPr>
        <w:pStyle w:val="ManualHeading3"/>
        <w:rPr>
          <w:bCs/>
          <w:noProof/>
        </w:rPr>
      </w:pPr>
      <w:r>
        <w:t>2.2.2.</w:t>
      </w:r>
      <w:r>
        <w:tab/>
      </w:r>
      <w:r>
        <w:rPr>
          <w:noProof/>
        </w:rPr>
        <w:t>Informace o zjištěných rizic</w:t>
      </w:r>
      <w:r>
        <w:rPr>
          <w:noProof/>
        </w:rPr>
        <w:t>ích a systémech vnitřní kontroly zřízených k jejich zmírnění</w:t>
      </w:r>
    </w:p>
    <w:p w:rsidR="005D4D04" w:rsidRDefault="00500AC6">
      <w:pPr>
        <w:rPr>
          <w:noProof/>
        </w:rPr>
      </w:pPr>
      <w:r>
        <w:rPr>
          <w:noProof/>
        </w:rPr>
        <w:t>Hlavní rizika spojená s činnostmi GŘ JUST v oblasti financování jsou dvojí:</w:t>
      </w:r>
    </w:p>
    <w:p w:rsidR="005D4D04" w:rsidRDefault="00500AC6">
      <w:pPr>
        <w:rPr>
          <w:noProof/>
        </w:rPr>
      </w:pPr>
      <w:r>
        <w:rPr>
          <w:noProof/>
        </w:rPr>
        <w:t>– riziko, že nebude financován nejlepší projekt pro řešení zjištěného problému,</w:t>
      </w:r>
    </w:p>
    <w:p w:rsidR="005D4D04" w:rsidRDefault="00500AC6">
      <w:pPr>
        <w:rPr>
          <w:noProof/>
        </w:rPr>
      </w:pPr>
      <w:r>
        <w:rPr>
          <w:noProof/>
        </w:rPr>
        <w:t xml:space="preserve">– rizika, že budou požadovány </w:t>
      </w:r>
      <w:r>
        <w:rPr>
          <w:noProof/>
        </w:rPr>
        <w:t>a propláceny nesprávné či nezákonné náklady.</w:t>
      </w:r>
    </w:p>
    <w:p w:rsidR="005D4D04" w:rsidRDefault="00500AC6">
      <w:pPr>
        <w:rPr>
          <w:noProof/>
        </w:rPr>
      </w:pPr>
      <w:r>
        <w:rPr>
          <w:noProof/>
        </w:rPr>
        <w:t xml:space="preserve">Co se týče rizika zákonnosti a správnosti, na základě hlavních příčin a typů nejčastěji zjišťovaných chyb v auditech </w:t>
      </w:r>
      <w:r>
        <w:rPr>
          <w:i/>
          <w:noProof/>
        </w:rPr>
        <w:t>ex-post</w:t>
      </w:r>
      <w:r>
        <w:rPr>
          <w:noProof/>
        </w:rPr>
        <w:t xml:space="preserve"> se zdá, že hlavní oblasti, kde dochází k nesrovnalostem, jsou výsledkem špatného finan</w:t>
      </w:r>
      <w:r>
        <w:rPr>
          <w:noProof/>
        </w:rPr>
        <w:t xml:space="preserve">čního řízení ze strany příjemců finančních prostředků především kvůli nedostatečnému pochopení pravidel vzhledem k jejich složitosti, a to zejména z hlediska způsobilosti nákladů. </w:t>
      </w:r>
    </w:p>
    <w:p w:rsidR="005D4D04" w:rsidRDefault="00500AC6">
      <w:pPr>
        <w:rPr>
          <w:noProof/>
        </w:rPr>
      </w:pPr>
      <w:r>
        <w:rPr>
          <w:noProof/>
        </w:rPr>
        <w:t xml:space="preserve">Rizika tudíž vznikají zejména vlivem </w:t>
      </w:r>
    </w:p>
    <w:p w:rsidR="005D4D04" w:rsidRDefault="00500AC6">
      <w:pPr>
        <w:rPr>
          <w:noProof/>
        </w:rPr>
      </w:pPr>
      <w:r>
        <w:rPr>
          <w:noProof/>
        </w:rPr>
        <w:t>– zajišťování kvality vybraných proje</w:t>
      </w:r>
      <w:r>
        <w:rPr>
          <w:noProof/>
        </w:rPr>
        <w:t>ktů a jejich následného technického provádění,</w:t>
      </w:r>
    </w:p>
    <w:p w:rsidR="005D4D04" w:rsidRDefault="00500AC6">
      <w:pPr>
        <w:rPr>
          <w:noProof/>
        </w:rPr>
      </w:pPr>
      <w:r>
        <w:rPr>
          <w:noProof/>
        </w:rPr>
        <w:t>– neúčinného nebo nehospodárného využívání poskytnutých prostředků jak v případě grantů (složité proplácení skutečných způsobilých nákladů), tak v případě zadávání veřejných zakázek (omezený počet hospodářskýc</w:t>
      </w:r>
      <w:r>
        <w:rPr>
          <w:noProof/>
        </w:rPr>
        <w:t>h subjektů s požadovanými odbornými znalostmi, což téměř znemožňuje porovnání cenových nabídek),</w:t>
      </w:r>
    </w:p>
    <w:p w:rsidR="005D4D04" w:rsidRDefault="00500AC6">
      <w:pPr>
        <w:rPr>
          <w:noProof/>
        </w:rPr>
      </w:pPr>
      <w:r>
        <w:rPr>
          <w:noProof/>
        </w:rPr>
        <w:t xml:space="preserve">– podvodů. </w:t>
      </w:r>
    </w:p>
    <w:p w:rsidR="005D4D04" w:rsidRDefault="00500AC6">
      <w:pPr>
        <w:rPr>
          <w:noProof/>
        </w:rPr>
      </w:pPr>
      <w:r>
        <w:rPr>
          <w:noProof/>
        </w:rPr>
        <w:t>Zbytková chybovost v roce 2017 (pro granty) se odhaduje na 2,63 %.</w:t>
      </w:r>
    </w:p>
    <w:p w:rsidR="005D4D04" w:rsidRDefault="00500AC6">
      <w:pPr>
        <w:rPr>
          <w:noProof/>
        </w:rPr>
      </w:pPr>
      <w:r>
        <w:rPr>
          <w:noProof/>
        </w:rPr>
        <w:t xml:space="preserve">Očekává se, že většina těchto rizik bude omezena díky: </w:t>
      </w:r>
    </w:p>
    <w:p w:rsidR="005D4D04" w:rsidRDefault="00500AC6">
      <w:pPr>
        <w:rPr>
          <w:noProof/>
        </w:rPr>
      </w:pPr>
      <w:r>
        <w:rPr>
          <w:noProof/>
        </w:rPr>
        <w:t>– lepší koncepci výzev k</w:t>
      </w:r>
      <w:r>
        <w:rPr>
          <w:noProof/>
        </w:rPr>
        <w:t xml:space="preserve"> podávání návrhů, </w:t>
      </w:r>
    </w:p>
    <w:p w:rsidR="005D4D04" w:rsidRDefault="00500AC6">
      <w:pPr>
        <w:rPr>
          <w:noProof/>
        </w:rPr>
      </w:pPr>
      <w:r>
        <w:rPr>
          <w:noProof/>
        </w:rPr>
        <w:t xml:space="preserve">– lepším pokynům pro příjemce finančních prostředků a cílení návrhů, </w:t>
      </w:r>
    </w:p>
    <w:p w:rsidR="005D4D04" w:rsidRDefault="00500AC6">
      <w:pPr>
        <w:rPr>
          <w:noProof/>
        </w:rPr>
      </w:pPr>
      <w:r>
        <w:rPr>
          <w:noProof/>
        </w:rPr>
        <w:t>– většímu využívání zjednodušených nákladů, jak stanoví nové finanční nařízení,</w:t>
      </w:r>
    </w:p>
    <w:p w:rsidR="005D4D04" w:rsidRDefault="00500AC6">
      <w:pPr>
        <w:rPr>
          <w:noProof/>
        </w:rPr>
      </w:pPr>
      <w:r>
        <w:rPr>
          <w:noProof/>
        </w:rPr>
        <w:t>– používání institucionálních systémů pro řízení návrhů a grantů,</w:t>
      </w:r>
    </w:p>
    <w:p w:rsidR="005D4D04" w:rsidRDefault="00500AC6">
      <w:pPr>
        <w:rPr>
          <w:noProof/>
          <w:u w:val="single"/>
        </w:rPr>
      </w:pPr>
      <w:r>
        <w:rPr>
          <w:noProof/>
          <w:u w:val="single"/>
        </w:rPr>
        <w:t>– opatřením</w:t>
      </w:r>
      <w:r>
        <w:rPr>
          <w:noProof/>
        </w:rPr>
        <w:t xml:space="preserve"> stanovený</w:t>
      </w:r>
      <w:r>
        <w:rPr>
          <w:noProof/>
        </w:rPr>
        <w:t>m ve strategii proti podvodům.</w:t>
      </w:r>
    </w:p>
    <w:p w:rsidR="005D4D04" w:rsidRDefault="00500AC6">
      <w:pPr>
        <w:rPr>
          <w:noProof/>
          <w:u w:val="single"/>
        </w:rPr>
      </w:pPr>
      <w:r>
        <w:rPr>
          <w:noProof/>
          <w:u w:val="single"/>
        </w:rPr>
        <w:t>Popis vnitřního kontrolního systému</w:t>
      </w:r>
    </w:p>
    <w:p w:rsidR="005D4D04" w:rsidRDefault="00500AC6">
      <w:pPr>
        <w:rPr>
          <w:noProof/>
        </w:rPr>
      </w:pPr>
      <w:r>
        <w:rPr>
          <w:noProof/>
        </w:rPr>
        <w:t xml:space="preserve">Kontrolní systém plánovaný pro budoucí program je pokračováním stávajícího kontrolního systému. </w:t>
      </w:r>
    </w:p>
    <w:p w:rsidR="005D4D04" w:rsidRDefault="00500AC6">
      <w:pPr>
        <w:rPr>
          <w:noProof/>
        </w:rPr>
      </w:pPr>
      <w:r>
        <w:rPr>
          <w:noProof/>
        </w:rPr>
        <w:t>Kontrolní strategie bude založena na novém finančním nařízení a na nařízení o společných ust</w:t>
      </w:r>
      <w:r>
        <w:rPr>
          <w:noProof/>
        </w:rPr>
        <w:t>anoveních s cílem omezit rizika a snížit míru chyb. Nové finanční nařízení a návrh programu Spravedlnost by měly rozšířit využívání zjednodušených forem grantů, jako jsou jednorázové částky, paušální sazby a jednotkové náklady.</w:t>
      </w:r>
    </w:p>
    <w:p w:rsidR="005D4D04" w:rsidRDefault="00500AC6">
      <w:pPr>
        <w:rPr>
          <w:noProof/>
        </w:rPr>
      </w:pPr>
      <w:r>
        <w:rPr>
          <w:noProof/>
        </w:rPr>
        <w:t>Kontrolní strategii tvoří ně</w:t>
      </w:r>
      <w:r>
        <w:rPr>
          <w:noProof/>
        </w:rPr>
        <w:t xml:space="preserve">kolik částí: </w:t>
      </w:r>
    </w:p>
    <w:p w:rsidR="005D4D04" w:rsidRDefault="00500AC6">
      <w:pPr>
        <w:rPr>
          <w:noProof/>
        </w:rPr>
      </w:pPr>
      <w:r>
        <w:rPr>
          <w:noProof/>
        </w:rPr>
        <w:t>– programování, hodnocení a výběr návrhů s cílem zajistit, aby byly financovány pouze nejlepší návrhy,</w:t>
      </w:r>
    </w:p>
    <w:p w:rsidR="005D4D04" w:rsidRDefault="00500AC6">
      <w:pPr>
        <w:rPr>
          <w:noProof/>
        </w:rPr>
      </w:pPr>
      <w:r>
        <w:rPr>
          <w:noProof/>
        </w:rPr>
        <w:t xml:space="preserve">– uzavření a sledování grantových dohod: Všechny transakce a postupy podléhají ověření </w:t>
      </w:r>
      <w:r>
        <w:rPr>
          <w:i/>
          <w:noProof/>
        </w:rPr>
        <w:t>ex ante</w:t>
      </w:r>
      <w:r>
        <w:rPr>
          <w:noProof/>
        </w:rPr>
        <w:t>, které provádí oddělení pro programové a fin</w:t>
      </w:r>
      <w:r>
        <w:rPr>
          <w:noProof/>
        </w:rPr>
        <w:t>anční řízení GŘ JUST i oddělení pro příslušné politiky. Finanční ověření provádí oddělení pro programové a finanční řízení. V případě grantů jsou žádosti o proplácení nákladů pečlivě ověřovány a v případě potřeby jsou na základě posouzení rizika požadovány</w:t>
      </w:r>
      <w:r>
        <w:rPr>
          <w:noProof/>
        </w:rPr>
        <w:t xml:space="preserve"> podklady.</w:t>
      </w:r>
    </w:p>
    <w:p w:rsidR="005D4D04" w:rsidRDefault="00500AC6">
      <w:pPr>
        <w:rPr>
          <w:noProof/>
        </w:rPr>
      </w:pPr>
      <w:r>
        <w:rPr>
          <w:noProof/>
        </w:rPr>
        <w:t xml:space="preserve">– audity </w:t>
      </w:r>
      <w:r>
        <w:rPr>
          <w:i/>
          <w:noProof/>
        </w:rPr>
        <w:t>ex post</w:t>
      </w:r>
      <w:r>
        <w:rPr>
          <w:noProof/>
        </w:rPr>
        <w:t xml:space="preserve"> zajišťuje dohoda o úrovni služeb s GŘ HOME: Při kontrolách </w:t>
      </w:r>
      <w:r>
        <w:rPr>
          <w:i/>
          <w:noProof/>
        </w:rPr>
        <w:t>ex post</w:t>
      </w:r>
      <w:r>
        <w:rPr>
          <w:noProof/>
        </w:rPr>
        <w:t xml:space="preserve"> je uplatňována „detekční strategie“, jež má odhalovat co nejvíce nesrovnalostí s cílem získat zpět neoprávněně vyplacené platby. V jejím rámci jsou audity provád</w:t>
      </w:r>
      <w:r>
        <w:rPr>
          <w:noProof/>
        </w:rPr>
        <w:t>ěny na vzorku projektů vybíraném téměř výlučně na základě analýzy rizik.</w:t>
      </w:r>
    </w:p>
    <w:p w:rsidR="005D4D04" w:rsidRDefault="00500AC6">
      <w:pPr>
        <w:rPr>
          <w:noProof/>
        </w:rPr>
      </w:pPr>
      <w:r>
        <w:rPr>
          <w:noProof/>
        </w:rPr>
        <w:t xml:space="preserve">Při kontrolách </w:t>
      </w:r>
      <w:r>
        <w:rPr>
          <w:i/>
          <w:noProof/>
        </w:rPr>
        <w:t>ex post</w:t>
      </w:r>
      <w:r>
        <w:rPr>
          <w:noProof/>
        </w:rPr>
        <w:t xml:space="preserve"> by se mělo též využívat křížového spoléhání se na audity a sdílení dostupných informací v zájmu dalšího snížení administrativní zátěže a zvýšení nákladové efekt</w:t>
      </w:r>
      <w:r>
        <w:rPr>
          <w:noProof/>
        </w:rPr>
        <w:t>ivnosti (články 127 a 128 nového finančního nařízení).</w:t>
      </w:r>
    </w:p>
    <w:p w:rsidR="005D4D04" w:rsidRDefault="00500AC6">
      <w:pPr>
        <w:rPr>
          <w:noProof/>
        </w:rPr>
      </w:pPr>
      <w:r>
        <w:rPr>
          <w:noProof/>
        </w:rPr>
        <w:t>Při použití těchto různých prvků kontrolní strategie lze očekávat, že chybovost zůstane pod 2% úrovní významnosti.</w:t>
      </w:r>
    </w:p>
    <w:p w:rsidR="005D4D04" w:rsidRDefault="00500AC6">
      <w:pPr>
        <w:rPr>
          <w:noProof/>
        </w:rPr>
      </w:pPr>
      <w:r>
        <w:rPr>
          <w:noProof/>
        </w:rPr>
        <w:t>Náklady na kontroly představují zhruba 4,49 % plateb, které provádí GŘ JUST. Očekává s</w:t>
      </w:r>
      <w:r>
        <w:rPr>
          <w:noProof/>
        </w:rPr>
        <w:t>e, že tato procentní hodnota zůstane stabilní nebo mírně klesne, pokud v příštím programovém období dojde k rozšíření využívání zjednodušeného vykazování nákladů.</w:t>
      </w:r>
    </w:p>
    <w:p w:rsidR="005D4D04" w:rsidRDefault="00500AC6"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Opatření k zamezení podvodů a nesrovnalostí </w:t>
      </w:r>
    </w:p>
    <w:p w:rsidR="005D4D04" w:rsidRDefault="00500AC6">
      <w:pPr>
        <w:rPr>
          <w:i/>
          <w:noProof/>
        </w:rPr>
      </w:pPr>
      <w:r>
        <w:rPr>
          <w:i/>
          <w:noProof/>
        </w:rPr>
        <w:t>Upřesněte stávající či předpokládaná preven</w:t>
      </w:r>
      <w:r>
        <w:rPr>
          <w:i/>
          <w:noProof/>
        </w:rPr>
        <w:t>tivní a ochranná opatření, např. opatření uvedená ve strategii pro boj proti podvodům.</w:t>
      </w:r>
    </w:p>
    <w:p w:rsidR="005D4D04" w:rsidRDefault="00500AC6">
      <w:pPr>
        <w:rPr>
          <w:noProof/>
        </w:rPr>
      </w:pPr>
      <w:r>
        <w:rPr>
          <w:noProof/>
        </w:rPr>
        <w:t>GŘ JUST schválilo strategii pro boj proti podvodům v dubnu 2018. GŘ bude svoji strategii proti podvodům nadále uplatňovat v souladu s novou strategií Komise proti podvod</w:t>
      </w:r>
      <w:r>
        <w:rPr>
          <w:noProof/>
        </w:rPr>
        <w:t xml:space="preserve">ům (CAFS), aby se mimo jiné zajistilo, že jeho vnitřní kontroly zaměřené proti podvodům jsou plně v souladu s CAFS a přístup k řízení rizika podvodů je zaměřen na zjišťování oblastí s rizikem podvodů a adekvátních reakcí. </w:t>
      </w:r>
    </w:p>
    <w:p w:rsidR="005D4D04" w:rsidRDefault="005D4D04">
      <w:pPr>
        <w:rPr>
          <w:noProof/>
        </w:rPr>
        <w:sectPr w:rsidR="005D4D04" w:rsidSect="00500AC6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5D4D04" w:rsidRDefault="00500AC6"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ODHADOVANÝ FINANČNÍ DOPAD NÁVRHU/PODNĚTU </w:t>
      </w:r>
    </w:p>
    <w:p w:rsidR="005D4D04" w:rsidRDefault="00500AC6"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Okruhy víceletého finančního rámce a navržené výdajové rozpočtové položky 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966"/>
        <w:gridCol w:w="1559"/>
        <w:gridCol w:w="1134"/>
        <w:gridCol w:w="1276"/>
        <w:gridCol w:w="1097"/>
        <w:gridCol w:w="1448"/>
      </w:tblGrid>
      <w:tr w:rsidR="005D4D04">
        <w:tc>
          <w:tcPr>
            <w:tcW w:w="1080" w:type="dxa"/>
            <w:vMerge w:val="restart"/>
            <w:vAlign w:val="center"/>
          </w:tcPr>
          <w:p w:rsidR="005D4D04" w:rsidRDefault="00500AC6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Okruh víceletého finančního rámce</w:t>
            </w:r>
          </w:p>
        </w:tc>
        <w:tc>
          <w:tcPr>
            <w:tcW w:w="2966" w:type="dxa"/>
            <w:vAlign w:val="center"/>
          </w:tcPr>
          <w:p w:rsidR="005D4D04" w:rsidRDefault="00500AC6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Rozpočtová položka</w:t>
            </w:r>
          </w:p>
        </w:tc>
        <w:tc>
          <w:tcPr>
            <w:tcW w:w="1559" w:type="dxa"/>
            <w:vAlign w:val="center"/>
          </w:tcPr>
          <w:p w:rsidR="005D4D04" w:rsidRDefault="00500AC6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Druh </w:t>
            </w:r>
            <w:r>
              <w:rPr>
                <w:noProof/>
                <w:sz w:val="22"/>
              </w:rPr>
              <w:br/>
              <w:t>výdaje</w:t>
            </w:r>
          </w:p>
        </w:tc>
        <w:tc>
          <w:tcPr>
            <w:tcW w:w="4955" w:type="dxa"/>
            <w:gridSpan w:val="4"/>
            <w:vAlign w:val="center"/>
          </w:tcPr>
          <w:p w:rsidR="005D4D04" w:rsidRDefault="00500AC6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Příspěvek</w:t>
            </w:r>
          </w:p>
        </w:tc>
      </w:tr>
      <w:tr w:rsidR="005D4D04">
        <w:tc>
          <w:tcPr>
            <w:tcW w:w="1080" w:type="dxa"/>
            <w:vMerge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2966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číslo </w:t>
            </w:r>
            <w:r>
              <w:rPr>
                <w:noProof/>
                <w:sz w:val="22"/>
              </w:rPr>
              <w:br/>
              <w:t xml:space="preserve">Okruh 2: Soudržnost a hodnoty 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07.06 </w:t>
            </w:r>
            <w:r>
              <w:rPr>
                <w:noProof/>
                <w:sz w:val="22"/>
              </w:rPr>
              <w:t>Spravedlnost, práva a hodnoty</w:t>
            </w:r>
          </w:p>
        </w:tc>
        <w:tc>
          <w:tcPr>
            <w:tcW w:w="1559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RP/NRP</w:t>
            </w:r>
            <w:r>
              <w:rPr>
                <w:rStyle w:val="FootnoteReference"/>
                <w:noProof/>
                <w:sz w:val="22"/>
              </w:rPr>
              <w:footnoteReference w:id="25"/>
            </w:r>
          </w:p>
        </w:tc>
        <w:tc>
          <w:tcPr>
            <w:tcW w:w="1134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zemí ESVO</w:t>
            </w:r>
            <w:r>
              <w:rPr>
                <w:rStyle w:val="FootnoteReference"/>
                <w:noProof/>
                <w:sz w:val="22"/>
              </w:rPr>
              <w:footnoteReference w:id="26"/>
            </w:r>
          </w:p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kandidátských zemí*</w:t>
            </w:r>
          </w:p>
        </w:tc>
        <w:tc>
          <w:tcPr>
            <w:tcW w:w="1097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třetích zemí</w:t>
            </w:r>
          </w:p>
        </w:tc>
        <w:tc>
          <w:tcPr>
            <w:tcW w:w="144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ve smyslu čl. [21 odst. 2 písm. b)] finančního nařízení </w:t>
            </w:r>
          </w:p>
        </w:tc>
      </w:tr>
      <w:tr w:rsidR="005D4D04"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2966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Program Spravedlnost 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07.01.05.01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[]</w:t>
            </w:r>
          </w:p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NRP</w:t>
            </w:r>
          </w:p>
        </w:tc>
        <w:tc>
          <w:tcPr>
            <w:tcW w:w="1134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ANO</w:t>
            </w:r>
          </w:p>
        </w:tc>
        <w:tc>
          <w:tcPr>
            <w:tcW w:w="1276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ANO</w:t>
            </w:r>
          </w:p>
        </w:tc>
        <w:tc>
          <w:tcPr>
            <w:tcW w:w="1097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ANO</w:t>
            </w:r>
          </w:p>
        </w:tc>
        <w:tc>
          <w:tcPr>
            <w:tcW w:w="144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</w:t>
            </w:r>
          </w:p>
        </w:tc>
      </w:tr>
      <w:tr w:rsidR="005D4D04"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2966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Program Spravedlnost 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07.06.01.01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07.06.01.02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07.06.01.03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[]…]</w:t>
            </w:r>
          </w:p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RP</w:t>
            </w:r>
          </w:p>
        </w:tc>
        <w:tc>
          <w:tcPr>
            <w:tcW w:w="1134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ANO</w:t>
            </w:r>
          </w:p>
        </w:tc>
        <w:tc>
          <w:tcPr>
            <w:tcW w:w="1276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ANO</w:t>
            </w:r>
          </w:p>
        </w:tc>
        <w:tc>
          <w:tcPr>
            <w:tcW w:w="1097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ANO</w:t>
            </w:r>
          </w:p>
        </w:tc>
        <w:tc>
          <w:tcPr>
            <w:tcW w:w="144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</w:t>
            </w:r>
          </w:p>
        </w:tc>
      </w:tr>
    </w:tbl>
    <w:p w:rsidR="005D4D04" w:rsidRDefault="00500AC6">
      <w:pPr>
        <w:rPr>
          <w:noProof/>
        </w:rPr>
        <w:sectPr w:rsidR="005D4D04" w:rsidSect="00500AC6"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*Kandidátské země a případně potenciální kandidátské země západního Balkánu</w:t>
      </w:r>
      <w:r>
        <w:rPr>
          <w:noProof/>
        </w:rPr>
        <w:t>.</w:t>
      </w:r>
    </w:p>
    <w:p w:rsidR="005D4D04" w:rsidRDefault="00500AC6"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Odhadovaný dopad na výdaje </w:t>
      </w:r>
    </w:p>
    <w:p w:rsidR="005D4D04" w:rsidRDefault="00500AC6"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Odhadovaný souhrnný dopad na výdaje </w:t>
      </w:r>
    </w:p>
    <w:p w:rsidR="005D4D04" w:rsidRDefault="00500AC6">
      <w:pPr>
        <w:rPr>
          <w:noProof/>
        </w:rPr>
      </w:pPr>
      <w:r>
        <w:rPr>
          <w:noProof/>
        </w:rPr>
        <w:t xml:space="preserve">v milionech EUR (zaokrouhleno na tři </w:t>
      </w:r>
      <w:r>
        <w:rPr>
          <w:noProof/>
        </w:rPr>
        <w:t>desetinná místa)</w:t>
      </w: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824"/>
        <w:gridCol w:w="735"/>
        <w:gridCol w:w="345"/>
        <w:gridCol w:w="373"/>
        <w:gridCol w:w="868"/>
        <w:gridCol w:w="868"/>
        <w:gridCol w:w="868"/>
        <w:gridCol w:w="868"/>
        <w:gridCol w:w="868"/>
        <w:gridCol w:w="868"/>
        <w:gridCol w:w="868"/>
        <w:gridCol w:w="1002"/>
        <w:gridCol w:w="366"/>
        <w:gridCol w:w="830"/>
      </w:tblGrid>
      <w:tr w:rsidR="005D4D04">
        <w:trPr>
          <w:gridAfter w:val="1"/>
          <w:wAfter w:w="830" w:type="dxa"/>
          <w:jc w:val="center"/>
        </w:trPr>
        <w:tc>
          <w:tcPr>
            <w:tcW w:w="4744" w:type="dxa"/>
            <w:gridSpan w:val="2"/>
            <w:shd w:val="thinDiagStripe" w:color="C0C0C0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Okruh víceletého finančního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rámce </w:t>
            </w:r>
          </w:p>
        </w:tc>
        <w:tc>
          <w:tcPr>
            <w:tcW w:w="1080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&lt;2&gt;</w:t>
            </w:r>
          </w:p>
        </w:tc>
        <w:tc>
          <w:tcPr>
            <w:tcW w:w="7817" w:type="dxa"/>
            <w:gridSpan w:val="10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07.06.01 Okruh 2: Soudržnost a hodnoty 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07.06 Spravedlnost, práva a hodnoty </w:t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Program Spravedlnost</w:t>
            </w:r>
          </w:p>
        </w:tc>
      </w:tr>
      <w:tr w:rsidR="005D4D04">
        <w:trPr>
          <w:jc w:val="center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4D04" w:rsidRDefault="005D4D04">
            <w:pPr>
              <w:rPr>
                <w:b/>
                <w:noProof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2024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2025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2026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2027</w:t>
            </w:r>
          </w:p>
        </w:tc>
        <w:tc>
          <w:tcPr>
            <w:tcW w:w="1002" w:type="dxa"/>
          </w:tcPr>
          <w:p w:rsidR="005D4D04" w:rsidRDefault="00500AC6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Po roce 2027</w:t>
            </w:r>
          </w:p>
        </w:tc>
        <w:tc>
          <w:tcPr>
            <w:tcW w:w="1196" w:type="dxa"/>
            <w:gridSpan w:val="2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CELKEM</w:t>
            </w:r>
          </w:p>
        </w:tc>
      </w:tr>
      <w:tr w:rsidR="005D4D04">
        <w:trPr>
          <w:trHeight w:val="433"/>
          <w:jc w:val="center"/>
        </w:trPr>
        <w:tc>
          <w:tcPr>
            <w:tcW w:w="3920" w:type="dxa"/>
            <w:vMerge w:val="restart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Operační prostředky (rozdělení podle rozpočtových položek uvedených v bodě 3.1)  </w:t>
            </w:r>
          </w:p>
        </w:tc>
        <w:tc>
          <w:tcPr>
            <w:tcW w:w="1559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Závazky</w:t>
            </w:r>
          </w:p>
        </w:tc>
        <w:tc>
          <w:tcPr>
            <w:tcW w:w="718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(1)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42,596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42,580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42,555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42,522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42,481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42,432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42,134 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297,300</w:t>
            </w:r>
          </w:p>
        </w:tc>
      </w:tr>
      <w:tr w:rsidR="005D4D04">
        <w:trPr>
          <w:trHeight w:val="411"/>
          <w:jc w:val="center"/>
        </w:trPr>
        <w:tc>
          <w:tcPr>
            <w:tcW w:w="3920" w:type="dxa"/>
            <w:vMerge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Platby</w:t>
            </w:r>
          </w:p>
        </w:tc>
        <w:tc>
          <w:tcPr>
            <w:tcW w:w="718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(2)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4,880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20,234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27,250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29,742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31,131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31,698 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 xml:space="preserve">31,648 </w:t>
            </w:r>
          </w:p>
        </w:tc>
        <w:tc>
          <w:tcPr>
            <w:tcW w:w="1002" w:type="dxa"/>
            <w:vAlign w:val="bottom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 xml:space="preserve">120,717 </w:t>
            </w:r>
          </w:p>
        </w:tc>
        <w:tc>
          <w:tcPr>
            <w:tcW w:w="1196" w:type="dxa"/>
            <w:gridSpan w:val="2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297,300</w:t>
            </w:r>
          </w:p>
        </w:tc>
      </w:tr>
      <w:tr w:rsidR="005D4D04">
        <w:trPr>
          <w:trHeight w:val="319"/>
          <w:jc w:val="center"/>
        </w:trPr>
        <w:tc>
          <w:tcPr>
            <w:tcW w:w="392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Prostředky správní povahy financované z krytí programu*</w:t>
            </w:r>
          </w:p>
        </w:tc>
        <w:tc>
          <w:tcPr>
            <w:tcW w:w="1559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Závazky = Platby</w:t>
            </w:r>
          </w:p>
        </w:tc>
        <w:tc>
          <w:tcPr>
            <w:tcW w:w="718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(3)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7,700</w:t>
            </w:r>
          </w:p>
        </w:tc>
      </w:tr>
      <w:tr w:rsidR="005D4D04">
        <w:trPr>
          <w:jc w:val="center"/>
        </w:trPr>
        <w:tc>
          <w:tcPr>
            <w:tcW w:w="3920" w:type="dxa"/>
            <w:vMerge w:val="restart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Prostředky na krytí programu CELKEM</w:t>
            </w:r>
          </w:p>
        </w:tc>
        <w:tc>
          <w:tcPr>
            <w:tcW w:w="1559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Závazky</w:t>
            </w:r>
          </w:p>
        </w:tc>
        <w:tc>
          <w:tcPr>
            <w:tcW w:w="718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=1+3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43,696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43,680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43,655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43,622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43,581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43,532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43,234</w:t>
            </w:r>
          </w:p>
        </w:tc>
        <w:tc>
          <w:tcPr>
            <w:tcW w:w="1002" w:type="dxa"/>
            <w:shd w:val="clear" w:color="auto" w:fill="A6A6A6" w:themeFill="background1" w:themeFillShade="A6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305,000</w:t>
            </w:r>
          </w:p>
        </w:tc>
      </w:tr>
      <w:tr w:rsidR="005D4D04">
        <w:trPr>
          <w:jc w:val="center"/>
        </w:trPr>
        <w:tc>
          <w:tcPr>
            <w:tcW w:w="3920" w:type="dxa"/>
            <w:vMerge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Platby</w:t>
            </w:r>
          </w:p>
        </w:tc>
        <w:tc>
          <w:tcPr>
            <w:tcW w:w="718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=2+3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5,980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21,334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28,350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30,842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32,231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32,798</w:t>
            </w:r>
          </w:p>
        </w:tc>
        <w:tc>
          <w:tcPr>
            <w:tcW w:w="868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32,748</w:t>
            </w:r>
          </w:p>
        </w:tc>
        <w:tc>
          <w:tcPr>
            <w:tcW w:w="1002" w:type="dxa"/>
            <w:vAlign w:val="bottom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120,717</w:t>
            </w:r>
          </w:p>
        </w:tc>
        <w:tc>
          <w:tcPr>
            <w:tcW w:w="1196" w:type="dxa"/>
            <w:gridSpan w:val="2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305,000</w:t>
            </w:r>
          </w:p>
        </w:tc>
      </w:tr>
    </w:tbl>
    <w:p w:rsidR="005D4D04" w:rsidRDefault="00500AC6">
      <w:pPr>
        <w:rPr>
          <w:noProof/>
        </w:rPr>
      </w:pPr>
      <w:r>
        <w:rPr>
          <w:noProof/>
        </w:rPr>
        <w:t xml:space="preserve">Prostředky jsou určeny k financování činností, které jsou uvedeny v příloze I nařízení. Výše uvedené částky budou rozděleny mezi tři specifické cíle, a to přibližně takto: justiční spolupráce 30 %, justiční vzdělávání 35 % a přístup ke spravedlnosti 35 %. </w:t>
      </w:r>
      <w:r>
        <w:rPr>
          <w:noProof/>
        </w:rPr>
        <w:t xml:space="preserve">Uvedené procentní hodnoty jsou pouze orientační, jelikož je zapotřebí zachovat flexibilitu. </w:t>
      </w:r>
    </w:p>
    <w:p w:rsidR="005D4D04" w:rsidRDefault="00500AC6">
      <w:pPr>
        <w:rPr>
          <w:noProof/>
          <w:sz w:val="18"/>
          <w:szCs w:val="18"/>
        </w:rPr>
      </w:pPr>
      <w:r>
        <w:rPr>
          <w:noProof/>
        </w:rPr>
        <w:t xml:space="preserve">* </w:t>
      </w:r>
      <w:r>
        <w:rPr>
          <w:noProof/>
          <w:sz w:val="18"/>
        </w:rPr>
        <w:t>Technická a/nebo administrativní pomoc a výdaje na podporu provádění programů a/nebo akcí EU (bývalé položky „BA“), nepřímý výzkum, přímý výzkum.</w:t>
      </w:r>
    </w:p>
    <w:p w:rsidR="005D4D04" w:rsidRDefault="005D4D04"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5D4D04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Okruh vícelet</w:t>
            </w:r>
            <w:r>
              <w:rPr>
                <w:b/>
                <w:noProof/>
                <w:sz w:val="22"/>
              </w:rPr>
              <w:t>ého finančního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rámce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7817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„Správní výdaje“</w:t>
            </w:r>
          </w:p>
        </w:tc>
      </w:tr>
    </w:tbl>
    <w:p w:rsidR="005D4D04" w:rsidRDefault="00500AC6">
      <w:pPr>
        <w:rPr>
          <w:noProof/>
        </w:rPr>
      </w:pPr>
      <w:r>
        <w:rPr>
          <w:noProof/>
        </w:rPr>
        <w:t>v milionech EUR (zaokrouhleno na tři desetinná místa)</w:t>
      </w:r>
    </w:p>
    <w:tbl>
      <w:tblPr>
        <w:tblW w:w="14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9"/>
        <w:gridCol w:w="2046"/>
        <w:gridCol w:w="868"/>
        <w:gridCol w:w="868"/>
        <w:gridCol w:w="868"/>
        <w:gridCol w:w="868"/>
        <w:gridCol w:w="868"/>
        <w:gridCol w:w="868"/>
        <w:gridCol w:w="868"/>
        <w:gridCol w:w="887"/>
        <w:gridCol w:w="1291"/>
      </w:tblGrid>
      <w:tr w:rsidR="005D4D04">
        <w:trPr>
          <w:jc w:val="center"/>
        </w:trPr>
        <w:tc>
          <w:tcPr>
            <w:tcW w:w="6245" w:type="dxa"/>
            <w:gridSpan w:val="2"/>
            <w:tcBorders>
              <w:top w:val="nil"/>
              <w:left w:val="nil"/>
            </w:tcBorders>
            <w:vAlign w:val="center"/>
          </w:tcPr>
          <w:p w:rsidR="005D4D04" w:rsidRDefault="005D4D04">
            <w:pPr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2021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2022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2023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2024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2025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2026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2027</w:t>
            </w:r>
          </w:p>
        </w:tc>
        <w:tc>
          <w:tcPr>
            <w:tcW w:w="887" w:type="dxa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i/>
                <w:noProof/>
                <w:sz w:val="22"/>
              </w:rPr>
              <w:t>Po roce 2027</w:t>
            </w:r>
          </w:p>
        </w:tc>
        <w:tc>
          <w:tcPr>
            <w:tcW w:w="1291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CELKEM</w:t>
            </w:r>
          </w:p>
        </w:tc>
      </w:tr>
      <w:tr w:rsidR="005D4D04">
        <w:trPr>
          <w:trHeight w:val="313"/>
          <w:jc w:val="center"/>
        </w:trPr>
        <w:tc>
          <w:tcPr>
            <w:tcW w:w="6245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Lidské zdroje 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128,443</w:t>
            </w:r>
          </w:p>
        </w:tc>
      </w:tr>
      <w:tr w:rsidR="005D4D04">
        <w:trPr>
          <w:trHeight w:val="351"/>
          <w:jc w:val="center"/>
        </w:trPr>
        <w:tc>
          <w:tcPr>
            <w:tcW w:w="6245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Ostatní správní výdaje 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4,900</w:t>
            </w:r>
          </w:p>
        </w:tc>
      </w:tr>
      <w:tr w:rsidR="005D4D04">
        <w:trPr>
          <w:trHeight w:val="351"/>
          <w:jc w:val="center"/>
        </w:trPr>
        <w:tc>
          <w:tcPr>
            <w:tcW w:w="4199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Prostředky z OKRUHU 7 víceletého finančního rámce CELKEM</w:t>
            </w:r>
          </w:p>
        </w:tc>
        <w:tc>
          <w:tcPr>
            <w:tcW w:w="2046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(Závazky celkem = platby celkem)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887" w:type="dxa"/>
            <w:shd w:val="clear" w:color="auto" w:fill="A6A6A6" w:themeFill="background1" w:themeFillShade="A6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133,343</w:t>
            </w:r>
          </w:p>
        </w:tc>
      </w:tr>
    </w:tbl>
    <w:p w:rsidR="005D4D04" w:rsidRDefault="00500AC6">
      <w:pPr>
        <w:rPr>
          <w:noProof/>
        </w:rPr>
      </w:pPr>
      <w:r>
        <w:rPr>
          <w:noProof/>
        </w:rPr>
        <w:t>v milionech EUR (zaokrouhleno na tři desetinná místa)</w:t>
      </w:r>
    </w:p>
    <w:tbl>
      <w:tblPr>
        <w:tblW w:w="14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877"/>
        <w:gridCol w:w="1292"/>
      </w:tblGrid>
      <w:tr w:rsidR="005D4D04">
        <w:trPr>
          <w:jc w:val="center"/>
        </w:trPr>
        <w:tc>
          <w:tcPr>
            <w:tcW w:w="4173" w:type="dxa"/>
            <w:tcBorders>
              <w:top w:val="nil"/>
              <w:left w:val="nil"/>
              <w:right w:val="nil"/>
            </w:tcBorders>
            <w:vAlign w:val="center"/>
          </w:tcPr>
          <w:p w:rsidR="005D4D04" w:rsidRDefault="005D4D04">
            <w:pPr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D4D04" w:rsidRDefault="005D4D04">
            <w:pPr>
              <w:rPr>
                <w:noProof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5D4D04" w:rsidRDefault="005D4D04">
            <w:pPr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</w:rPr>
            </w:pPr>
            <w:r>
              <w:rPr>
                <w:b/>
                <w:noProof/>
              </w:rPr>
              <w:t>2023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</w:rPr>
            </w:pPr>
            <w:r>
              <w:rPr>
                <w:b/>
                <w:noProof/>
              </w:rPr>
              <w:t>2024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2025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2026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2027</w:t>
            </w:r>
          </w:p>
        </w:tc>
        <w:tc>
          <w:tcPr>
            <w:tcW w:w="877" w:type="dxa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i/>
                <w:noProof/>
              </w:rPr>
              <w:t>Po roce 2027</w:t>
            </w:r>
          </w:p>
        </w:tc>
        <w:tc>
          <w:tcPr>
            <w:tcW w:w="1292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CELKEM</w:t>
            </w:r>
          </w:p>
        </w:tc>
      </w:tr>
      <w:tr w:rsidR="005D4D04">
        <w:trPr>
          <w:jc w:val="center"/>
        </w:trPr>
        <w:tc>
          <w:tcPr>
            <w:tcW w:w="4173" w:type="dxa"/>
            <w:vMerge w:val="restart"/>
            <w:shd w:val="clear" w:color="auto" w:fill="C0C0C0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CELKEM prostředky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ze všech OKRUHŮ </w:t>
            </w:r>
            <w:r>
              <w:rPr>
                <w:noProof/>
                <w:sz w:val="22"/>
              </w:rPr>
              <w:br/>
              <w:t>víceletého finančního rámce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Závazky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62,745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62,729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62,704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62,704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62,630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62,581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62,283</w:t>
            </w:r>
          </w:p>
        </w:tc>
        <w:tc>
          <w:tcPr>
            <w:tcW w:w="877" w:type="dxa"/>
            <w:shd w:val="clear" w:color="auto" w:fill="A6A6A6" w:themeFill="background1" w:themeFillShade="A6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292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438,343</w:t>
            </w:r>
          </w:p>
        </w:tc>
      </w:tr>
      <w:tr w:rsidR="005D4D04">
        <w:trPr>
          <w:jc w:val="center"/>
        </w:trPr>
        <w:tc>
          <w:tcPr>
            <w:tcW w:w="4173" w:type="dxa"/>
            <w:vMerge/>
            <w:shd w:val="clear" w:color="auto" w:fill="C0C0C0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Platby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25,029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40,383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47,399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49,891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51,280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51,847</w:t>
            </w:r>
          </w:p>
        </w:tc>
        <w:tc>
          <w:tcPr>
            <w:tcW w:w="868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51,797</w:t>
            </w:r>
          </w:p>
        </w:tc>
        <w:tc>
          <w:tcPr>
            <w:tcW w:w="877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120,717</w:t>
            </w:r>
          </w:p>
        </w:tc>
        <w:tc>
          <w:tcPr>
            <w:tcW w:w="1292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438,343</w:t>
            </w:r>
          </w:p>
        </w:tc>
      </w:tr>
    </w:tbl>
    <w:p w:rsidR="005D4D04" w:rsidRDefault="005D4D04">
      <w:pPr>
        <w:rPr>
          <w:noProof/>
        </w:rPr>
        <w:sectPr w:rsidR="005D4D04" w:rsidSect="00500AC6">
          <w:headerReference w:type="default" r:id="rId20"/>
          <w:footerReference w:type="default" r:id="rId21"/>
          <w:headerReference w:type="first" r:id="rId22"/>
          <w:footerReference w:type="first" r:id="rId23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5D4D04" w:rsidRDefault="00500AC6"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Odhadovaný dopad na operační prostředky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Návrh/podnět nevyžaduje využití prostředků správní povahy. </w:t>
      </w:r>
    </w:p>
    <w:p w:rsidR="005D4D04" w:rsidRDefault="00500AC6">
      <w:pPr>
        <w:rPr>
          <w:noProof/>
        </w:rPr>
      </w:pPr>
      <w:r>
        <w:rPr>
          <w:noProof/>
        </w:rPr>
        <w:t>x</w:t>
      </w:r>
      <w:r>
        <w:rPr>
          <w:noProof/>
        </w:rPr>
        <w:tab/>
        <w:t>Návrh/podnět vyžaduje využití prostředků správní povahy, jak je vysvětleno dále</w:t>
      </w:r>
      <w:r>
        <w:rPr>
          <w:noProof/>
        </w:rPr>
        <w:t>:</w:t>
      </w:r>
    </w:p>
    <w:p w:rsidR="005D4D04" w:rsidRDefault="00500AC6">
      <w:pPr>
        <w:rPr>
          <w:noProof/>
        </w:rPr>
      </w:pPr>
      <w:r>
        <w:rPr>
          <w:noProof/>
        </w:rPr>
        <w:t>v milionech EUR (zaokrouhleno na tři desetinná místa)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D4D04">
        <w:trPr>
          <w:trHeight w:val="585"/>
        </w:trPr>
        <w:tc>
          <w:tcPr>
            <w:tcW w:w="19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Roky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2021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2022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2023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2024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2025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2026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2027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CELKEM</w:t>
            </w:r>
          </w:p>
        </w:tc>
      </w:tr>
    </w:tbl>
    <w:p w:rsidR="005D4D04" w:rsidRDefault="005D4D04">
      <w:pPr>
        <w:rPr>
          <w:noProof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D4D04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OKRUH 7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víceletého finančního rámce</w:t>
            </w: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</w:tr>
      <w:tr w:rsidR="005D4D04">
        <w:trPr>
          <w:trHeight w:val="585"/>
        </w:trPr>
        <w:tc>
          <w:tcPr>
            <w:tcW w:w="19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Lidské zdroje 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18,349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128,443</w:t>
            </w:r>
          </w:p>
        </w:tc>
      </w:tr>
      <w:tr w:rsidR="005D4D04">
        <w:trPr>
          <w:trHeight w:val="585"/>
        </w:trPr>
        <w:tc>
          <w:tcPr>
            <w:tcW w:w="19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Ostatní správní výdaje 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0,700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4,900</w:t>
            </w:r>
          </w:p>
        </w:tc>
      </w:tr>
      <w:tr w:rsidR="005D4D04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Mezisoučet za OKRUH 7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víceletého finančního rámce 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19,049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133,343</w:t>
            </w:r>
          </w:p>
        </w:tc>
      </w:tr>
    </w:tbl>
    <w:p w:rsidR="005D4D04" w:rsidRDefault="005D4D04">
      <w:pPr>
        <w:rPr>
          <w:noProof/>
          <w:sz w:val="22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D4D04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Mimo OKRUH 7</w:t>
            </w:r>
            <w:r>
              <w:rPr>
                <w:rStyle w:val="FootnoteReference"/>
                <w:b/>
                <w:noProof/>
                <w:sz w:val="22"/>
              </w:rPr>
              <w:footnoteReference w:id="27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víceletého finančního rámce </w:t>
            </w:r>
          </w:p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</w:tr>
      <w:tr w:rsidR="005D4D04">
        <w:trPr>
          <w:trHeight w:val="585"/>
        </w:trPr>
        <w:tc>
          <w:tcPr>
            <w:tcW w:w="19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Lidské zdroje </w:t>
            </w: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</w:tr>
      <w:tr w:rsidR="005D4D04">
        <w:trPr>
          <w:trHeight w:val="585"/>
        </w:trPr>
        <w:tc>
          <w:tcPr>
            <w:tcW w:w="19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Ostatní výdaje </w:t>
            </w:r>
            <w:r>
              <w:rPr>
                <w:noProof/>
                <w:sz w:val="22"/>
              </w:rPr>
              <w:br/>
              <w:t xml:space="preserve">správní </w:t>
            </w:r>
            <w:r>
              <w:rPr>
                <w:noProof/>
                <w:sz w:val="22"/>
              </w:rPr>
              <w:t>povahy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7,700</w:t>
            </w:r>
          </w:p>
        </w:tc>
      </w:tr>
      <w:tr w:rsidR="005D4D04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Mezisoučet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mimo OKRUH 7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víceletého finančního rámce 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1,100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7,700</w:t>
            </w:r>
          </w:p>
        </w:tc>
      </w:tr>
    </w:tbl>
    <w:p w:rsidR="005D4D04" w:rsidRDefault="005D4D04">
      <w:pPr>
        <w:rPr>
          <w:noProof/>
          <w:sz w:val="22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D4D04"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20 149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20 149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20 149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20 149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20 149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20 149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20 149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141 043</w:t>
            </w:r>
          </w:p>
        </w:tc>
      </w:tr>
    </w:tbl>
    <w:p w:rsidR="005D4D04" w:rsidRDefault="00500AC6">
      <w:pPr>
        <w:rPr>
          <w:noProof/>
        </w:rPr>
      </w:pPr>
      <w:r>
        <w:rPr>
          <w:noProof/>
        </w:rPr>
        <w:t xml:space="preserve">Potřebné prostředky na oblast </w:t>
      </w:r>
      <w:r>
        <w:rPr>
          <w:noProof/>
        </w:rPr>
        <w:t>lidských zdrojů a na ostatní výdaje správní povahy budou pokryty z prostředků GŘ, které jsou již vyčleněny na řízení akce a/nebo byly vnitřně přerozděleny v rámci GŘ a případně doplněny z dodatečného přídělu, který lze řídícímu GŘ poskytnout v rámci ročníh</w:t>
      </w:r>
      <w:r>
        <w:rPr>
          <w:noProof/>
        </w:rPr>
        <w:t>o přidělování a s ohledem na rozpočtová omezení.</w:t>
      </w:r>
    </w:p>
    <w:p w:rsidR="005D4D04" w:rsidRDefault="005D4D04">
      <w:pPr>
        <w:rPr>
          <w:noProof/>
        </w:rPr>
        <w:sectPr w:rsidR="005D4D04" w:rsidSect="00500AC6">
          <w:headerReference w:type="default" r:id="rId24"/>
          <w:footerReference w:type="default" r:id="rId25"/>
          <w:headerReference w:type="first" r:id="rId26"/>
          <w:footerReference w:type="first" r:id="rId27"/>
          <w:pgSz w:w="11907" w:h="16840" w:code="9"/>
          <w:pgMar w:top="1418" w:right="567" w:bottom="1418" w:left="1134" w:header="709" w:footer="709" w:gutter="0"/>
          <w:cols w:space="708"/>
          <w:docGrid w:linePitch="360"/>
        </w:sectPr>
      </w:pPr>
    </w:p>
    <w:p w:rsidR="005D4D04" w:rsidRDefault="00500AC6">
      <w:pPr>
        <w:pStyle w:val="ManualHeading4"/>
        <w:rPr>
          <w:noProof/>
        </w:rPr>
      </w:pPr>
      <w:r>
        <w:t>3.2.2.1.</w:t>
      </w:r>
      <w:r>
        <w:tab/>
      </w:r>
      <w:r>
        <w:rPr>
          <w:noProof/>
        </w:rPr>
        <w:t>Odhadované potřeby v oblasti lidských zdrojů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Návrh/podnět nevyžaduje využití lidských zdrojů. </w:t>
      </w:r>
    </w:p>
    <w:p w:rsidR="005D4D04" w:rsidRDefault="00500AC6">
      <w:pPr>
        <w:rPr>
          <w:noProof/>
        </w:rPr>
      </w:pPr>
      <w:r>
        <w:rPr>
          <w:noProof/>
        </w:rPr>
        <w:t>x</w:t>
      </w:r>
      <w:r>
        <w:rPr>
          <w:noProof/>
        </w:rPr>
        <w:tab/>
        <w:t>Návrh/podnět vyžaduje využití lidských</w:t>
      </w:r>
      <w:r>
        <w:rPr>
          <w:noProof/>
        </w:rPr>
        <w:t xml:space="preserve"> zdrojů, jak je vysvětleno dále:</w:t>
      </w:r>
    </w:p>
    <w:p w:rsidR="005D4D04" w:rsidRDefault="00500AC6">
      <w:pPr>
        <w:rPr>
          <w:i/>
          <w:noProof/>
        </w:rPr>
      </w:pPr>
      <w:r>
        <w:rPr>
          <w:i/>
          <w:noProof/>
        </w:rPr>
        <w:t>Odhad vyjádřete v přepočtu na plné pracovní úvazky</w:t>
      </w:r>
    </w:p>
    <w:tbl>
      <w:tblPr>
        <w:tblW w:w="571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65"/>
        <w:gridCol w:w="990"/>
        <w:gridCol w:w="1134"/>
        <w:gridCol w:w="990"/>
        <w:gridCol w:w="1134"/>
        <w:gridCol w:w="1132"/>
        <w:gridCol w:w="994"/>
        <w:gridCol w:w="1119"/>
      </w:tblGrid>
      <w:tr w:rsidR="005D4D04">
        <w:trPr>
          <w:trHeight w:val="289"/>
        </w:trPr>
        <w:tc>
          <w:tcPr>
            <w:tcW w:w="1472" w:type="pct"/>
            <w:gridSpan w:val="2"/>
            <w:vAlign w:val="center"/>
          </w:tcPr>
          <w:p w:rsidR="005D4D04" w:rsidRDefault="00500AC6">
            <w:pPr>
              <w:rPr>
                <w:i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Roky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2027</w:t>
            </w:r>
          </w:p>
        </w:tc>
      </w:tr>
      <w:tr w:rsidR="005D4D04">
        <w:trPr>
          <w:trHeight w:val="289"/>
        </w:trPr>
        <w:tc>
          <w:tcPr>
            <w:tcW w:w="5000" w:type="pct"/>
            <w:gridSpan w:val="9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sym w:font="Wingdings" w:char="F09F"/>
            </w:r>
            <w:r>
              <w:rPr>
                <w:b/>
                <w:noProof/>
                <w:sz w:val="22"/>
              </w:rPr>
              <w:t xml:space="preserve"> Pracovní místa podle plánu pracovních míst (místa úředníků a dočasných zaměstnanců)</w:t>
            </w:r>
          </w:p>
        </w:tc>
      </w:tr>
      <w:tr w:rsidR="005D4D04">
        <w:trPr>
          <w:trHeight w:val="289"/>
        </w:trPr>
        <w:tc>
          <w:tcPr>
            <w:tcW w:w="1472" w:type="pct"/>
            <w:gridSpan w:val="2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Ústředí a zastoupení Komise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115,5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115,5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115,5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115,5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115,5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115,5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115,5</w:t>
            </w:r>
          </w:p>
        </w:tc>
      </w:tr>
      <w:tr w:rsidR="005D4D04">
        <w:trPr>
          <w:trHeight w:val="289"/>
        </w:trPr>
        <w:tc>
          <w:tcPr>
            <w:tcW w:w="1472" w:type="pct"/>
            <w:gridSpan w:val="2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Delegace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  <w:tr w:rsidR="005D4D04">
        <w:trPr>
          <w:trHeight w:val="289"/>
        </w:trPr>
        <w:tc>
          <w:tcPr>
            <w:tcW w:w="1472" w:type="pct"/>
            <w:gridSpan w:val="2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Výzkum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  <w:tr w:rsidR="005D4D04">
        <w:trPr>
          <w:trHeight w:val="293"/>
        </w:trPr>
        <w:tc>
          <w:tcPr>
            <w:tcW w:w="5000" w:type="pct"/>
            <w:gridSpan w:val="9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sym w:font="Wingdings" w:char="F09F"/>
            </w:r>
            <w:r>
              <w:rPr>
                <w:b/>
                <w:noProof/>
                <w:sz w:val="22"/>
              </w:rPr>
              <w:t>Externí zaměstnanci (v přepočtu na plné pracovní úvazky: FTE) – SZ, MZ, VNO, ZAP a MOD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Style w:val="FootnoteReference"/>
                <w:noProof/>
                <w:sz w:val="22"/>
              </w:rPr>
              <w:footnoteReference w:id="28"/>
            </w:r>
          </w:p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Okruh 7</w:t>
            </w:r>
          </w:p>
        </w:tc>
      </w:tr>
      <w:tr w:rsidR="005D4D04">
        <w:trPr>
          <w:trHeight w:val="485"/>
        </w:trPr>
        <w:tc>
          <w:tcPr>
            <w:tcW w:w="735" w:type="pct"/>
            <w:vMerge w:val="restart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Financovaní z OKRUHU 7 víceletého finančního rámce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– v ústředí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24</w:t>
            </w:r>
          </w:p>
        </w:tc>
      </w:tr>
      <w:tr w:rsidR="005D4D04">
        <w:trPr>
          <w:trHeight w:val="289"/>
        </w:trPr>
        <w:tc>
          <w:tcPr>
            <w:tcW w:w="735" w:type="pct"/>
            <w:vMerge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737" w:type="pct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– při delegacích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  <w:tr w:rsidR="005D4D04">
        <w:trPr>
          <w:trHeight w:val="370"/>
        </w:trPr>
        <w:tc>
          <w:tcPr>
            <w:tcW w:w="735" w:type="pct"/>
            <w:vMerge w:val="restart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Financovaní z krytí programu</w:t>
            </w:r>
            <w:r>
              <w:rPr>
                <w:b/>
                <w:noProof/>
                <w:sz w:val="22"/>
              </w:rPr>
              <w:t xml:space="preserve"> </w:t>
            </w:r>
            <w:r>
              <w:rPr>
                <w:rStyle w:val="FootnoteReference"/>
                <w:b/>
                <w:noProof/>
                <w:sz w:val="22"/>
              </w:rPr>
              <w:footnoteReference w:id="29"/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>– v ústředí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  <w:tr w:rsidR="005D4D04">
        <w:trPr>
          <w:trHeight w:val="289"/>
        </w:trPr>
        <w:tc>
          <w:tcPr>
            <w:tcW w:w="735" w:type="pct"/>
            <w:vMerge/>
          </w:tcPr>
          <w:p w:rsidR="005D4D04" w:rsidRDefault="005D4D04">
            <w:pPr>
              <w:rPr>
                <w:b/>
                <w:noProof/>
                <w:sz w:val="22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noProof/>
                <w:sz w:val="22"/>
              </w:rPr>
              <w:t xml:space="preserve">– při delegacích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  <w:tr w:rsidR="005D4D04">
        <w:trPr>
          <w:trHeight w:val="289"/>
        </w:trPr>
        <w:tc>
          <w:tcPr>
            <w:tcW w:w="1472" w:type="pct"/>
            <w:gridSpan w:val="2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Výzkum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  <w:tr w:rsidR="005D4D04">
        <w:trPr>
          <w:trHeight w:val="289"/>
        </w:trPr>
        <w:tc>
          <w:tcPr>
            <w:tcW w:w="1472" w:type="pct"/>
            <w:gridSpan w:val="2"/>
            <w:tcBorders>
              <w:bottom w:val="double" w:sz="4" w:space="0" w:color="auto"/>
            </w:tcBorders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Jiné (upřesněte)</w:t>
            </w:r>
          </w:p>
        </w:tc>
        <w:tc>
          <w:tcPr>
            <w:tcW w:w="46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3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4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52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  <w:tr w:rsidR="005D4D04">
        <w:trPr>
          <w:trHeight w:val="289"/>
        </w:trPr>
        <w:tc>
          <w:tcPr>
            <w:tcW w:w="1472" w:type="pct"/>
            <w:gridSpan w:val="2"/>
            <w:tcBorders>
              <w:top w:val="double" w:sz="4" w:space="0" w:color="auto"/>
            </w:tcBorders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CELKEM</w:t>
            </w:r>
          </w:p>
        </w:tc>
        <w:tc>
          <w:tcPr>
            <w:tcW w:w="4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139,5</w:t>
            </w: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139,5</w:t>
            </w:r>
          </w:p>
        </w:tc>
        <w:tc>
          <w:tcPr>
            <w:tcW w:w="4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139,5</w:t>
            </w:r>
          </w:p>
        </w:tc>
        <w:tc>
          <w:tcPr>
            <w:tcW w:w="53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139,5</w:t>
            </w:r>
          </w:p>
        </w:tc>
        <w:tc>
          <w:tcPr>
            <w:tcW w:w="5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139,5</w:t>
            </w:r>
          </w:p>
        </w:tc>
        <w:tc>
          <w:tcPr>
            <w:tcW w:w="4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139,5</w:t>
            </w:r>
          </w:p>
        </w:tc>
        <w:tc>
          <w:tcPr>
            <w:tcW w:w="52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4D04" w:rsidRDefault="00500AC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139,5</w:t>
            </w:r>
          </w:p>
        </w:tc>
      </w:tr>
    </w:tbl>
    <w:p w:rsidR="005D4D04" w:rsidRDefault="00500AC6">
      <w:pPr>
        <w:rPr>
          <w:noProof/>
        </w:rPr>
      </w:pPr>
      <w:r>
        <w:rPr>
          <w:noProof/>
        </w:rPr>
        <w:t xml:space="preserve">Potřeby v oblasti lidských zdrojů budou pokryty ze zdrojů GŘ, </w:t>
      </w:r>
      <w:r>
        <w:rPr>
          <w:noProof/>
        </w:rPr>
        <w:t>které jsou již vyčleněny na řízení akce a/nebo byly vnitřně přeobsazeny v rámci GŘ a případně doplněny z dodatečného přídělu, který lze řídícímu GŘ poskytnout v rámci ročního přidělování a s ohledem na rozpočtová omezení.</w:t>
      </w:r>
    </w:p>
    <w:p w:rsidR="005D4D04" w:rsidRDefault="00500AC6">
      <w:pPr>
        <w:rPr>
          <w:noProof/>
        </w:rPr>
      </w:pPr>
      <w:r>
        <w:rPr>
          <w:noProof/>
        </w:rPr>
        <w:t>Popis úkolů:</w:t>
      </w:r>
    </w:p>
    <w:tbl>
      <w:tblPr>
        <w:tblW w:w="10632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392"/>
      </w:tblGrid>
      <w:tr w:rsidR="005D4D04">
        <w:tc>
          <w:tcPr>
            <w:tcW w:w="3240" w:type="dxa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Úředníci a dočasní </w:t>
            </w:r>
            <w:r>
              <w:rPr>
                <w:noProof/>
                <w:sz w:val="22"/>
              </w:rPr>
              <w:t>zaměstnanci</w:t>
            </w:r>
          </w:p>
        </w:tc>
        <w:tc>
          <w:tcPr>
            <w:tcW w:w="7392" w:type="dxa"/>
          </w:tcPr>
          <w:p w:rsidR="005D4D04" w:rsidRDefault="00500AC6">
            <w:pPr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 xml:space="preserve">GŘ JUST: VEŠKERÉ FTE GŘ JUST byly přiděleny k jednomu ze tří probíhajících programů, </w:t>
            </w:r>
          </w:p>
          <w:p w:rsidR="005D4D04" w:rsidRDefault="00500AC6">
            <w:pPr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 xml:space="preserve">FTE pro program Spravedlnost: 40 % z oddělení pro programové a finanční řízení JUST.04, 40 % z ostatních horizontálních oddělení a FTE z oddělení politik </w:t>
            </w:r>
            <w:r>
              <w:rPr>
                <w:noProof/>
                <w:sz w:val="22"/>
                <w:u w:val="single"/>
              </w:rPr>
              <w:t>souvisejících s programem Spravedlnost (a sice oddělení: A1, B1, B2, B4, C1)</w:t>
            </w:r>
          </w:p>
          <w:p w:rsidR="005D4D04" w:rsidRDefault="00500AC6">
            <w:pPr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>GŘ COMP: 0,5 AD, 1 AST</w:t>
            </w:r>
          </w:p>
        </w:tc>
      </w:tr>
      <w:tr w:rsidR="005D4D04">
        <w:tc>
          <w:tcPr>
            <w:tcW w:w="3240" w:type="dxa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Externí zaměstnanci</w:t>
            </w:r>
          </w:p>
        </w:tc>
        <w:tc>
          <w:tcPr>
            <w:tcW w:w="7392" w:type="dxa"/>
          </w:tcPr>
          <w:p w:rsidR="005D4D04" w:rsidRDefault="00500AC6">
            <w:pPr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>FTE související s programem Spravedlnost</w:t>
            </w:r>
          </w:p>
          <w:p w:rsidR="005D4D04" w:rsidRDefault="00500AC6">
            <w:pPr>
              <w:rPr>
                <w:noProof/>
                <w:sz w:val="22"/>
                <w:u w:val="single"/>
              </w:rPr>
            </w:pPr>
            <w:r>
              <w:rPr>
                <w:noProof/>
                <w:sz w:val="22"/>
                <w:u w:val="single"/>
              </w:rPr>
              <w:t>GŘ COMP: 1 AC</w:t>
            </w:r>
          </w:p>
        </w:tc>
      </w:tr>
    </w:tbl>
    <w:p w:rsidR="005D4D04" w:rsidRDefault="005D4D04">
      <w:pPr>
        <w:ind w:left="850"/>
        <w:rPr>
          <w:iCs/>
          <w:noProof/>
        </w:rPr>
        <w:sectPr w:rsidR="005D4D04" w:rsidSect="00500AC6"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 w:rsidR="005D4D04" w:rsidRDefault="00500AC6">
      <w:pPr>
        <w:pStyle w:val="ManualHeading3"/>
        <w:rPr>
          <w:noProof/>
        </w:rPr>
      </w:pPr>
      <w:r>
        <w:t>3.2.3.</w:t>
      </w:r>
      <w:r>
        <w:tab/>
      </w:r>
      <w:r>
        <w:rPr>
          <w:noProof/>
        </w:rPr>
        <w:t xml:space="preserve">Příspěvky třetích stran </w:t>
      </w:r>
    </w:p>
    <w:p w:rsidR="005D4D04" w:rsidRDefault="00500AC6">
      <w:pPr>
        <w:rPr>
          <w:noProof/>
        </w:rPr>
      </w:pPr>
      <w:r>
        <w:rPr>
          <w:noProof/>
        </w:rPr>
        <w:t>Návrh/podnět: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nepočítá </w:t>
      </w:r>
      <w:r>
        <w:rPr>
          <w:noProof/>
        </w:rPr>
        <w:t>se spolufinancováním od třetích stran.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počítá se spolufinancováním od třetích stran podle následujícího odhadu:</w:t>
      </w:r>
    </w:p>
    <w:p w:rsidR="005D4D04" w:rsidRDefault="00500AC6">
      <w:pPr>
        <w:rPr>
          <w:noProof/>
        </w:rPr>
      </w:pPr>
      <w:r>
        <w:rPr>
          <w:noProof/>
        </w:rPr>
        <w:t>prostředky v milionech EUR (zaokrouhleno na tři desetinná místa)</w:t>
      </w:r>
    </w:p>
    <w:tbl>
      <w:tblPr>
        <w:tblW w:w="102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 w:rsidR="005D4D04">
        <w:trPr>
          <w:cantSplit/>
          <w:jc w:val="center"/>
        </w:trPr>
        <w:tc>
          <w:tcPr>
            <w:tcW w:w="2340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Roky</w:t>
            </w:r>
          </w:p>
        </w:tc>
        <w:tc>
          <w:tcPr>
            <w:tcW w:w="964" w:type="dxa"/>
            <w:vAlign w:val="center"/>
          </w:tcPr>
          <w:p w:rsidR="005D4D04" w:rsidRDefault="00500AC6">
            <w:pPr>
              <w:rPr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964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964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  <w:tc>
          <w:tcPr>
            <w:tcW w:w="964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2024</w:t>
            </w:r>
          </w:p>
        </w:tc>
        <w:tc>
          <w:tcPr>
            <w:tcW w:w="964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2025</w:t>
            </w:r>
          </w:p>
        </w:tc>
        <w:tc>
          <w:tcPr>
            <w:tcW w:w="964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2026</w:t>
            </w:r>
          </w:p>
        </w:tc>
        <w:tc>
          <w:tcPr>
            <w:tcW w:w="964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2027</w:t>
            </w:r>
          </w:p>
        </w:tc>
        <w:tc>
          <w:tcPr>
            <w:tcW w:w="1158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CELKEM</w:t>
            </w:r>
          </w:p>
        </w:tc>
      </w:tr>
      <w:tr w:rsidR="005D4D04">
        <w:trPr>
          <w:cantSplit/>
          <w:jc w:val="center"/>
        </w:trPr>
        <w:tc>
          <w:tcPr>
            <w:tcW w:w="2340" w:type="dxa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Upřesněte spolufinancující </w:t>
            </w:r>
            <w:r>
              <w:rPr>
                <w:noProof/>
                <w:sz w:val="22"/>
              </w:rPr>
              <w:t>subjekt</w:t>
            </w:r>
            <w:r>
              <w:rPr>
                <w:i/>
                <w:noProof/>
                <w:sz w:val="22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158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  <w:tr w:rsidR="005D4D04">
        <w:trPr>
          <w:cantSplit/>
          <w:jc w:val="center"/>
        </w:trPr>
        <w:tc>
          <w:tcPr>
            <w:tcW w:w="2340" w:type="dxa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Spolufinancované prostředky CELKEM </w:t>
            </w: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64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158" w:type="dxa"/>
            <w:vAlign w:val="center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</w:tbl>
    <w:p w:rsidR="005D4D04" w:rsidRDefault="005D4D04">
      <w:pPr>
        <w:rPr>
          <w:noProof/>
        </w:rPr>
      </w:pPr>
    </w:p>
    <w:p w:rsidR="005D4D04" w:rsidRDefault="00500AC6">
      <w:pPr>
        <w:pStyle w:val="ManualHeading2"/>
        <w:rPr>
          <w:bCs/>
          <w:noProof/>
          <w:szCs w:val="24"/>
        </w:rPr>
      </w:pPr>
      <w:r>
        <w:t>3.3.</w:t>
      </w:r>
      <w:r>
        <w:tab/>
      </w:r>
      <w:r>
        <w:rPr>
          <w:noProof/>
        </w:rPr>
        <w:t xml:space="preserve">Odhadovaný dopad na příjmy 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nemá žádný finanční dopad na příjmy.</w:t>
      </w:r>
    </w:p>
    <w:p w:rsidR="005D4D04" w:rsidRDefault="00500AC6">
      <w:p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má tento finanční dopad:</w:t>
      </w:r>
    </w:p>
    <w:p w:rsidR="005D4D04" w:rsidRDefault="00500AC6">
      <w:pPr>
        <w:tabs>
          <w:tab w:val="num" w:pos="1843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na vlastní zdroje </w:t>
      </w:r>
    </w:p>
    <w:p w:rsidR="005D4D04" w:rsidRDefault="00500AC6">
      <w:pPr>
        <w:tabs>
          <w:tab w:val="num" w:pos="1843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na jiné příjmy</w:t>
      </w:r>
    </w:p>
    <w:p w:rsidR="005D4D04" w:rsidRDefault="00500AC6">
      <w:pPr>
        <w:rPr>
          <w:noProof/>
        </w:rPr>
      </w:pPr>
      <w:r>
        <w:rPr>
          <w:noProof/>
        </w:rPr>
        <w:t xml:space="preserve">      uveďte, zda je příjem účelově vázán na výdajové položky </w:t>
      </w:r>
      <w:r>
        <w:rPr>
          <w:noProof/>
        </w:rPr>
        <w:sym w:font="Wingdings" w:char="F0A8"/>
      </w:r>
      <w:r>
        <w:rPr>
          <w:noProof/>
        </w:rPr>
        <w:tab/>
      </w:r>
    </w:p>
    <w:p w:rsidR="005D4D04" w:rsidRDefault="00500AC6">
      <w:pPr>
        <w:rPr>
          <w:noProof/>
        </w:rPr>
      </w:pPr>
      <w:r>
        <w:rPr>
          <w:noProof/>
        </w:rPr>
        <w:t>v milionech EUR (zaokrouhleno na tři desetinná místa)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080"/>
        <w:gridCol w:w="900"/>
        <w:gridCol w:w="900"/>
        <w:gridCol w:w="1080"/>
        <w:gridCol w:w="1080"/>
        <w:gridCol w:w="1080"/>
        <w:gridCol w:w="1080"/>
      </w:tblGrid>
      <w:tr w:rsidR="005D4D04">
        <w:trPr>
          <w:trHeight w:val="388"/>
          <w:jc w:val="center"/>
        </w:trPr>
        <w:tc>
          <w:tcPr>
            <w:tcW w:w="2144" w:type="dxa"/>
            <w:vMerge w:val="restart"/>
            <w:vAlign w:val="center"/>
          </w:tcPr>
          <w:p w:rsidR="005D4D04" w:rsidRDefault="00500AC6">
            <w:pPr>
              <w:rPr>
                <w:noProof/>
              </w:rPr>
            </w:pPr>
            <w:r>
              <w:rPr>
                <w:noProof/>
              </w:rPr>
              <w:t>Příjmová rozpočtová položka:</w:t>
            </w:r>
          </w:p>
        </w:tc>
        <w:tc>
          <w:tcPr>
            <w:tcW w:w="7200" w:type="dxa"/>
            <w:gridSpan w:val="7"/>
            <w:vAlign w:val="center"/>
          </w:tcPr>
          <w:p w:rsidR="005D4D04" w:rsidRDefault="00500AC6">
            <w:pPr>
              <w:rPr>
                <w:noProof/>
              </w:rPr>
            </w:pPr>
            <w:r>
              <w:rPr>
                <w:noProof/>
              </w:rPr>
              <w:t>Dopad návrhu/podnětu</w:t>
            </w:r>
            <w:r>
              <w:rPr>
                <w:rStyle w:val="FootnoteReference"/>
                <w:noProof/>
              </w:rPr>
              <w:footnoteReference w:id="30"/>
            </w:r>
          </w:p>
        </w:tc>
      </w:tr>
      <w:tr w:rsidR="005D4D04">
        <w:trPr>
          <w:trHeight w:val="388"/>
          <w:jc w:val="center"/>
        </w:trPr>
        <w:tc>
          <w:tcPr>
            <w:tcW w:w="2144" w:type="dxa"/>
            <w:vMerge/>
          </w:tcPr>
          <w:p w:rsidR="005D4D04" w:rsidRDefault="005D4D04">
            <w:pPr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900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900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2024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2025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2026</w:t>
            </w:r>
          </w:p>
        </w:tc>
        <w:tc>
          <w:tcPr>
            <w:tcW w:w="1080" w:type="dxa"/>
            <w:vAlign w:val="center"/>
          </w:tcPr>
          <w:p w:rsidR="005D4D04" w:rsidRDefault="00500AC6">
            <w:pPr>
              <w:rPr>
                <w:b/>
                <w:noProof/>
              </w:rPr>
            </w:pPr>
            <w:r>
              <w:rPr>
                <w:b/>
                <w:noProof/>
              </w:rPr>
              <w:t>2027</w:t>
            </w:r>
          </w:p>
        </w:tc>
      </w:tr>
      <w:tr w:rsidR="005D4D04">
        <w:trPr>
          <w:trHeight w:val="388"/>
          <w:jc w:val="center"/>
        </w:trPr>
        <w:tc>
          <w:tcPr>
            <w:tcW w:w="2144" w:type="dxa"/>
            <w:vAlign w:val="center"/>
          </w:tcPr>
          <w:p w:rsidR="005D4D04" w:rsidRDefault="00500A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Článek ………….</w:t>
            </w:r>
          </w:p>
        </w:tc>
        <w:tc>
          <w:tcPr>
            <w:tcW w:w="1080" w:type="dxa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00" w:type="dxa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900" w:type="dxa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</w:tcPr>
          <w:p w:rsidR="005D4D04" w:rsidRDefault="005D4D04">
            <w:pPr>
              <w:rPr>
                <w:noProof/>
                <w:sz w:val="22"/>
              </w:rPr>
            </w:pPr>
          </w:p>
        </w:tc>
        <w:tc>
          <w:tcPr>
            <w:tcW w:w="1080" w:type="dxa"/>
          </w:tcPr>
          <w:p w:rsidR="005D4D04" w:rsidRDefault="005D4D04">
            <w:pPr>
              <w:rPr>
                <w:noProof/>
                <w:sz w:val="22"/>
              </w:rPr>
            </w:pPr>
          </w:p>
        </w:tc>
      </w:tr>
    </w:tbl>
    <w:p w:rsidR="005D4D04" w:rsidRPr="00500AC6" w:rsidRDefault="005D4D04">
      <w:pPr>
        <w:rPr>
          <w:noProof/>
        </w:rPr>
      </w:pPr>
    </w:p>
    <w:sectPr w:rsidR="005D4D04" w:rsidRPr="00500AC6" w:rsidSect="00500AC6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04" w:rsidRDefault="00500AC6">
      <w:pPr>
        <w:spacing w:before="0" w:after="0"/>
      </w:pPr>
      <w:r>
        <w:separator/>
      </w:r>
    </w:p>
  </w:endnote>
  <w:endnote w:type="continuationSeparator" w:id="0">
    <w:p w:rsidR="005D4D04" w:rsidRDefault="00500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04" w:rsidRPr="00500AC6" w:rsidRDefault="00500AC6" w:rsidP="00500AC6">
    <w:pPr>
      <w:pStyle w:val="Footer"/>
      <w:rPr>
        <w:rFonts w:ascii="Arial" w:hAnsi="Arial" w:cs="Arial"/>
        <w:b/>
        <w:sz w:val="48"/>
      </w:rPr>
    </w:pPr>
    <w:r w:rsidRPr="00500AC6">
      <w:rPr>
        <w:rFonts w:ascii="Arial" w:hAnsi="Arial" w:cs="Arial"/>
        <w:b/>
        <w:sz w:val="48"/>
      </w:rPr>
      <w:t>CS</w:t>
    </w:r>
    <w:r w:rsidRPr="00500AC6">
      <w:rPr>
        <w:rFonts w:ascii="Arial" w:hAnsi="Arial" w:cs="Arial"/>
        <w:b/>
        <w:sz w:val="48"/>
      </w:rPr>
      <w:tab/>
    </w:r>
    <w:r w:rsidRPr="00500AC6">
      <w:rPr>
        <w:rFonts w:ascii="Arial" w:hAnsi="Arial" w:cs="Arial"/>
        <w:b/>
        <w:sz w:val="48"/>
      </w:rPr>
      <w:tab/>
    </w:r>
    <w:r w:rsidRPr="00500AC6">
      <w:tab/>
    </w:r>
    <w:r w:rsidRPr="00500AC6"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Footer"/>
      <w:rPr>
        <w:rFonts w:ascii="Arial" w:hAnsi="Arial" w:cs="Arial"/>
        <w:b/>
        <w:sz w:val="48"/>
      </w:rPr>
    </w:pPr>
    <w:r w:rsidRPr="00500AC6">
      <w:rPr>
        <w:rFonts w:ascii="Arial" w:hAnsi="Arial" w:cs="Arial"/>
        <w:b/>
        <w:sz w:val="48"/>
      </w:rPr>
      <w:t>CS</w:t>
    </w:r>
    <w:r w:rsidRPr="00500AC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500AC6">
      <w:tab/>
    </w:r>
    <w:r w:rsidRPr="00500AC6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FooterLandscape"/>
      <w:rPr>
        <w:rFonts w:ascii="Arial" w:hAnsi="Arial" w:cs="Arial"/>
        <w:b/>
        <w:sz w:val="48"/>
      </w:rPr>
    </w:pPr>
    <w:r w:rsidRPr="00500AC6">
      <w:rPr>
        <w:rFonts w:ascii="Arial" w:hAnsi="Arial" w:cs="Arial"/>
        <w:b/>
        <w:sz w:val="48"/>
      </w:rPr>
      <w:t>CS</w:t>
    </w:r>
    <w:r w:rsidRPr="00500AC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500AC6">
      <w:tab/>
    </w:r>
    <w:r w:rsidRPr="00500AC6">
      <w:rPr>
        <w:rFonts w:ascii="Arial" w:hAnsi="Arial" w:cs="Arial"/>
        <w:b/>
        <w:sz w:val="48"/>
      </w:rPr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Footer"/>
      <w:rPr>
        <w:rFonts w:ascii="Arial" w:hAnsi="Arial" w:cs="Arial"/>
        <w:b/>
        <w:sz w:val="48"/>
      </w:rPr>
    </w:pPr>
    <w:r w:rsidRPr="00500AC6">
      <w:rPr>
        <w:rFonts w:ascii="Arial" w:hAnsi="Arial" w:cs="Arial"/>
        <w:b/>
        <w:sz w:val="48"/>
      </w:rPr>
      <w:t>CS</w:t>
    </w:r>
    <w:r w:rsidRPr="00500AC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500AC6">
      <w:tab/>
    </w:r>
    <w:r w:rsidRPr="00500AC6">
      <w:rPr>
        <w:rFonts w:ascii="Arial" w:hAnsi="Arial" w:cs="Arial"/>
        <w:b/>
        <w:sz w:val="48"/>
      </w:rPr>
      <w:t>CS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04" w:rsidRDefault="00500AC6">
      <w:pPr>
        <w:spacing w:before="0" w:after="0"/>
      </w:pPr>
      <w:r>
        <w:separator/>
      </w:r>
    </w:p>
  </w:footnote>
  <w:footnote w:type="continuationSeparator" w:id="0">
    <w:p w:rsidR="005D4D04" w:rsidRDefault="00500AC6">
      <w:pPr>
        <w:spacing w:before="0" w:after="0"/>
      </w:pPr>
      <w:r>
        <w:continuationSeparator/>
      </w:r>
    </w:p>
  </w:footnote>
  <w:footnote w:id="1">
    <w:p w:rsidR="005D4D04" w:rsidRDefault="00500AC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COM(2017) 358</w:t>
      </w:r>
    </w:p>
  </w:footnote>
  <w:footnote w:id="2">
    <w:p w:rsidR="005D4D04" w:rsidRDefault="00500AC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bookmarkStart w:id="9" w:name="OLE_LINK25"/>
      <w:bookmarkStart w:id="10" w:name="OLE_LINK26"/>
      <w:r>
        <w:fldChar w:fldCharType="begin"/>
      </w:r>
      <w:r>
        <w:instrText>HYPERLINK "https://ec.europa.eu/commission/sites/beta-political/files/juncker-political-guidelines-speech_cs.pdf"</w:instrText>
      </w:r>
      <w:r>
        <w:fldChar w:fldCharType="separate"/>
      </w:r>
      <w:r>
        <w:rPr>
          <w:rStyle w:val="Hyperlink"/>
        </w:rPr>
        <w:t>https://ec.europa.eu/commission/sites/beta-political/files/juncker-political-guidelines-speech_cs.pdf</w:t>
      </w:r>
      <w:r>
        <w:fldChar w:fldCharType="end"/>
      </w:r>
      <w:bookmarkEnd w:id="9"/>
      <w:bookmarkEnd w:id="10"/>
      <w:r>
        <w:t xml:space="preserve"> </w:t>
      </w:r>
    </w:p>
  </w:footnote>
  <w:footnote w:id="3">
    <w:p w:rsidR="005D4D04" w:rsidRDefault="00500AC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Směrnice 2008/99</w:t>
      </w:r>
    </w:p>
  </w:footnote>
  <w:footnote w:id="4">
    <w:p w:rsidR="005D4D04" w:rsidRDefault="00500AC6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  <w:color w:val="444444"/>
        </w:rPr>
        <w:t>Nařízení Evropsk</w:t>
      </w:r>
      <w:r>
        <w:rPr>
          <w:rStyle w:val="Strong"/>
          <w:b w:val="0"/>
          <w:color w:val="444444"/>
        </w:rPr>
        <w:t>ého parlamentu a Rady (EU) č. 1293/2013 ze dne 11. prosince 2013 o zřízení programu pro životní prostředí a oblast klimatu (LIFE) a o zrušení nařízení (ES) č. 614/2007 (Text s významem pro EHP)</w:t>
      </w:r>
    </w:p>
  </w:footnote>
  <w:footnote w:id="5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Rozhodnutí 2005/370/ES.</w:t>
      </w:r>
    </w:p>
  </w:footnote>
  <w:footnote w:id="6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COM(2018) 321.</w:t>
      </w:r>
    </w:p>
  </w:footnote>
  <w:footnote w:id="7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</w:r>
      <w:r>
        <w:t>Interinstitucionální dohoda mezi Evropským parlamentem, Radou Evropské unie a Evropskou komisí o zdokonalení tvorby právních předpisů ze dne 13. dubna 2016; Úř. věst. L 123, 12.5.2016, s. 1–14.</w:t>
      </w:r>
    </w:p>
  </w:footnote>
  <w:footnote w:id="8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Úř. věst. C , , p. .</w:t>
      </w:r>
    </w:p>
  </w:footnote>
  <w:footnote w:id="9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Úř. věst. C , , p. .</w:t>
      </w:r>
    </w:p>
  </w:footnote>
  <w:footnote w:id="10">
    <w:p w:rsidR="005D4D04" w:rsidRDefault="00500AC6">
      <w:pPr>
        <w:pStyle w:val="FootnoteText"/>
        <w:rPr>
          <w:b/>
        </w:rPr>
      </w:pPr>
      <w:r>
        <w:rPr>
          <w:rStyle w:val="FootnoteReference"/>
        </w:rPr>
        <w:footnoteRef/>
      </w:r>
      <w:r>
        <w:tab/>
        <w:t>Nařízení Evrop</w:t>
      </w:r>
      <w:r>
        <w:t>ského parlamentu a Rady (EU) č. 1381/2013 ze dne 17. prosince 2013, kterým se zavádí program Práva, rovnost a občanství na období 2014 až 2020 (Úř. věst. L 354, 28.12.2013, s. 62).</w:t>
      </w:r>
    </w:p>
  </w:footnote>
  <w:footnote w:id="11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Nařízení Rady (EU) č. 390/2014 ze dne 14. dubna 2014, kterým se zavádí pr</w:t>
      </w:r>
      <w:r>
        <w:t>ogram „Evropa pro občany“ na období 2014–2020 (Úř. věst. L 115, 17.4.2014, s. 3).</w:t>
      </w:r>
    </w:p>
  </w:footnote>
  <w:footnote w:id="12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č. 1381/2013 ze dne 17. prosince 2013, kterým se zavádí program Práva, rovnost a občanství na období 2014 až 2020 (Úř. věst. L 35</w:t>
      </w:r>
      <w:r>
        <w:t xml:space="preserve">4, 28.12.2013, s. 62). </w:t>
      </w:r>
    </w:p>
  </w:footnote>
  <w:footnote w:id="13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  <w:color w:val="444444"/>
        </w:rPr>
        <w:t>Nařízení Evropského parlamentu a Rady (EU) č. 1293/2013 ze dne 11. prosince 2013 o zřízení programu pro životní prostředí a oblast klimatu (LIFE) a o zrušení nařízení (ES) č. 614/2007 (Text s významem pro EHP)</w:t>
      </w:r>
    </w:p>
  </w:footnote>
  <w:footnote w:id="14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[ Úř. věst. C 373,</w:t>
      </w:r>
      <w:r>
        <w:t xml:space="preserve"> 20.12.2013, s. 1. </w:t>
      </w:r>
      <w:hyperlink r:id="rId1">
        <w:r>
          <w:rPr>
            <w:rStyle w:val="Hyperlink"/>
            <w:i/>
          </w:rPr>
          <w:t>http://eur-lex.europa.eu/legal-content/EN/TXT/?uri=uriserv:OJ.C_.2013.373.1.0001.01.ENG&amp;toc=OJ:C:2013:373:TOC</w:t>
        </w:r>
      </w:hyperlink>
      <w:r>
        <w:rPr>
          <w:rStyle w:val="Hyperlink"/>
          <w:i/>
        </w:rPr>
        <w:t>]</w:t>
      </w:r>
    </w:p>
  </w:footnote>
  <w:footnote w:id="15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 xml:space="preserve">Nařízení Evropského parlamentu a </w:t>
      </w:r>
      <w:r>
        <w:t>Rady (EU, Euratom) č. 883/2013 ze dne 11. září 2013 o vyšetřování prováděném Evropským úřadem pro boj proti podvodům (OLAF) a o zrušení nařízení Evropského parlamentu a Rady (ES) č. 1073/1999 a nařízení Rady (Euratom) č. 1074/1999 (Úř. věst. L 248, 18.9.20</w:t>
      </w:r>
      <w:r>
        <w:t>13, s. 1).</w:t>
      </w:r>
    </w:p>
  </w:footnote>
  <w:footnote w:id="16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Nařízení Rady (ES, Euratom) č. 2988/95 ze dne 18. prosince 1995 o ochraně finančních zájmů Evropských společenství (Úř. věst. L 312, 23.12.1995, s. 1).</w:t>
      </w:r>
    </w:p>
  </w:footnote>
  <w:footnote w:id="17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 xml:space="preserve">Nařízení Rady (Euratom, ES) č. 2185/96 ze dne 11. listopadu 1996 o kontrolách a </w:t>
      </w:r>
      <w:r>
        <w:t>inspekcích na místě prováděných Komisí za účelem ochrany finančních zájmů Evropských společenství proti podvodům a jiným nesrovnalostem (Úř. věst. L 292, 15.11.1996, s. 2).</w:t>
      </w:r>
    </w:p>
  </w:footnote>
  <w:footnote w:id="18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Nařízení Rady (EU) 2017/1939 ze dne 12. října 2017, kterým se provádí posílená sp</w:t>
      </w:r>
      <w:r>
        <w:t>olupráce za účelem zřízení Úřadu evropského veřejného žalobce (Úř. věst. L 283, 31.10.2017, s. 1).</w:t>
      </w:r>
    </w:p>
  </w:footnote>
  <w:footnote w:id="19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sz w:val="16"/>
        </w:rPr>
        <w:t>Směrnice Evropského parlamentu a Rady (EU) 2017/1371 ze dne 5. července 2017 o boji vedeném trestněprávní cestou proti podvodům poškozujícím finanční zájmy</w:t>
      </w:r>
      <w:r>
        <w:rPr>
          <w:sz w:val="16"/>
        </w:rPr>
        <w:t xml:space="preserve"> Unie (Úř. věst. L 198, 28.7.2017, s. 29).</w:t>
      </w:r>
    </w:p>
  </w:footnote>
  <w:footnote w:id="20">
    <w:p w:rsidR="005D4D04" w:rsidRDefault="00500AC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Rozhodnutí Rady 2013/755/EU ze dne 25. listopadu 2013 o přidružení zámořských zemí a území k Evropské unii („rozhodnutí o přidružení zámoří“) (Úř. věst. L 344, 19.12.2013, s. 1).</w:t>
      </w:r>
    </w:p>
  </w:footnote>
  <w:footnote w:id="21">
    <w:p w:rsidR="005D4D04" w:rsidRDefault="00500AC6">
      <w:pPr>
        <w:pStyle w:val="FootnoteText"/>
      </w:pPr>
      <w:r>
        <w:rPr>
          <w:rStyle w:val="FootnoteReference"/>
        </w:rPr>
        <w:footnoteRef/>
      </w:r>
      <w:r>
        <w:tab/>
        <w:t>Nařízení Evropského parlamentu</w:t>
      </w:r>
      <w:r>
        <w:t xml:space="preserve"> a Rady (EU) č. 182/2011 ze dne 16. února 2011, kterým se stanoví pravidla a obecné zásady způsobu, jakým členské státy kontrolují Komisi při výkonu prováděcích pravomocí (Úř. věst. L 55, 28.2.2011, s. 13).</w:t>
      </w:r>
    </w:p>
  </w:footnote>
  <w:footnote w:id="22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řízení podle činností (</w:t>
      </w:r>
      <w:r>
        <w:rPr>
          <w:i/>
        </w:rPr>
        <w:t>activity-based mana</w:t>
      </w:r>
      <w:r>
        <w:rPr>
          <w:i/>
        </w:rPr>
        <w:t>gement</w:t>
      </w:r>
      <w:r>
        <w:t>); ABB: sestavování rozpočtu podle činností (</w:t>
      </w:r>
      <w:r>
        <w:rPr>
          <w:i/>
        </w:rPr>
        <w:t>activity-based budgeting</w:t>
      </w:r>
      <w:r>
        <w:t>).</w:t>
      </w:r>
    </w:p>
  </w:footnote>
  <w:footnote w:id="23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Uvedené v čl. 58 odst. 2 písm. a) nebo b) finančního nařízení.</w:t>
      </w:r>
    </w:p>
  </w:footnote>
  <w:footnote w:id="24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Vysvětlení způsobů řízení spolu s odkazem na finanční nařízení jsou k dispozici na stránkách BudgWeb: </w:t>
      </w:r>
      <w:hyperlink r:id="rId2">
        <w:r>
          <w:rPr>
            <w:rStyle w:val="Hyperlink"/>
            <w:sz w:val="18"/>
          </w:rPr>
          <w:t>http://www.cc.cec/budg/man/budgmanag/budgmanag_en.html.</w:t>
        </w:r>
      </w:hyperlink>
    </w:p>
  </w:footnote>
  <w:footnote w:id="25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RP = rozlišené prostředky / NRP = nerozlišené prostředky.</w:t>
      </w:r>
    </w:p>
  </w:footnote>
  <w:footnote w:id="26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ESVO: Evropské sdružení volného obchodu. </w:t>
      </w:r>
    </w:p>
  </w:footnote>
  <w:footnote w:id="27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a/nebo administrat</w:t>
      </w:r>
      <w:r>
        <w:t>ivní pomoc a výdaje na podporu provádění programů a/nebo akcí EU (bývalé položky „BA“), nepřímý výzkum, přímý výzkum.</w:t>
      </w:r>
    </w:p>
  </w:footnote>
  <w:footnote w:id="28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t xml:space="preserve">SZ = smluvní zaměstnanec; MZ = místní zaměstnanec; VNO = vyslaný národní odborník; ZAP = zaměstnanec agentury práce; MOD = mladý odborník při delegaci. </w:t>
      </w:r>
    </w:p>
  </w:footnote>
  <w:footnote w:id="29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Dílčí strop na externí zaměstnance financované z operačních prostředků (bývalé položky „BA“).</w:t>
      </w:r>
    </w:p>
  </w:footnote>
  <w:footnote w:id="30">
    <w:p w:rsidR="005D4D04" w:rsidRDefault="00500AC6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Pokud</w:t>
      </w:r>
      <w:r>
        <w:t xml:space="preserve"> jde o tradiční vlastní zdroje (cla, dávky z cukru), je třeba uvést čisté částky, tj. hrubé částky po odečtení 20 % nákladů na výběr.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C6" w:rsidRPr="00500AC6" w:rsidRDefault="00500AC6" w:rsidP="00500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4A20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444F1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49A07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F7CA6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E58B0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D42F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3456954"/>
    <w:multiLevelType w:val="hybridMultilevel"/>
    <w:tmpl w:val="9D88EAD0"/>
    <w:lvl w:ilvl="0" w:tplc="6B6CAE34">
      <w:start w:val="1"/>
      <w:numFmt w:val="bullet"/>
      <w:pStyle w:val="BulletBody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3"/>
  </w:num>
  <w:num w:numId="5">
    <w:abstractNumId w:val="2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2"/>
  </w:num>
  <w:num w:numId="12">
    <w:abstractNumId w:val="24"/>
  </w:num>
  <w:num w:numId="13">
    <w:abstractNumId w:val="5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</w:num>
  <w:num w:numId="34">
    <w:abstractNumId w:val="22"/>
  </w:num>
  <w:num w:numId="35">
    <w:abstractNumId w:val="10"/>
  </w:num>
  <w:num w:numId="36">
    <w:abstractNumId w:val="12"/>
  </w:num>
  <w:num w:numId="37">
    <w:abstractNumId w:val="8"/>
  </w:num>
  <w:num w:numId="38">
    <w:abstractNumId w:val="21"/>
  </w:num>
  <w:num w:numId="39">
    <w:abstractNumId w:val="7"/>
  </w:num>
  <w:num w:numId="40">
    <w:abstractNumId w:val="13"/>
  </w:num>
  <w:num w:numId="41">
    <w:abstractNumId w:val="17"/>
  </w:num>
  <w:num w:numId="42">
    <w:abstractNumId w:val="18"/>
  </w:num>
  <w:num w:numId="43">
    <w:abstractNumId w:val="9"/>
  </w:num>
  <w:num w:numId="44">
    <w:abstractNumId w:val="16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5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7:38:2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9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7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E44D9423-6E76-46FC-A6F3-79AC235BCF5A"/>
    <w:docVar w:name="LW_COVERPAGE_TYPE" w:val="1"/>
    <w:docVar w:name="LW_CROSSREFERENCE" w:val="{SWD(2018) 290 final}_x000a_{SWD(2018) 291 final}_x000a_{SEC(2018) 274 final}"/>
    <w:docVar w:name="LW_DocType" w:val="COM"/>
    <w:docVar w:name="LW_EMISSION" w:val="30.5.2018"/>
    <w:docVar w:name="LW_EMISSION_ISODATE" w:val="2018-05-30"/>
    <w:docVar w:name="LW_EMISSION_LOCATION" w:val="BRX"/>
    <w:docVar w:name="LW_EMISSION_PREFIX" w:val="V Bruselu dne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08"/>
    <w:docVar w:name="LW_REF.II.NEW.CP_YEAR" w:val="2018"/>
    <w:docVar w:name="LW_REF.INST.NEW" w:val="COM"/>
    <w:docVar w:name="LW_REF.INST.NEW_ADOPTED" w:val="final"/>
    <w:docVar w:name="LW_REF.INST.NEW_TEXT" w:val="(2018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erým se zavádí program Spravedlnost "/>
    <w:docVar w:name="LW_TYPE.DOC.CP" w:val="NA\u344?ÍZENÍ EVROPSKÉHO PARLAMENTU A RADY,"/>
  </w:docVars>
  <w:rsids>
    <w:rsidRoot w:val="005D4D04"/>
    <w:rsid w:val="00500AC6"/>
    <w:rsid w:val="005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uiPriority w:val="99"/>
    <w:pPr>
      <w:numPr>
        <w:numId w:val="5"/>
      </w:numPr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None">
    <w:name w:val="None"/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customStyle="1" w:styleId="BulletBody">
    <w:name w:val="Bullet Body"/>
    <w:basedOn w:val="Normal"/>
    <w:qFormat/>
    <w:pPr>
      <w:numPr>
        <w:numId w:val="12"/>
      </w:numPr>
    </w:pPr>
    <w:rPr>
      <w:rFonts w:ascii="Verdana" w:eastAsia="Times New Roman" w:hAnsi="Verdana" w:cs="EUAlbertina"/>
      <w:color w:val="000000"/>
      <w:sz w:val="20"/>
      <w:szCs w:val="19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,OBC Bulle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qFormat/>
    <w:locked/>
    <w:rPr>
      <w:rFonts w:ascii="Times New Roman" w:hAnsi="Times New Roman" w:cs="Times New Roman"/>
      <w:sz w:val="24"/>
      <w:lang w:val="cs-CZ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500AC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00AC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00AC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00AC6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00AC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500AC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00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500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uiPriority w:val="99"/>
    <w:pPr>
      <w:numPr>
        <w:numId w:val="5"/>
      </w:numPr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None">
    <w:name w:val="None"/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customStyle="1" w:styleId="BulletBody">
    <w:name w:val="Bullet Body"/>
    <w:basedOn w:val="Normal"/>
    <w:qFormat/>
    <w:pPr>
      <w:numPr>
        <w:numId w:val="12"/>
      </w:numPr>
    </w:pPr>
    <w:rPr>
      <w:rFonts w:ascii="Verdana" w:eastAsia="Times New Roman" w:hAnsi="Verdana" w:cs="EUAlbertina"/>
      <w:color w:val="000000"/>
      <w:sz w:val="20"/>
      <w:szCs w:val="19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,OBC Bulle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qFormat/>
    <w:locked/>
    <w:rPr>
      <w:rFonts w:ascii="Times New Roman" w:hAnsi="Times New Roman" w:cs="Times New Roman"/>
      <w:sz w:val="24"/>
      <w:lang w:val="cs-CZ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500AC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00AC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00AC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00AC6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00AC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500AC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00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500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2"/>
      </w:numPr>
    </w:pPr>
  </w:style>
  <w:style w:type="paragraph" w:customStyle="1" w:styleId="Tiret1">
    <w:name w:val="Tiret 1"/>
    <w:basedOn w:val="Point1"/>
    <w:pPr>
      <w:numPr>
        <w:numId w:val="33"/>
      </w:numPr>
    </w:pPr>
  </w:style>
  <w:style w:type="paragraph" w:customStyle="1" w:styleId="Tiret2">
    <w:name w:val="Tiret 2"/>
    <w:basedOn w:val="Point2"/>
    <w:pPr>
      <w:numPr>
        <w:numId w:val="34"/>
      </w:numPr>
    </w:pPr>
  </w:style>
  <w:style w:type="paragraph" w:customStyle="1" w:styleId="Tiret3">
    <w:name w:val="Tiret 3"/>
    <w:basedOn w:val="Point3"/>
    <w:pPr>
      <w:numPr>
        <w:numId w:val="35"/>
      </w:numPr>
    </w:pPr>
  </w:style>
  <w:style w:type="paragraph" w:customStyle="1" w:styleId="Tiret4">
    <w:name w:val="Tiret 4"/>
    <w:basedOn w:val="Point4"/>
    <w:pPr>
      <w:numPr>
        <w:numId w:val="3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9"/>
      </w:numPr>
    </w:pPr>
  </w:style>
  <w:style w:type="paragraph" w:customStyle="1" w:styleId="Point1number">
    <w:name w:val="Point 1 (number)"/>
    <w:basedOn w:val="Normal"/>
    <w:pPr>
      <w:numPr>
        <w:ilvl w:val="2"/>
        <w:numId w:val="39"/>
      </w:numPr>
    </w:pPr>
  </w:style>
  <w:style w:type="paragraph" w:customStyle="1" w:styleId="Point2number">
    <w:name w:val="Point 2 (number)"/>
    <w:basedOn w:val="Normal"/>
    <w:pPr>
      <w:numPr>
        <w:ilvl w:val="4"/>
        <w:numId w:val="39"/>
      </w:numPr>
    </w:pPr>
  </w:style>
  <w:style w:type="paragraph" w:customStyle="1" w:styleId="Point3number">
    <w:name w:val="Point 3 (number)"/>
    <w:basedOn w:val="Normal"/>
    <w:pPr>
      <w:numPr>
        <w:ilvl w:val="6"/>
        <w:numId w:val="39"/>
      </w:numPr>
    </w:pPr>
  </w:style>
  <w:style w:type="paragraph" w:customStyle="1" w:styleId="Point0letter">
    <w:name w:val="Point 0 (letter)"/>
    <w:basedOn w:val="Normal"/>
    <w:pPr>
      <w:numPr>
        <w:ilvl w:val="1"/>
        <w:numId w:val="39"/>
      </w:numPr>
    </w:pPr>
  </w:style>
  <w:style w:type="paragraph" w:customStyle="1" w:styleId="Point1letter">
    <w:name w:val="Point 1 (letter)"/>
    <w:basedOn w:val="Normal"/>
    <w:pPr>
      <w:numPr>
        <w:ilvl w:val="3"/>
        <w:numId w:val="39"/>
      </w:numPr>
    </w:pPr>
  </w:style>
  <w:style w:type="paragraph" w:customStyle="1" w:styleId="Point2letter">
    <w:name w:val="Point 2 (letter)"/>
    <w:basedOn w:val="Normal"/>
    <w:pPr>
      <w:numPr>
        <w:ilvl w:val="5"/>
        <w:numId w:val="39"/>
      </w:numPr>
    </w:pPr>
  </w:style>
  <w:style w:type="paragraph" w:customStyle="1" w:styleId="Point3letter">
    <w:name w:val="Point 3 (letter)"/>
    <w:basedOn w:val="Normal"/>
    <w:pPr>
      <w:numPr>
        <w:ilvl w:val="7"/>
        <w:numId w:val="39"/>
      </w:numPr>
    </w:pPr>
  </w:style>
  <w:style w:type="paragraph" w:customStyle="1" w:styleId="Point4letter">
    <w:name w:val="Point 4 (letter)"/>
    <w:basedOn w:val="Normal"/>
    <w:pPr>
      <w:numPr>
        <w:ilvl w:val="8"/>
        <w:numId w:val="39"/>
      </w:numPr>
    </w:pPr>
  </w:style>
  <w:style w:type="paragraph" w:customStyle="1" w:styleId="Bullet0">
    <w:name w:val="Bullet 0"/>
    <w:basedOn w:val="Normal"/>
    <w:pPr>
      <w:numPr>
        <w:numId w:val="40"/>
      </w:numPr>
    </w:pPr>
  </w:style>
  <w:style w:type="paragraph" w:customStyle="1" w:styleId="Bullet1">
    <w:name w:val="Bullet 1"/>
    <w:basedOn w:val="Normal"/>
    <w:pPr>
      <w:numPr>
        <w:numId w:val="41"/>
      </w:numPr>
    </w:pPr>
  </w:style>
  <w:style w:type="paragraph" w:customStyle="1" w:styleId="Bullet2">
    <w:name w:val="Bullet 2"/>
    <w:basedOn w:val="Normal"/>
    <w:pPr>
      <w:numPr>
        <w:numId w:val="42"/>
      </w:numPr>
    </w:pPr>
  </w:style>
  <w:style w:type="paragraph" w:customStyle="1" w:styleId="Bullet3">
    <w:name w:val="Bullet 3"/>
    <w:basedOn w:val="Normal"/>
    <w:pPr>
      <w:numPr>
        <w:numId w:val="43"/>
      </w:numPr>
    </w:pPr>
  </w:style>
  <w:style w:type="paragraph" w:customStyle="1" w:styleId="Bullet4">
    <w:name w:val="Bullet 4"/>
    <w:basedOn w:val="Normal"/>
    <w:pPr>
      <w:numPr>
        <w:numId w:val="4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eur-lex.europa.eu/legal-content/CS/TXT/?uri=CELEX:12016E081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eur-lex.europa.eu/legal-content/CS/TXT/?uri=CELEX:12016E0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oter" Target="footer9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.cec/budg/man/budgmanag/budgmanag_en.html." TargetMode="External"/><Relationship Id="rId1" Type="http://schemas.openxmlformats.org/officeDocument/2006/relationships/hyperlink" Target="http://eur-lex.europa.eu/legal-content/CS/TXT/?uri=CELEX:32013Q1220(01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45A9-5E42-4521-AA19-67B6839B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4</Pages>
  <Words>12607</Words>
  <Characters>76401</Characters>
  <Application>Microsoft Office Word</Application>
  <DocSecurity>0</DocSecurity>
  <Lines>1776</Lines>
  <Paragraphs>847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KUDRYK Katarzyna (SG)</cp:lastModifiedBy>
  <cp:revision>19</cp:revision>
  <cp:lastPrinted>2018-06-05T08:25:00Z</cp:lastPrinted>
  <dcterms:created xsi:type="dcterms:W3CDTF">2018-06-05T14:31:00Z</dcterms:created>
  <dcterms:modified xsi:type="dcterms:W3CDTF">2018-06-12T06:42:00Z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