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58C914F-FBC1-4ECC-9CB6-FB13716FBDCE" style="width:450.7pt;height:409.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jc w:val="both"/>
        <w:rPr>
          <w:noProof/>
        </w:rPr>
      </w:pPr>
      <w:bookmarkStart w:id="0" w:name="_GoBack"/>
      <w:bookmarkEnd w:id="0"/>
      <w:r>
        <w:rPr>
          <w:noProof/>
        </w:rPr>
        <w:lastRenderedPageBreak/>
        <w:t>TOELICHTING</w:t>
      </w:r>
    </w:p>
    <w:p>
      <w:pPr>
        <w:pStyle w:val="ManualHeading1"/>
        <w:spacing w:before="120"/>
        <w:rPr>
          <w:noProof/>
        </w:rPr>
      </w:pPr>
      <w:r>
        <w:rPr>
          <w:noProof/>
        </w:rPr>
        <w:t>1.</w:t>
      </w:r>
      <w:r>
        <w:rPr>
          <w:noProof/>
        </w:rPr>
        <w:tab/>
        <w:t>ACHTERGROND VAN HET VOORSTEL</w:t>
      </w:r>
    </w:p>
    <w:p>
      <w:pPr>
        <w:pStyle w:val="ManualHeading2"/>
        <w:rPr>
          <w:noProof/>
        </w:rPr>
      </w:pPr>
      <w:r>
        <w:rPr>
          <w:noProof/>
        </w:rPr>
        <w:t>•</w:t>
      </w:r>
      <w:r>
        <w:rPr>
          <w:noProof/>
        </w:rPr>
        <w:tab/>
        <w:t>Motivering en doel van het voorstel</w:t>
      </w:r>
    </w:p>
    <w:p>
      <w:pPr>
        <w:rPr>
          <w:noProof/>
        </w:rPr>
      </w:pPr>
      <w:r>
        <w:rPr>
          <w:noProof/>
        </w:rPr>
        <w:t>De Europese Unie is gebouwd op solidariteit, een gedeelde waarde die in heel de Europese samenleving sterk leeft. Solidariteit is fundamenteel voor het Europese project en biedt een duidelijke leidraad voor Europese jongeren in hun aspiraties voor een betere EU. In de Verklaring van Rome, ter gelegenheid van de 60e verjaardag van het Verdrag van Rome, hebben de leiders van 27 lidstaten en de Europese Raad, het Europees Parlement en de Europese Commissie nogmaals bevestigd zich te blijven inspannen voor meer eenheid en solidariteit met het oog op een sterkere en veerkrachtigere EU</w:t>
      </w:r>
      <w:r>
        <w:rPr>
          <w:rStyle w:val="FootnoteReference"/>
          <w:rFonts w:eastAsiaTheme="majorEastAsia"/>
          <w:noProof/>
        </w:rPr>
        <w:footnoteReference w:id="1"/>
      </w:r>
      <w:r>
        <w:rPr>
          <w:noProof/>
        </w:rPr>
        <w:t>.</w:t>
      </w:r>
    </w:p>
    <w:p>
      <w:pPr>
        <w:rPr>
          <w:noProof/>
        </w:rPr>
      </w:pPr>
      <w:r>
        <w:rPr>
          <w:noProof/>
        </w:rPr>
        <w:t>In zijn toespraak over de Staat van de Unie van 14 september 2016 benadrukte de voorzitter van de Europese Commissie de noodzaak om te investeren in jongeren en kondigde hij het idee van een Europees Solidariteitskorps aan. Dat korps zou mogelijkheden moeten scheppen voor jongeren in de hele Unie om een betekenisvolle bijdrage te leveren aan de samenleving, solidariteit te tonen en hun vaardigheden te ontwikkelen, waardoor zij "niet alleen werk vinden, maar ook uiterst waardevolle persoonlijke ervaring opdoen". Op de top van Bratislava van 16 september 2016 werd aangedrongen op een versterkt politiek momentum om jonge Europeanen te ondersteunen en nieuwe EU-programma's op te zetten om hen betere kansen te bieden. De mededeling van de Commissie "Een Europees Solidariteitskorps" van 7 december 2016</w:t>
      </w:r>
      <w:r>
        <w:rPr>
          <w:rStyle w:val="FootnoteReference"/>
          <w:rFonts w:eastAsiaTheme="majorEastAsia"/>
          <w:noProof/>
        </w:rPr>
        <w:footnoteReference w:id="2"/>
      </w:r>
      <w:r>
        <w:rPr>
          <w:noProof/>
        </w:rPr>
        <w:t xml:space="preserve"> luidde de eerste fase van het korps in en bevatte opnieuw de doelstelling om tegen 2020 100 000 Europese jongeren aan het korps te laten deelnemen. Tijdens deze eerste fase werden acht verschillende EU-programma's</w:t>
      </w:r>
      <w:r>
        <w:rPr>
          <w:rStyle w:val="FootnoteReference"/>
          <w:rFonts w:eastAsiaTheme="majorEastAsia"/>
          <w:noProof/>
        </w:rPr>
        <w:footnoteReference w:id="3"/>
      </w:r>
      <w:r>
        <w:rPr>
          <w:noProof/>
        </w:rPr>
        <w:t xml:space="preserve"> ingeschakeld om jongeren in de hele EU mogelijkheden te bieden voor vrijwilligerswerk, stages of banen.</w:t>
      </w:r>
    </w:p>
    <w:p>
      <w:pPr>
        <w:rPr>
          <w:noProof/>
        </w:rPr>
      </w:pPr>
      <w:r>
        <w:rPr>
          <w:noProof/>
        </w:rPr>
        <w:t>Omdat er potentieel is om de solidariteit met slachtoffers van crises en rampen in landen buiten de EU verder te ontwikkelen, voorziet dit voorstel erin dat het toepassingsgebied van het Europees Solidariteitskorps wordt uitgebreid tot humanitaire hulpoperaties in landen buiten de EU, met inbegrip van buurlanden van de ultraperifere gebieden van de EU. Zoals blijkt uit de bij dit voorstel gevoegde evaluatie vooraf, zou deze uitbreiding verschillende doelen dienen, zoals de totstandbrenging van één enkel contactpunt voor solidariteitsactiviteiten. Dit zal ook vrijwilligerswerk in het kader van humanitaire hulp omvatten, een activiteit die momenteel wordt ondersteund door het EU-vrijwilligersinitiatief voor humanitaire hulp. Het initiatief levert een bijdrage aan de inspanningen om de capaciteit van de EU voor het verlenen van op behoeften gebaseerde humanitaire hulp te vergroten, en de capaciteit en weerstand van kwetsbare of door rampen getroffen gemeenschappen in derde landen te versterken.</w:t>
      </w:r>
    </w:p>
    <w:p>
      <w:pPr>
        <w:rPr>
          <w:noProof/>
        </w:rPr>
      </w:pPr>
      <w:r>
        <w:rPr>
          <w:noProof/>
        </w:rPr>
        <w:t>Dit voorstel voorziet het Europees Solidariteitskorps van het wettelijke kader om jongeren meer mogelijkheden te bieden voor deelname aan solidariteitsactiviteiten door de omvang van zijn activiteiten en de geografische reikwijdte ervan op dit gebied te verruimen. Dit zal ertoe bijdragen dat onvervulde maatschappelijke behoeften in Europa, maar ook uitdagingen op humanitair gebied in derde landen kunnen worden aangepakt. Ook de persoonlijke, educatieve, sociale en professionele ontwikkeling van jongeren en hun ontwikkeling als burger zal erdoor worden bevorderd.</w:t>
      </w:r>
    </w:p>
    <w:p>
      <w:pPr>
        <w:rPr>
          <w:noProof/>
        </w:rPr>
      </w:pPr>
      <w:r>
        <w:rPr>
          <w:noProof/>
        </w:rPr>
        <w:lastRenderedPageBreak/>
        <w:t>Het aantal jongeren dat wil deelnemen aan solidariteitsactiviteiten is groot, en er zijn talrijke onvervulde behoeften in gemeenschappen die zouden kunnen worden aangepakt als jongeren aan dergelijke activiteiten zouden deelnemen. Heel wat organisaties zijn op zoek naar gemotiveerde jongeren om te helpen bij hun inspanningen; als zij worden ondersteund, kunnen deze organisaties nog meer betekenen voor hun gemeenschappen. Er zijn echter onevenwichtigheden in vraag en aanbod. Er zijn ook belemmeringen in verband met de beschikbaarheid van middelen, de kwaliteitsborging en verschillende juridische aspecten.</w:t>
      </w:r>
    </w:p>
    <w:p>
      <w:pPr>
        <w:rPr>
          <w:noProof/>
        </w:rPr>
      </w:pPr>
      <w:r>
        <w:rPr>
          <w:noProof/>
        </w:rPr>
        <w:t>Als er geen maatregelen worden genomen om organisaties en jongeren samen te brengen met het oog op de bevordering van solidariteit, bestaat het risico dat een aanzienlijk potentieel voor solidariteitsactiviteiten onbenut blijft. Dit zou kunnen leiden tot een onnodig verlies aan welvaart voor organisaties, jongeren en de maatschappij als geheel. Bovendien blijkt uit de evaluatie vooraf en uit eerdere evaluaties van Erasmus+ en de EU-vrijwilligers voor humanitaire hulp dat er ruimte is voor verbetering door vereenvoudiging van procedures, en dat er winst te behalen valt door de efficiëntie met schaal- en toepassingsvoordelen te vergroten.</w:t>
      </w:r>
    </w:p>
    <w:p>
      <w:pPr>
        <w:rPr>
          <w:noProof/>
        </w:rPr>
      </w:pPr>
      <w:r>
        <w:rPr>
          <w:noProof/>
        </w:rPr>
        <w:t>Tegen deze achtergrond heeft het Europees Solidariteitskorps tot doel de inzet van jongeren en organisaties bij toegankelijke en kwalitatief hoogwaardige solidariteitsactiviteiten te vergroten. Het Europees Solidariteitskorps is een middel om de cohesie, de solidariteit en de democratie in Europa en daarbuiten te versterken en concrete sociale en humanitaire uitdagingen aan te gaan, met bijzondere nadruk op het bevorderen van sociale inclusie.</w:t>
      </w:r>
    </w:p>
    <w:p>
      <w:pPr>
        <w:rPr>
          <w:noProof/>
        </w:rPr>
      </w:pPr>
      <w:r>
        <w:rPr>
          <w:noProof/>
        </w:rPr>
        <w:t>Om deze algemene doelstelling te bereiken, zal het Europees Solidariteitskorps jongeren laagdrempelige mogelijkheden bieden om deel te nemen aan vrijwilligersactiviteiten, stages of banen in solidariteitsgerelateerde sectoren, zoals de sociale economie, en op eigen initiatief solidariteitsprojecten te bedenken en te ontwikkelen. Dit laatste zal ook bijdragen tot de persoonlijke, sociale en professionele ontwikkeling van de jongeren en tevens hun inzetbaarheid vergroten doordat hun vaardigheden en competenties worden verbeterd. Het Solidariteitskorps zal ook netwerkactiviteiten voor de deelnemende jongeren en organisaties ondersteunen. Deze zijn bedoeld om te zorgen dat er binnen het Europees Solidariteitskorps een "teamgeest" ontstaat, waarbij deelnemers zich onderdeel voelen van een bredere gemeenschap die zich inzet voor solidariteit, en om de uitwisseling van nuttige ervaringen en praktijken aan te moedigen. Het Solidariteitskorps streeft er ook naar dat:</w:t>
      </w:r>
    </w:p>
    <w:p>
      <w:pPr>
        <w:pStyle w:val="ListBullet"/>
        <w:numPr>
          <w:ilvl w:val="0"/>
          <w:numId w:val="49"/>
        </w:numPr>
        <w:rPr>
          <w:rFonts w:eastAsia="Calibri"/>
          <w:noProof/>
        </w:rPr>
      </w:pPr>
      <w:r>
        <w:rPr>
          <w:noProof/>
        </w:rPr>
        <w:t>de solidariteitsactiviteiten die de deelnemende jongeren worden aangeboden, een bijdrage leveren aan concrete maatschappelijke uitdagingen en aan op behoeften gebaseerde humanitaire operaties, en bijdragen tot de versterking van gemeenschappen; en</w:t>
      </w:r>
    </w:p>
    <w:p>
      <w:pPr>
        <w:pStyle w:val="ListBullet"/>
        <w:numPr>
          <w:ilvl w:val="0"/>
          <w:numId w:val="49"/>
        </w:numPr>
        <w:rPr>
          <w:rFonts w:eastAsia="Calibri"/>
          <w:noProof/>
        </w:rPr>
      </w:pPr>
      <w:r>
        <w:rPr>
          <w:noProof/>
        </w:rPr>
        <w:t>de leerresultaten die voortkomen uit de deelname van jongeren aan deze activiteiten naar behoren worden gevalideerd.</w:t>
      </w:r>
    </w:p>
    <w:p>
      <w:pPr>
        <w:rPr>
          <w:noProof/>
        </w:rPr>
      </w:pPr>
      <w:r>
        <w:rPr>
          <w:noProof/>
        </w:rPr>
        <w:t>Dit voorstel, dat van toepassing zou moeten worden op 1 januari 2021, wordt voorgelegd voor een Unie van 27 lidstaten, in overeenstemming met de kennisgeving van het voornemen van het Verenigd Koninkrijk om zich uit hoofde van artikel 50 van het Verdrag betreffende de Europese Unie terug te trekken uit de Europese Unie en uit Euratom, die de Europese Raad op 29 maart 2017 heeft ontvangen.</w:t>
      </w:r>
    </w:p>
    <w:p>
      <w:pPr>
        <w:pStyle w:val="ManualHeading2"/>
        <w:rPr>
          <w:noProof/>
        </w:rPr>
      </w:pPr>
      <w:r>
        <w:rPr>
          <w:noProof/>
        </w:rPr>
        <w:t>•</w:t>
      </w:r>
      <w:r>
        <w:rPr>
          <w:noProof/>
        </w:rPr>
        <w:tab/>
        <w:t>Verenigbaarheid met bestaande bepalingen op het beleidsterrein</w:t>
      </w:r>
    </w:p>
    <w:p>
      <w:pPr>
        <w:rPr>
          <w:noProof/>
        </w:rPr>
      </w:pPr>
      <w:r>
        <w:rPr>
          <w:noProof/>
        </w:rPr>
        <w:t>Het Europees Solidariteitskorps bouwt voort op de rijke en lange traditie en ervaring van de lidstaten op het vlak van activiteiten ten dienste van het algemeen belang, bijvoorbeeld via vrijwilligerswerk. Sommige lidstaten hebben burgerdienstprogramma's die jongeren de mogelijkheid bieden om zich voor het algemeen belang in te zetten, terwijl in andere lidstaten activiteiten van het maatschappelijk middenveld worden ondersteund.</w:t>
      </w:r>
    </w:p>
    <w:p>
      <w:pPr>
        <w:rPr>
          <w:noProof/>
        </w:rPr>
      </w:pPr>
      <w:r>
        <w:rPr>
          <w:noProof/>
        </w:rPr>
        <w:t>Op EU-niveau heeft het Europees vrijwilligerswerk jongeren 20 jaar lang mogelijkheden voor vrijwilligerswerk geboden. Beleidsonderdelen en programma's zoals de jongerengarantie en de regeling "Je eerste Eures-baan" helpen jongeren aan stages en banen. Het EU-vrijwilligersinitiatief voor humanitaire hulp, dat in 2014 is gestart, biedt burgers de mogelijkheid in een derde land als vrijwilliger aan de slag te gaan. Een dergelijke ervaring levert een bijdrage aan humanitaire hulp waar die het meest nodig is.</w:t>
      </w:r>
    </w:p>
    <w:p>
      <w:pPr>
        <w:rPr>
          <w:noProof/>
        </w:rPr>
      </w:pPr>
      <w:r>
        <w:rPr>
          <w:noProof/>
        </w:rPr>
        <w:t>Deze initiatieven vormen een solide fundament, dat het Europees Solidariteitskorps niet alleen als basis gebruikt, maar ook verder zal uitbreiden om nieuwe kansen, meer zichtbaarheid en een grotere impact te kunnen bieden. Het Solidariteitskorps zal nieuwe mogelijkheden bieden op het gebied van humanitaire hulp (een gebied dat niet langer zal worden ondersteund door het EU-vrijwilligersinitiatief voor humanitaire hulp, dat in 2020 zal worden beëindigd), en tegelijkertijd de toegang voor zowel jongeren als organisaties makkelijker maken. Het Europees Solidariteitskorps zal via zijn portaalsite een centraal, laagdrempelig toegangspunt blijven bieden en ernaar streven de deelnemende organisaties en betrokken jongeren zo veel mogelijk bij de activiteiten te betrekken. Daarnaast zal het de beschikbaarheid van opleidingen die aan een activiteit voorafgaan ontwikkelen en bevorderen, evenals relevante ondersteuning en de validering van leerresultaten na afloop van een activiteit.</w:t>
      </w:r>
    </w:p>
    <w:p>
      <w:pPr>
        <w:rPr>
          <w:noProof/>
        </w:rPr>
      </w:pPr>
      <w:r>
        <w:rPr>
          <w:noProof/>
        </w:rPr>
        <w:t>Om een efficiënte en doeltreffende uitvoering te waarborgen, zal het Europees Solidariteitskorps maximaal gebruikmaken van reeds bestaande beheersregelingen. Hierdoor zal het Solidariteitskorps de nadruk kunnen leggen op het behalen van maximale resultaten en prestaties, terwijl tegelijkertijd de administratieve lasten zoveel mogelijk worden beperkt. Daarom zal de uitvoering van het Europees Solidariteitskorps worden toevertrouwd aan bestaande structuren.</w:t>
      </w:r>
    </w:p>
    <w:p>
      <w:pPr>
        <w:pStyle w:val="ManualHeading2"/>
        <w:rPr>
          <w:noProof/>
        </w:rPr>
      </w:pPr>
      <w:r>
        <w:rPr>
          <w:noProof/>
        </w:rPr>
        <w:t>•</w:t>
      </w:r>
      <w:r>
        <w:rPr>
          <w:noProof/>
        </w:rPr>
        <w:tab/>
        <w:t>Verenigbaarheid met andere beleidsterreinen van de Unie</w:t>
      </w:r>
    </w:p>
    <w:p>
      <w:pPr>
        <w:rPr>
          <w:noProof/>
        </w:rPr>
      </w:pPr>
      <w:r>
        <w:rPr>
          <w:noProof/>
        </w:rPr>
        <w:t>De acties van het Europees Solidariteitskorps zijn consistent met en vormen een aanvulling op een reeks relevante beleidslijnen en programma's van de EU. Dit betreft met name de beleidslijnen en programma's met betrekking tot:</w:t>
      </w:r>
    </w:p>
    <w:p>
      <w:pPr>
        <w:pStyle w:val="ListBullet"/>
        <w:numPr>
          <w:ilvl w:val="0"/>
          <w:numId w:val="50"/>
        </w:numPr>
        <w:pBdr>
          <w:top w:val="nil"/>
          <w:left w:val="nil"/>
          <w:bottom w:val="nil"/>
          <w:right w:val="nil"/>
          <w:between w:val="nil"/>
          <w:bar w:val="nil"/>
        </w:pBdr>
        <w:tabs>
          <w:tab w:val="left" w:pos="360"/>
        </w:tabs>
        <w:rPr>
          <w:noProof/>
        </w:rPr>
      </w:pPr>
      <w:r>
        <w:rPr>
          <w:noProof/>
        </w:rPr>
        <w:t>onderwijs en opleiding;</w:t>
      </w:r>
    </w:p>
    <w:p>
      <w:pPr>
        <w:pStyle w:val="ListBullet"/>
        <w:numPr>
          <w:ilvl w:val="0"/>
          <w:numId w:val="50"/>
        </w:numPr>
        <w:pBdr>
          <w:top w:val="nil"/>
          <w:left w:val="nil"/>
          <w:bottom w:val="nil"/>
          <w:right w:val="nil"/>
          <w:between w:val="nil"/>
          <w:bar w:val="nil"/>
        </w:pBdr>
        <w:tabs>
          <w:tab w:val="left" w:pos="360"/>
        </w:tabs>
        <w:rPr>
          <w:noProof/>
        </w:rPr>
      </w:pPr>
      <w:r>
        <w:rPr>
          <w:noProof/>
        </w:rPr>
        <w:t>werkgelegenheid;</w:t>
      </w:r>
    </w:p>
    <w:p>
      <w:pPr>
        <w:pStyle w:val="ListBullet"/>
        <w:numPr>
          <w:ilvl w:val="0"/>
          <w:numId w:val="50"/>
        </w:numPr>
        <w:pBdr>
          <w:top w:val="nil"/>
          <w:left w:val="nil"/>
          <w:bottom w:val="nil"/>
          <w:right w:val="nil"/>
          <w:between w:val="nil"/>
          <w:bar w:val="nil"/>
        </w:pBdr>
        <w:tabs>
          <w:tab w:val="left" w:pos="360"/>
        </w:tabs>
        <w:rPr>
          <w:noProof/>
        </w:rPr>
      </w:pPr>
      <w:r>
        <w:rPr>
          <w:noProof/>
        </w:rPr>
        <w:t>gendergelijkheid;</w:t>
      </w:r>
    </w:p>
    <w:p>
      <w:pPr>
        <w:pStyle w:val="ListBullet"/>
        <w:numPr>
          <w:ilvl w:val="0"/>
          <w:numId w:val="50"/>
        </w:numPr>
        <w:pBdr>
          <w:top w:val="nil"/>
          <w:left w:val="nil"/>
          <w:bottom w:val="nil"/>
          <w:right w:val="nil"/>
          <w:between w:val="nil"/>
          <w:bar w:val="nil"/>
        </w:pBdr>
        <w:tabs>
          <w:tab w:val="left" w:pos="360"/>
        </w:tabs>
        <w:rPr>
          <w:noProof/>
        </w:rPr>
      </w:pPr>
      <w:r>
        <w:rPr>
          <w:noProof/>
        </w:rPr>
        <w:t>ondernemerschap (in het bijzonder sociaal ondernemerschap);</w:t>
      </w:r>
    </w:p>
    <w:p>
      <w:pPr>
        <w:pStyle w:val="ListBullet"/>
        <w:numPr>
          <w:ilvl w:val="0"/>
          <w:numId w:val="50"/>
        </w:numPr>
        <w:pBdr>
          <w:top w:val="nil"/>
          <w:left w:val="nil"/>
          <w:bottom w:val="nil"/>
          <w:right w:val="nil"/>
          <w:between w:val="nil"/>
          <w:bar w:val="nil"/>
        </w:pBdr>
        <w:tabs>
          <w:tab w:val="left" w:pos="360"/>
        </w:tabs>
        <w:rPr>
          <w:noProof/>
        </w:rPr>
      </w:pPr>
      <w:r>
        <w:rPr>
          <w:noProof/>
        </w:rPr>
        <w:t>burgerschap en democratische participatie;</w:t>
      </w:r>
    </w:p>
    <w:p>
      <w:pPr>
        <w:pStyle w:val="ListBullet"/>
        <w:numPr>
          <w:ilvl w:val="0"/>
          <w:numId w:val="50"/>
        </w:numPr>
        <w:pBdr>
          <w:top w:val="nil"/>
          <w:left w:val="nil"/>
          <w:bottom w:val="nil"/>
          <w:right w:val="nil"/>
          <w:between w:val="nil"/>
          <w:bar w:val="nil"/>
        </w:pBdr>
        <w:tabs>
          <w:tab w:val="left" w:pos="360"/>
        </w:tabs>
        <w:rPr>
          <w:noProof/>
        </w:rPr>
      </w:pPr>
      <w:r>
        <w:rPr>
          <w:noProof/>
        </w:rPr>
        <w:t>milieu en natuurbescherming;</w:t>
      </w:r>
    </w:p>
    <w:p>
      <w:pPr>
        <w:pStyle w:val="ListBullet"/>
        <w:numPr>
          <w:ilvl w:val="0"/>
          <w:numId w:val="50"/>
        </w:numPr>
        <w:pBdr>
          <w:top w:val="nil"/>
          <w:left w:val="nil"/>
          <w:bottom w:val="nil"/>
          <w:right w:val="nil"/>
          <w:between w:val="nil"/>
          <w:bar w:val="nil"/>
        </w:pBdr>
        <w:tabs>
          <w:tab w:val="left" w:pos="360"/>
        </w:tabs>
        <w:rPr>
          <w:noProof/>
        </w:rPr>
      </w:pPr>
      <w:r>
        <w:rPr>
          <w:noProof/>
        </w:rPr>
        <w:t>klimaatactie;</w:t>
      </w:r>
    </w:p>
    <w:p>
      <w:pPr>
        <w:pStyle w:val="ListBullet"/>
        <w:numPr>
          <w:ilvl w:val="0"/>
          <w:numId w:val="50"/>
        </w:numPr>
        <w:pBdr>
          <w:top w:val="nil"/>
          <w:left w:val="nil"/>
          <w:bottom w:val="nil"/>
          <w:right w:val="nil"/>
          <w:between w:val="nil"/>
          <w:bar w:val="nil"/>
        </w:pBdr>
        <w:tabs>
          <w:tab w:val="left" w:pos="360"/>
        </w:tabs>
        <w:rPr>
          <w:noProof/>
        </w:rPr>
      </w:pPr>
      <w:r>
        <w:rPr>
          <w:noProof/>
        </w:rPr>
        <w:t>rampenpreventie, -paraatheid en hersteloperaties;</w:t>
      </w:r>
    </w:p>
    <w:p>
      <w:pPr>
        <w:pStyle w:val="ListBullet"/>
        <w:numPr>
          <w:ilvl w:val="0"/>
          <w:numId w:val="50"/>
        </w:numPr>
        <w:pBdr>
          <w:top w:val="nil"/>
          <w:left w:val="nil"/>
          <w:bottom w:val="nil"/>
          <w:right w:val="nil"/>
          <w:between w:val="nil"/>
          <w:bar w:val="nil"/>
        </w:pBdr>
        <w:tabs>
          <w:tab w:val="left" w:pos="360"/>
        </w:tabs>
        <w:rPr>
          <w:noProof/>
        </w:rPr>
      </w:pPr>
      <w:r>
        <w:rPr>
          <w:noProof/>
        </w:rPr>
        <w:t>landbouw en plattelandsontwikkeling;</w:t>
      </w:r>
    </w:p>
    <w:p>
      <w:pPr>
        <w:pStyle w:val="ListBullet"/>
        <w:numPr>
          <w:ilvl w:val="0"/>
          <w:numId w:val="50"/>
        </w:numPr>
        <w:pBdr>
          <w:top w:val="nil"/>
          <w:left w:val="nil"/>
          <w:bottom w:val="nil"/>
          <w:right w:val="nil"/>
          <w:between w:val="nil"/>
          <w:bar w:val="nil"/>
        </w:pBdr>
        <w:tabs>
          <w:tab w:val="left" w:pos="360"/>
        </w:tabs>
        <w:rPr>
          <w:noProof/>
        </w:rPr>
      </w:pPr>
      <w:r>
        <w:rPr>
          <w:noProof/>
        </w:rPr>
        <w:t>het verstrekken van levensmiddelen en non-foodartikelen;</w:t>
      </w:r>
    </w:p>
    <w:p>
      <w:pPr>
        <w:pStyle w:val="ListBullet"/>
        <w:numPr>
          <w:ilvl w:val="0"/>
          <w:numId w:val="50"/>
        </w:numPr>
        <w:pBdr>
          <w:top w:val="nil"/>
          <w:left w:val="nil"/>
          <w:bottom w:val="nil"/>
          <w:right w:val="nil"/>
          <w:between w:val="nil"/>
          <w:bar w:val="nil"/>
        </w:pBdr>
        <w:tabs>
          <w:tab w:val="left" w:pos="360"/>
        </w:tabs>
        <w:rPr>
          <w:noProof/>
        </w:rPr>
      </w:pPr>
      <w:r>
        <w:rPr>
          <w:noProof/>
        </w:rPr>
        <w:t>gezondheid en welzijn;</w:t>
      </w:r>
    </w:p>
    <w:p>
      <w:pPr>
        <w:pStyle w:val="ListBullet"/>
        <w:numPr>
          <w:ilvl w:val="0"/>
          <w:numId w:val="50"/>
        </w:numPr>
        <w:pBdr>
          <w:top w:val="nil"/>
          <w:left w:val="nil"/>
          <w:bottom w:val="nil"/>
          <w:right w:val="nil"/>
          <w:between w:val="nil"/>
          <w:bar w:val="nil"/>
        </w:pBdr>
        <w:tabs>
          <w:tab w:val="left" w:pos="360"/>
        </w:tabs>
        <w:rPr>
          <w:noProof/>
        </w:rPr>
      </w:pPr>
      <w:r>
        <w:rPr>
          <w:noProof/>
        </w:rPr>
        <w:t>creativiteit en cultuur;</w:t>
      </w:r>
    </w:p>
    <w:p>
      <w:pPr>
        <w:pStyle w:val="ListBullet"/>
        <w:numPr>
          <w:ilvl w:val="0"/>
          <w:numId w:val="50"/>
        </w:numPr>
        <w:pBdr>
          <w:top w:val="nil"/>
          <w:left w:val="nil"/>
          <w:bottom w:val="nil"/>
          <w:right w:val="nil"/>
          <w:between w:val="nil"/>
          <w:bar w:val="nil"/>
        </w:pBdr>
        <w:tabs>
          <w:tab w:val="left" w:pos="360"/>
        </w:tabs>
        <w:rPr>
          <w:noProof/>
        </w:rPr>
      </w:pPr>
      <w:r>
        <w:rPr>
          <w:noProof/>
        </w:rPr>
        <w:t>lichamelijke opvoeding en sport;</w:t>
      </w:r>
    </w:p>
    <w:p>
      <w:pPr>
        <w:pStyle w:val="ListBullet"/>
        <w:numPr>
          <w:ilvl w:val="0"/>
          <w:numId w:val="50"/>
        </w:numPr>
        <w:pBdr>
          <w:top w:val="nil"/>
          <w:left w:val="nil"/>
          <w:bottom w:val="nil"/>
          <w:right w:val="nil"/>
          <w:between w:val="nil"/>
          <w:bar w:val="nil"/>
        </w:pBdr>
        <w:tabs>
          <w:tab w:val="left" w:pos="360"/>
        </w:tabs>
        <w:rPr>
          <w:noProof/>
        </w:rPr>
      </w:pPr>
      <w:r>
        <w:rPr>
          <w:noProof/>
        </w:rPr>
        <w:t>sociale bijstand en welzijnszorg;</w:t>
      </w:r>
    </w:p>
    <w:p>
      <w:pPr>
        <w:pStyle w:val="ListBullet"/>
        <w:numPr>
          <w:ilvl w:val="0"/>
          <w:numId w:val="50"/>
        </w:numPr>
        <w:pBdr>
          <w:top w:val="nil"/>
          <w:left w:val="nil"/>
          <w:bottom w:val="nil"/>
          <w:right w:val="nil"/>
          <w:between w:val="nil"/>
          <w:bar w:val="nil"/>
        </w:pBdr>
        <w:tabs>
          <w:tab w:val="left" w:pos="360"/>
        </w:tabs>
        <w:rPr>
          <w:noProof/>
        </w:rPr>
      </w:pPr>
      <w:r>
        <w:rPr>
          <w:noProof/>
        </w:rPr>
        <w:t>opvang en integratie van onderdanen van derde landen;</w:t>
      </w:r>
    </w:p>
    <w:p>
      <w:pPr>
        <w:pStyle w:val="ListBullet"/>
        <w:numPr>
          <w:ilvl w:val="0"/>
          <w:numId w:val="50"/>
        </w:numPr>
        <w:pBdr>
          <w:top w:val="nil"/>
          <w:left w:val="nil"/>
          <w:bottom w:val="nil"/>
          <w:right w:val="nil"/>
          <w:between w:val="nil"/>
          <w:bar w:val="nil"/>
        </w:pBdr>
        <w:tabs>
          <w:tab w:val="left" w:pos="360"/>
        </w:tabs>
        <w:rPr>
          <w:noProof/>
        </w:rPr>
      </w:pPr>
      <w:r>
        <w:rPr>
          <w:noProof/>
        </w:rPr>
        <w:t>territoriale samenwerking en cohesie;</w:t>
      </w:r>
    </w:p>
    <w:p>
      <w:pPr>
        <w:pStyle w:val="ListBullet"/>
        <w:numPr>
          <w:ilvl w:val="0"/>
          <w:numId w:val="50"/>
        </w:numPr>
        <w:pBdr>
          <w:top w:val="nil"/>
          <w:left w:val="nil"/>
          <w:bottom w:val="nil"/>
          <w:right w:val="nil"/>
          <w:between w:val="nil"/>
          <w:bar w:val="nil"/>
        </w:pBdr>
        <w:tabs>
          <w:tab w:val="left" w:pos="360"/>
        </w:tabs>
        <w:rPr>
          <w:noProof/>
        </w:rPr>
      </w:pPr>
      <w:r>
        <w:rPr>
          <w:noProof/>
        </w:rPr>
        <w:t>grensoverschrijdende samenwerking; en</w:t>
      </w:r>
    </w:p>
    <w:p>
      <w:pPr>
        <w:pStyle w:val="ListBullet"/>
        <w:numPr>
          <w:ilvl w:val="0"/>
          <w:numId w:val="50"/>
        </w:numPr>
        <w:pBdr>
          <w:top w:val="nil"/>
          <w:left w:val="nil"/>
          <w:bottom w:val="nil"/>
          <w:right w:val="nil"/>
          <w:between w:val="nil"/>
          <w:bar w:val="nil"/>
        </w:pBdr>
        <w:tabs>
          <w:tab w:val="left" w:pos="360"/>
        </w:tabs>
        <w:rPr>
          <w:noProof/>
        </w:rPr>
      </w:pPr>
      <w:r>
        <w:rPr>
          <w:noProof/>
        </w:rPr>
        <w:t>humanitaire hulp.</w:t>
      </w:r>
    </w:p>
    <w:p>
      <w:pPr>
        <w:rPr>
          <w:noProof/>
        </w:rPr>
      </w:pPr>
      <w:r>
        <w:rPr>
          <w:noProof/>
        </w:rPr>
        <w:t>In de eerste en tweede fase van het Europees Solidariteitskorps werden verschillende EU-programma's ingeschakeld om jongeren in de hele EU mogelijkheden te bieden voor vrijwilligerswerk, stages of banen.</w:t>
      </w:r>
    </w:p>
    <w:p>
      <w:pPr>
        <w:rPr>
          <w:noProof/>
        </w:rPr>
      </w:pPr>
      <w:r>
        <w:rPr>
          <w:noProof/>
        </w:rPr>
        <w:t>Het huidige voorstel zou de achtergrond vormen van een derde fase van het Europees Solidariteitskorps, waarin het dankzij de duidelijk afgebakende eigen middelen van het korps mogelijk wordt alle activiteiten volgens de dezelfde regels en voorwaarden voor solidariteitsactiviteiten te ontwikkelen, onafhankelijk van het beleidsterrein waar de actie zich op richt. Aangezien het nieuwe, uitgebreide toepassingsgebied activiteiten omvat ter ondersteuning van humanitaire operaties, zal het Europees Solidariteitskorps profiteren van extra bijdragen ter ondersteuning van de nieuwe activiteiten. Die activiteiten zullen in nauwe samenwerking met de betrokken diensten van de Commissie worden uitgevoerd.</w:t>
      </w:r>
    </w:p>
    <w:p>
      <w:pPr>
        <w:rPr>
          <w:noProof/>
        </w:rPr>
      </w:pPr>
      <w:r>
        <w:rPr>
          <w:noProof/>
        </w:rPr>
        <w:t>Het voorstel van de Commissie voor het meerjarig financieel kader 2021</w:t>
      </w:r>
      <w:r>
        <w:rPr>
          <w:noProof/>
        </w:rPr>
        <w:noBreakHyphen/>
        <w:t>2027 is ambitieuzer wat de integratie van klimaatactie in andere EU-programma's betreft, en stelt als algemeen doel dat 25 % van de uitgaven op de EU-begroting klimaatdoelstellingen ondersteunen</w:t>
      </w:r>
      <w:r>
        <w:rPr>
          <w:rStyle w:val="FootnoteReference"/>
          <w:rFonts w:eastAsiaTheme="majorEastAsia"/>
          <w:noProof/>
        </w:rPr>
        <w:footnoteReference w:id="4"/>
      </w:r>
      <w:r>
        <w:rPr>
          <w:noProof/>
        </w:rPr>
        <w:t>. De bijdrage van dit programma aan de verwezenlijking van dat doel zal worden gevolgd via een EU-systeem van klimaatindicatoren op een passend uitsplitsingsniveau, inclusief het gebruik van nauwkeuriger methoden wanneer die beschikbaar zijn. De Commissie zal de informatie jaarlijks blijven presenteren in de vorm van vastleggingskredieten in het kader van de jaarlijkse ontwerpbegroting.</w:t>
      </w:r>
    </w:p>
    <w:p>
      <w:pPr>
        <w:rPr>
          <w:noProof/>
        </w:rPr>
      </w:pPr>
      <w:r>
        <w:rPr>
          <w:noProof/>
        </w:rPr>
        <w:t>Om ertoe bij te dragen dat het volledige potentieel van het programma voor het behalen van de klimaatdoestellingen wordt gebruikt, zal de Commissie er tijdens het proces van voorbereiding, toepassing, beoordeling en evaluatie van het programma naar streven relevante acties in kaart te brengen.</w:t>
      </w:r>
    </w:p>
    <w:p>
      <w:pPr>
        <w:pStyle w:val="ManualHeading1"/>
        <w:spacing w:before="120"/>
        <w:rPr>
          <w:noProof/>
        </w:rPr>
      </w:pPr>
      <w:r>
        <w:rPr>
          <w:noProof/>
        </w:rPr>
        <w:t>2.</w:t>
      </w:r>
      <w:r>
        <w:rPr>
          <w:noProof/>
        </w:rPr>
        <w:tab/>
        <w:t>RECHTSGRONDSLAG, SUBSIDIARITEIT EN EVENREDIGHEID</w:t>
      </w:r>
    </w:p>
    <w:p>
      <w:pPr>
        <w:pStyle w:val="ManualHeading2"/>
        <w:rPr>
          <w:noProof/>
        </w:rPr>
      </w:pPr>
      <w:r>
        <w:rPr>
          <w:noProof/>
        </w:rPr>
        <w:t>•</w:t>
      </w:r>
      <w:r>
        <w:rPr>
          <w:noProof/>
        </w:rPr>
        <w:tab/>
        <w:t>Rechtsgrondslag</w:t>
      </w:r>
    </w:p>
    <w:p>
      <w:pPr>
        <w:rPr>
          <w:noProof/>
        </w:rPr>
      </w:pPr>
      <w:r>
        <w:rPr>
          <w:noProof/>
        </w:rPr>
        <w:t>Dit voorstel bestaat uit twee onderdelen: "deelname van jongeren aan solidariteitsactiviteiten om maatschappelijke uitdagingen aan te pakken" en "Europees vrijwilligerskorps voor humanitaire hulpverlening".</w:t>
      </w:r>
    </w:p>
    <w:p>
      <w:pPr>
        <w:rPr>
          <w:noProof/>
        </w:rPr>
      </w:pPr>
      <w:r>
        <w:rPr>
          <w:noProof/>
        </w:rPr>
        <w:t>Daarom is het voorstel gebaseerd op artikel 165, lid 4, artikel 166, lid 4, en artikel 214, lid 5, van het Verdrag betreffende de werking van de Europese Unie. Volgens artikel 165, lid 4, is EU-optreden mogelijk dat erop gericht is "</w:t>
      </w:r>
      <w:r>
        <w:rPr>
          <w:i/>
          <w:noProof/>
        </w:rPr>
        <w:t>de ontwikkeling van uitwisselingsprogramma's voor jongeren [...] te bevorderen, en de deelneming van jongeren aan het democratisch leven van Europa aan te moedigen</w:t>
      </w:r>
      <w:r>
        <w:rPr>
          <w:noProof/>
        </w:rPr>
        <w:t>". Het EU-optreden op basis van artikel 166, lid 4, vormt een passende rechtsgrondslag voor een handeling die, zoals dit voorstel, erop gericht is "</w:t>
      </w:r>
      <w:r>
        <w:rPr>
          <w:i/>
          <w:noProof/>
        </w:rPr>
        <w:t>door verbetering van de initiële beroepsopleiding en van bij- en nascholing, de opneming en de wederopneming op de arbeidsmarkt te bevorderen</w:t>
      </w:r>
      <w:r>
        <w:rPr>
          <w:noProof/>
        </w:rPr>
        <w:t>" en "</w:t>
      </w:r>
      <w:r>
        <w:rPr>
          <w:i/>
          <w:noProof/>
        </w:rPr>
        <w:t>de toegang tot beroepsopleidingen te vergemakkelijken en de mobiliteit van opleiders en leerlingen, met name jongeren, te bevorderen</w:t>
      </w:r>
      <w:r>
        <w:rPr>
          <w:noProof/>
        </w:rPr>
        <w:t>". Artikel 214, lid 5, vormt de rechtsgrondslag voor de oprichting van een "</w:t>
      </w:r>
      <w:r>
        <w:rPr>
          <w:i/>
          <w:noProof/>
        </w:rPr>
        <w:t>kader voor gemeenschappelijke bijdragen van Europese jongeren aan de humanitaire hulpacties van de Unie, een Europees vrijwilligerskorps voor humanitaire hulpverlening</w:t>
      </w:r>
      <w:r>
        <w:rPr>
          <w:noProof/>
        </w:rPr>
        <w:t>".</w:t>
      </w:r>
    </w:p>
    <w:p>
      <w:pPr>
        <w:pStyle w:val="ManualHeading2"/>
        <w:rPr>
          <w:noProof/>
        </w:rPr>
      </w:pPr>
      <w:r>
        <w:rPr>
          <w:noProof/>
        </w:rPr>
        <w:t>•</w:t>
      </w:r>
      <w:r>
        <w:rPr>
          <w:noProof/>
        </w:rPr>
        <w:tab/>
        <w:t>Subsidiariteit (bij niet-exclusieve bevoegdheid)</w:t>
      </w:r>
    </w:p>
    <w:p>
      <w:pPr>
        <w:rPr>
          <w:noProof/>
        </w:rPr>
      </w:pPr>
      <w:r>
        <w:rPr>
          <w:noProof/>
        </w:rPr>
        <w:t>Gezien de Europese dimensie van de voorgestelde doelen — jongeren mobiliseren voor solidariteitsdoelen in de hele EU en jonge vrijwilligers mobiliseren om een bijdrage te leveren aan humanitaire hulp in derde landen — is optreden op EU-niveau passend.</w:t>
      </w:r>
    </w:p>
    <w:p>
      <w:pPr>
        <w:rPr>
          <w:noProof/>
        </w:rPr>
      </w:pPr>
      <w:r>
        <w:rPr>
          <w:noProof/>
        </w:rPr>
        <w:t>Acties via het Europees Solidariteitskorps zullen soortgelijke acties voor jongeren door de lidstaten niet vervangen; zij zullen deze aanvullen en ondersteunen, met volledige inachtneming van het subsidiariteitsbeginsel. Alle lidstaten hebben hun eigen tradities wat lopende programma's en instrumenten betreft waarmee activiteiten ten dienste van het algemeen belang worden ondersteund, in het bijzonder via vrijwilligerswerk, en die tradities zijn zeer verschillend. In sommige landen is het de praktijk dat de overheid hierbij een rol speelt, terwijl in andere juist het maatschappelijk middenveld het voortouw neemt. Er bestaan ook verschillende concepten en connotaties van solidariteitsactiviteiten en vrijwilligerswerk, en de soorten activiteiten verschillen van elkaar qua inhoud en duur. Bovendien bestaan er uiteenlopende percepties van de manier waarop sociale bescherming verband houdt met vrijwilligerswerk, en zijn er verschillende gradaties wat de rechtsstatus, het leren en de erkenning betreft. Al deze elementen leiden tot versnippering op EU-niveau, wat betekent dat jongeren in de EU ongelijke toegang hebben tot de mogelijkheden die worden aangeboden.</w:t>
      </w:r>
    </w:p>
    <w:p>
      <w:pPr>
        <w:rPr>
          <w:noProof/>
        </w:rPr>
      </w:pPr>
      <w:r>
        <w:rPr>
          <w:noProof/>
        </w:rPr>
        <w:t>EU-optreden via het Europees Solidariteitskorps zal helpen deze versnippering tegen te gaan, zoals is gebleken uit de evaluatie vooraf bij dit voorstel. Tegelijkertijd wordt voortgebouwd op de lessen die zijn getrokken uit de diverse ervaringen in de lidstaten. Tevens wordt vrijwilligerswerk aangemoedigd in lidstaten waar dit vandaag minder gangbaar is, zoals werd aangegeven door de belanghebbenden die tijdens de voorbereiding van [verordening inzake het Europees Solidariteitskorps]</w:t>
      </w:r>
      <w:r>
        <w:rPr>
          <w:rStyle w:val="FootnoteReference"/>
          <w:noProof/>
        </w:rPr>
        <w:footnoteReference w:id="5"/>
      </w:r>
      <w:r>
        <w:rPr>
          <w:noProof/>
        </w:rPr>
        <w:t xml:space="preserve"> zijn geraadpleegd. Het Solidariteitskorps helpt de kwaliteit van verschillende activiteiten voor jongeren in de EU en daarbuiten te verbeteren, evenals de validatie van hun leerresultaten. Dit gebeurt via de toepassing van een aantal kwaliteitswaarborgen, zoals een kwaliteitskeurmerk voor deelnemende organisaties en de beginselen die in het kwaliteitskader voor stages</w:t>
      </w:r>
      <w:r>
        <w:rPr>
          <w:rStyle w:val="FootnoteReference"/>
          <w:noProof/>
        </w:rPr>
        <w:footnoteReference w:id="6"/>
      </w:r>
      <w:r>
        <w:rPr>
          <w:noProof/>
        </w:rPr>
        <w:t xml:space="preserve"> zijn aangegeven.</w:t>
      </w:r>
    </w:p>
    <w:p>
      <w:pPr>
        <w:rPr>
          <w:noProof/>
        </w:rPr>
      </w:pPr>
      <w:r>
        <w:rPr>
          <w:noProof/>
        </w:rPr>
        <w:t>Bovendien zal het Europees Solidariteitskorps, wanneer het toepassingsgebied wordt uitgebreid tot activiteiten ter ondersteuning van humanitaire operaties, één toegangspunt bieden tot hoogwaardige vrijwillige en beroepsmatige solidariteitsactiviteiten voor jongeren in de hele EU en daarbuiten. Op dit moment zijn deze alleen toegankelijk via twee afzonderlijke regelingen. Het korps zal er dus voor zorgen dat alle geïnteresseerde jongeren overal in de EU gelijke kansen hebben met betrekking tot een breder scala aan activiteiten, en dat zij daar gemakkelijker toegang toe krijgen. Als de mogelijkheden om vrijwilligerswerk te doen ter ondersteuning van humanitaire hulp onder de bestaande noemer van het Europees Solidariteitskorps worden gebracht, zal dit ook ten goede komen aan de bekendheid en de zichtbaarheid van de mogelijkheden die voor jongeren beschikbaar zijn.</w:t>
      </w:r>
    </w:p>
    <w:p>
      <w:pPr>
        <w:rPr>
          <w:noProof/>
        </w:rPr>
      </w:pPr>
      <w:r>
        <w:rPr>
          <w:noProof/>
        </w:rPr>
        <w:t>Het Europees Solidariteitskorps zal zowel activiteiten aanbieden die kunnen worden uitgevoerd buiten het land van verblijf van de deelnemers (grensoverschrijdende activiteiten en vrijwilligerswerk ter ondersteuning van humanitaire hulp), als activiteiten die in hun land van verblijf kunnen worden uitgevoerd (activiteiten en vrijwilligerswerk in eigen land). Bij grensoverschrijdende activiteiten kan het optreden van de EU niet worden vervangen door optreden van afzonderlijke lidstaten. Dit komt door de versnippering in de structuren en programma's die vrijwilligerswerk en stages aanbieden, en door de verschillende zienswijzen en begrippen ten aanzien van de sector waarbinnen solidariteitsactiviteiten worden aangeboden. Wat activiteiten in eigen land betreft, helpt het Europees Solidariteitskorps lokale en nationale uitdagingen vanuit een breder Europees perspectief aan te pakken. EU-optreden kan met name nuttig zijn om versnippering van het activiteitenaanbod tegen te gaan en ervoor te zorgen dat alle jongeren kunnen deelnemen, ook degenen voor wie de deelname aan internationale activiteiten moeilijk is. Daarnaast kan het een Europees kader bieden en bijdragen tot het vinden van Europese oplossingen voor specifieke uitdagingen die niet beperkt zijn tot een bepaald land.</w:t>
      </w:r>
    </w:p>
    <w:p>
      <w:pPr>
        <w:rPr>
          <w:noProof/>
        </w:rPr>
      </w:pPr>
      <w:r>
        <w:rPr>
          <w:noProof/>
        </w:rPr>
        <w:t>En tot slot, maar daarom niet minder belangrijk, draagt het gebruik van bestaande structuren die hun waarde hebben bewezen ertoe bij dat het Europees Solidariteitskorps op doeltreffende en efficiënte wijze wordt gerealiseerd. Het zorgt er tevens voor dat optimaal wordt gebruikgemaakt van synergieën en complementariteit met acties van de lidstaten ten behoeve van jongeren op het gebied van humanitaire hulp. Want hoewel nationale kaders een vergelijkbaar resultaat zouden kunnen bereiken, zou dit tweemaal zoveel kosten, zoals bleek uit de tussentijdse evaluatie van het Erasmus+-programma (2014</w:t>
      </w:r>
      <w:r>
        <w:rPr>
          <w:noProof/>
        </w:rPr>
        <w:noBreakHyphen/>
        <w:t>2020)</w:t>
      </w:r>
      <w:r>
        <w:rPr>
          <w:rStyle w:val="FootnoteReference"/>
          <w:rFonts w:eastAsiaTheme="majorEastAsia"/>
          <w:noProof/>
        </w:rPr>
        <w:footnoteReference w:id="7"/>
      </w:r>
      <w:r>
        <w:rPr>
          <w:noProof/>
        </w:rPr>
        <w:t>.</w:t>
      </w:r>
    </w:p>
    <w:p>
      <w:pPr>
        <w:pStyle w:val="ManualHeading2"/>
        <w:rPr>
          <w:noProof/>
        </w:rPr>
      </w:pPr>
      <w:r>
        <w:rPr>
          <w:noProof/>
        </w:rPr>
        <w:t>•</w:t>
      </w:r>
      <w:r>
        <w:rPr>
          <w:noProof/>
        </w:rPr>
        <w:tab/>
        <w:t>Evenredigheid</w:t>
      </w:r>
    </w:p>
    <w:p>
      <w:pPr>
        <w:rPr>
          <w:noProof/>
        </w:rPr>
      </w:pPr>
      <w:r>
        <w:rPr>
          <w:noProof/>
        </w:rPr>
        <w:t>De voorgestelde verbeteringen zullen worden geïntegreerd in de bestaande structuur van het programma en zullen de bestaande uitvoeringsmechanismen gebruiken om te zorgen voor een maximale stabiliteit en continuïteit met de vorige programma's. Het voorstel vult de leemten op in het aanbod aan laagdrempelige mogelijkheden voor jongeren om deel te nemen aan solidariteitsactiviteiten. Het gaat niet verder dan nodig is om de beoogde doelstellingen te verwezenlijken.</w:t>
      </w:r>
    </w:p>
    <w:p>
      <w:pPr>
        <w:pStyle w:val="ManualHeading2"/>
        <w:rPr>
          <w:noProof/>
        </w:rPr>
      </w:pPr>
      <w:r>
        <w:rPr>
          <w:noProof/>
        </w:rPr>
        <w:t>•</w:t>
      </w:r>
      <w:r>
        <w:rPr>
          <w:noProof/>
        </w:rPr>
        <w:tab/>
        <w:t>Keuze van het instrument</w:t>
      </w:r>
    </w:p>
    <w:p>
      <w:pPr>
        <w:rPr>
          <w:noProof/>
        </w:rPr>
      </w:pPr>
      <w:r>
        <w:rPr>
          <w:noProof/>
        </w:rPr>
        <w:t>Het voorgestelde instrument is een verordening van het Europees Parlement en de Raad.</w:t>
      </w:r>
    </w:p>
    <w:p>
      <w:pPr>
        <w:pStyle w:val="ManualHeading1"/>
        <w:spacing w:before="120"/>
        <w:rPr>
          <w:noProof/>
        </w:rPr>
      </w:pPr>
      <w:r>
        <w:rPr>
          <w:noProof/>
        </w:rPr>
        <w:t>3.</w:t>
      </w:r>
      <w:r>
        <w:rPr>
          <w:noProof/>
        </w:rPr>
        <w:tab/>
        <w:t>EVALUATIE, RAADPLEGING VAN BELANGHEBBENDEN EN EFFECTBEOORDELING</w:t>
      </w:r>
    </w:p>
    <w:p>
      <w:pPr>
        <w:pStyle w:val="ManualHeading2"/>
        <w:rPr>
          <w:noProof/>
        </w:rPr>
      </w:pPr>
      <w:r>
        <w:rPr>
          <w:noProof/>
        </w:rPr>
        <w:t>•</w:t>
      </w:r>
      <w:r>
        <w:rPr>
          <w:noProof/>
        </w:rPr>
        <w:tab/>
        <w:t>Evaluatie van bestaande wetgeving en controle van de resultaatgerichtheid ervan</w:t>
      </w:r>
    </w:p>
    <w:p>
      <w:pPr>
        <w:rPr>
          <w:noProof/>
        </w:rPr>
      </w:pPr>
      <w:r>
        <w:rPr>
          <w:noProof/>
        </w:rPr>
        <w:t>Over het EU-vrijwilligersinitiatief voor humanitaire hulp is een tussentijdse evaluatie</w:t>
      </w:r>
      <w:r>
        <w:rPr>
          <w:rStyle w:val="FootnoteReference"/>
          <w:rFonts w:eastAsiaTheme="majorEastAsia"/>
          <w:noProof/>
        </w:rPr>
        <w:footnoteReference w:id="8"/>
      </w:r>
      <w:r>
        <w:rPr>
          <w:noProof/>
        </w:rPr>
        <w:t xml:space="preserve"> uitgevoerd met betrekking tot de uitvoering ervan van medio 2014 tot medio 2017. De evaluatie verschafte nuttige analysen van en inzicht in de uitvoering van het initiatief, inclusief de tekortkomingen en de gebieden die voor verbetering vatbaar waren. Met name de lage instroom van vrijwilligers verdient aandacht, want de oorspronkelijke doelstelling op dat gebied zal mogelijk niet worden gehaald. Het externe evaluatieverslag</w:t>
      </w:r>
      <w:r>
        <w:rPr>
          <w:rStyle w:val="FootnoteReference"/>
          <w:rFonts w:eastAsiaTheme="majorEastAsia"/>
          <w:noProof/>
        </w:rPr>
        <w:footnoteReference w:id="9"/>
      </w:r>
      <w:r>
        <w:rPr>
          <w:noProof/>
        </w:rPr>
        <w:t xml:space="preserve"> bevat verscheidene interessante aanbevelingen. Zo werd in het verslag het gebruik van een enkele merknaam en van communicatieactiviteiten aanbevolen, wat de zichtbaarheid van activiteiten ter ondersteuning van humanitaire operaties zou vergroten. Een andere aanbeveling vermeldde de mogelijkheid om van een systeem van aanmelding op basis van vacatures (zoals gebruikt in het EU-vrijwilligersinitiatief voor humanitaire hulp) over te stappen op aanwerving op roosterbasis (zoals gebruikt in het kader van het Europees Solidariteitskorps). Tot slot wees de evaluatie ook op het belang van verdere vereenvoudiging van de procedures, hetgeen zou worden bereikt wanneer het proces op de bestaande processen in het Europees Solidariteitskorps zou worden afgestemd.</w:t>
      </w:r>
    </w:p>
    <w:p>
      <w:pPr>
        <w:rPr>
          <w:noProof/>
        </w:rPr>
      </w:pPr>
      <w:r>
        <w:rPr>
          <w:noProof/>
        </w:rPr>
        <w:t>Daarnaast biedt de tussentijdse evaluatie van Erasmus+</w:t>
      </w:r>
      <w:r>
        <w:rPr>
          <w:rStyle w:val="FootnoteReference"/>
          <w:rFonts w:eastAsiaTheme="majorEastAsia"/>
          <w:noProof/>
        </w:rPr>
        <w:footnoteReference w:id="10"/>
      </w:r>
      <w:r>
        <w:rPr>
          <w:noProof/>
        </w:rPr>
        <w:t xml:space="preserve"> ook waardevolle inzichten omdat het Europees Solidariteitskorps sterk gebaseerd is op het eerdere Europese vrijwilligerswerk, dat in het kader van Erasmus+ werd uitgevoerd. In het overzicht van de belangrijkste resultaten wordt gewezen op de doeltreffendheid van Erasmus+ bij het ontwikkelen van vaardigheden en competenties; de onmiskenbare Europese toegevoegde waarde van het programma; de hoge mate van samenhang, met name dankzij de samenvoeging van programma's en de gemeenschappelijke merknaam; en de efficiëntie en eenvoud, waarbij speciaal werd gewezen op de kosteneffectiviteit van de mobiliteitsacties en de beperkte beheerkosten (minder dan de helft van vergelijkbare nationale regelingen).</w:t>
      </w:r>
    </w:p>
    <w:p>
      <w:pPr>
        <w:rPr>
          <w:noProof/>
        </w:rPr>
      </w:pPr>
      <w:r>
        <w:rPr>
          <w:noProof/>
        </w:rPr>
        <w:t>Deze resultaten versterken het idee dat een uitbreiding van het toepassingsgebied van het Solidariteitskorps tot activiteiten die momenteel door het EU-vrijwilligersinitiatief voor humanitaire hulp worden uitgevoerd, zou leiden tot meer efficiëntie, een sterker merk met een betere positionering en een groter aanbod aan mogelijkheden voor jongeren.</w:t>
      </w:r>
    </w:p>
    <w:p>
      <w:pPr>
        <w:pStyle w:val="ManualHeading2"/>
        <w:rPr>
          <w:noProof/>
        </w:rPr>
      </w:pPr>
      <w:r>
        <w:rPr>
          <w:noProof/>
        </w:rPr>
        <w:t>•</w:t>
      </w:r>
      <w:r>
        <w:rPr>
          <w:noProof/>
        </w:rPr>
        <w:tab/>
        <w:t>Raadpleging van belanghebbenden</w:t>
      </w:r>
    </w:p>
    <w:p>
      <w:pPr>
        <w:rPr>
          <w:noProof/>
        </w:rPr>
      </w:pPr>
      <w:r>
        <w:rPr>
          <w:noProof/>
        </w:rPr>
        <w:t>Een recente openbare raadpleging over "EU-fondsen op het gebied van waarden en mobiliteit"</w:t>
      </w:r>
      <w:r>
        <w:rPr>
          <w:rStyle w:val="FootnoteReference"/>
          <w:rFonts w:eastAsiaTheme="majorEastAsia"/>
          <w:noProof/>
        </w:rPr>
        <w:footnoteReference w:id="11"/>
      </w:r>
      <w:r>
        <w:rPr>
          <w:noProof/>
        </w:rPr>
        <w:t xml:space="preserve"> heeft bepaalde informatie en analysen opgeleverd die zowel voor het EU-vrijwilligersinitiatief voor humanitaire hulp als voor het huidige Europees Solidariteitskorps relevant zijn. De respons op de raadpleging was tamelijk hoog, met 1 839 individuele respondenten, waarvan 1 199 een organisatie vertegenwoordigen. Hoewel er nog geen uitvoerige analyse van de resultaten beschikbaar is, kan al wel een aantal voorlopige opmerkingen worden gemaakt. Zo erkent meer dan 75 % van de respondenten het belang van het bevorderen van solidariteit, sociale inclusie en de ontwikkeling van vaardigheden door mobiliteit. Tegelijkertijd vond minder dan 40 % van de respondenten dat die kwesties volledig dan wel op de juiste wijze worden aangepakt. Toch zien de respondenten duidelijk de toegevoegde waarde van EU-optreden op dit gebied: meer dan 75 % is van oordeel dat de huidige programma's waarde toevoegen in vergelijking met wat de lidstaten zouden kunnen bereiken op nationaal, regionaal en/of lokaal niveau.</w:t>
      </w:r>
    </w:p>
    <w:p>
      <w:pPr>
        <w:rPr>
          <w:noProof/>
        </w:rPr>
      </w:pPr>
      <w:r>
        <w:rPr>
          <w:noProof/>
        </w:rPr>
        <w:t>135 respondenten gaven een reactie met betrekking tot het EU-vrijwilligersinitiatief voor humanitaire hulp en/of het Europees Solidariteitskorps. Daarvan was 82 % van mening dat het gebrek aan financiële middelen in verhouding tot de vraag één van de voornaamste obstakels is die verhinderen, ten minste tot op zekere hoogte, dat de huidige programma's hun doelstellingen verwezenlijken. In verband met de vereenvoudiging die de integratie van die programma's moet opleveren, is het daarnaast vermeldenswaard dat meer dan 68 % van de respondenten verwacht dat het vereenvoudigen van formulieren en van de selectieprocedures voor subsidies zou helpen om de resultaten van de programma's te verbeteren.</w:t>
      </w:r>
    </w:p>
    <w:p>
      <w:pPr>
        <w:pStyle w:val="ManualHeading2"/>
        <w:rPr>
          <w:noProof/>
        </w:rPr>
      </w:pPr>
      <w:r>
        <w:rPr>
          <w:noProof/>
        </w:rPr>
        <w:t>•</w:t>
      </w:r>
      <w:r>
        <w:rPr>
          <w:noProof/>
        </w:rPr>
        <w:tab/>
        <w:t>Effectbeoordeling</w:t>
      </w:r>
    </w:p>
    <w:p>
      <w:pPr>
        <w:rPr>
          <w:noProof/>
        </w:rPr>
      </w:pPr>
      <w:r>
        <w:rPr>
          <w:noProof/>
        </w:rPr>
        <w:t>Er is geen effectbeoordeling uitgevoerd, aangezien dit voorstel inhoudelijk overeenkomt met het bestaande Europese Solidariteitskorps. Omdat het voorstel echter met aanzienlijke uitgaven gepaard zal gaan, gaat het vergezeld van een evaluatie vooraf om te voldoen aan de vereisten van het Financieel Reglement</w:t>
      </w:r>
      <w:r>
        <w:rPr>
          <w:rStyle w:val="FootnoteReference"/>
          <w:noProof/>
        </w:rPr>
        <w:footnoteReference w:id="12"/>
      </w:r>
      <w:r>
        <w:rPr>
          <w:noProof/>
        </w:rPr>
        <w:t>.</w:t>
      </w:r>
    </w:p>
    <w:p>
      <w:pPr>
        <w:rPr>
          <w:noProof/>
        </w:rPr>
      </w:pPr>
      <w:r>
        <w:rPr>
          <w:noProof/>
        </w:rPr>
        <w:t>In de evaluatie werd ingegaan op de uitdagingen die kunnen ontstaan als gevolg van de uitbreiding van de omvang van de activiteiten en de geografische reikwijdte, en ook aan de uitdagingen die al zijn vastgesteld bij de uitvoering van het huidige Europees Solidariteitskorps en het EU-vrijwilligersinitiatief voor humanitaire hulp. Uit de evaluatie kwamen de volgende belangrijke uitdagingen naar voren die de EU in het kader van een uitgebreid Europees Solidariteitskorps aan zal moeten pakken.</w:t>
      </w:r>
    </w:p>
    <w:p>
      <w:pPr>
        <w:pStyle w:val="ListBullet"/>
        <w:numPr>
          <w:ilvl w:val="0"/>
          <w:numId w:val="49"/>
        </w:numPr>
        <w:rPr>
          <w:rFonts w:eastAsia="Calibri"/>
          <w:noProof/>
        </w:rPr>
      </w:pPr>
      <w:r>
        <w:rPr>
          <w:noProof/>
        </w:rPr>
        <w:t>Communicatie: in de eerste fase van het Europees Solidariteitskorps was er onder potentiële deelnemers sprake van enige verwarring over de rol van het korps. Dit geldt vooral voor de onderliggende programma's die deel uitmaken van fase 1 en de verschillen met het EU-vrijwilligersinitiatief voor humanitaire hulp;</w:t>
      </w:r>
    </w:p>
    <w:p>
      <w:pPr>
        <w:pStyle w:val="ListBullet"/>
        <w:numPr>
          <w:ilvl w:val="0"/>
          <w:numId w:val="49"/>
        </w:numPr>
        <w:rPr>
          <w:rFonts w:eastAsia="Calibri"/>
          <w:noProof/>
        </w:rPr>
      </w:pPr>
      <w:r>
        <w:rPr>
          <w:noProof/>
        </w:rPr>
        <w:t>Samenhang: de twee bekendste regelingen voor vrijwilligerswerk in de EU zijn gescheiden;</w:t>
      </w:r>
    </w:p>
    <w:p>
      <w:pPr>
        <w:pStyle w:val="ListBullet"/>
        <w:numPr>
          <w:ilvl w:val="0"/>
          <w:numId w:val="49"/>
        </w:numPr>
        <w:rPr>
          <w:rFonts w:eastAsia="Calibri"/>
          <w:noProof/>
        </w:rPr>
      </w:pPr>
      <w:r>
        <w:rPr>
          <w:noProof/>
        </w:rPr>
        <w:t>Trage toevoeging van beroepsmatige activiteiten: er worden minder stages en banen aangeboden dan verwacht;</w:t>
      </w:r>
    </w:p>
    <w:p>
      <w:pPr>
        <w:pStyle w:val="ListBullet"/>
        <w:numPr>
          <w:ilvl w:val="0"/>
          <w:numId w:val="49"/>
        </w:numPr>
        <w:rPr>
          <w:rFonts w:eastAsia="Calibri"/>
          <w:noProof/>
        </w:rPr>
      </w:pPr>
      <w:r>
        <w:rPr>
          <w:noProof/>
        </w:rPr>
        <w:t>Samenwerking met nationale regelingen: er moet meer worden samengewerkt met nationale kaders, initiatieven en regelingen, zoals burgerdienstprogramma's of particuliere initiatieven, om te voorkomen dat programma's onderling overlappen;</w:t>
      </w:r>
    </w:p>
    <w:p>
      <w:pPr>
        <w:pStyle w:val="ListBullet"/>
        <w:numPr>
          <w:ilvl w:val="0"/>
          <w:numId w:val="49"/>
        </w:numPr>
        <w:rPr>
          <w:rFonts w:eastAsia="Calibri"/>
          <w:noProof/>
        </w:rPr>
      </w:pPr>
      <w:r>
        <w:rPr>
          <w:noProof/>
        </w:rPr>
        <w:t>De intergenerationele dimensie: er is geen contact tussen vroegere, huidige en toekomstige deelnemers. Dat vertaalt zich in het verloren gaan van deskundigheid, omdat zij niet van generatie op generatie wordt overgedragen;</w:t>
      </w:r>
    </w:p>
    <w:p>
      <w:pPr>
        <w:pStyle w:val="ListBullet"/>
        <w:numPr>
          <w:ilvl w:val="0"/>
          <w:numId w:val="49"/>
        </w:numPr>
        <w:rPr>
          <w:rFonts w:eastAsia="Calibri"/>
          <w:noProof/>
        </w:rPr>
      </w:pPr>
      <w:r>
        <w:rPr>
          <w:noProof/>
        </w:rPr>
        <w:t>Gemeenschapsvorming: de via het Europees Solidariteitskorps verworven vaardigheden zouden niet alleen ten goede moeten komen aan de reeds afgeronde projecten, maar juist door de jongeren onderling en buiten hun eigen kring worden gedeeld. Het korps loopt die kennis en de uitwisseling van ervaringen mis;</w:t>
      </w:r>
    </w:p>
    <w:p>
      <w:pPr>
        <w:pStyle w:val="ListBullet"/>
        <w:numPr>
          <w:ilvl w:val="0"/>
          <w:numId w:val="49"/>
        </w:numPr>
        <w:rPr>
          <w:rFonts w:eastAsia="Calibri"/>
          <w:noProof/>
        </w:rPr>
      </w:pPr>
      <w:r>
        <w:rPr>
          <w:noProof/>
        </w:rPr>
        <w:t>Opzetten van een kennisbeheersysteem: van de gegevensverzameling tot het identificeren en verspreiden van beste praktijken voor projectbeheer zal het programma deze kwestie beter moeten aanpakken om de verslaglegging van de resultaten te verbeteren;</w:t>
      </w:r>
    </w:p>
    <w:p>
      <w:pPr>
        <w:pStyle w:val="ListBullet"/>
        <w:numPr>
          <w:ilvl w:val="0"/>
          <w:numId w:val="49"/>
        </w:numPr>
        <w:rPr>
          <w:rFonts w:eastAsia="Calibri"/>
          <w:noProof/>
        </w:rPr>
      </w:pPr>
      <w:r>
        <w:rPr>
          <w:noProof/>
        </w:rPr>
        <w:t>Vereenvoudiging van de processen en procedures van het programma: met een betere toegang tot elektronische formulieren en vereenvoudigde formulieren zouden organisaties met meer aanbiedingen komen. Uitdagingen kunnen voortvloeien uit de complexiteit van een verordening of een reeks rechtshandelingen die niet flexibel genoeg zijn om zich aan de veranderende behoeften van het programma aan te passen;</w:t>
      </w:r>
    </w:p>
    <w:p>
      <w:pPr>
        <w:pStyle w:val="ListBullet"/>
        <w:numPr>
          <w:ilvl w:val="0"/>
          <w:numId w:val="49"/>
        </w:numPr>
        <w:rPr>
          <w:rFonts w:eastAsia="Calibri"/>
          <w:noProof/>
        </w:rPr>
      </w:pPr>
      <w:r>
        <w:rPr>
          <w:noProof/>
        </w:rPr>
        <w:t>Inzet van vrijwilligers bij humanitaire hulpactiviteiten: een van de grootste uitdagingen is de aanzienlijke vertraging tussen het moment waarop de kandidaten zich inschrijven en het moment waarop zij worden ingezet.</w:t>
      </w:r>
    </w:p>
    <w:p>
      <w:pPr>
        <w:rPr>
          <w:noProof/>
        </w:rPr>
      </w:pPr>
      <w:r>
        <w:rPr>
          <w:noProof/>
        </w:rPr>
        <w:t>In de bij dit voorstel gevoegde evaluatie worden al deze uitdagingen verder toegelicht. In deze verordening wordt op deze uitdagingen ingegaan.</w:t>
      </w:r>
    </w:p>
    <w:p>
      <w:pPr>
        <w:pStyle w:val="ManualHeading2"/>
        <w:rPr>
          <w:noProof/>
        </w:rPr>
      </w:pPr>
      <w:r>
        <w:rPr>
          <w:noProof/>
        </w:rPr>
        <w:t>•</w:t>
      </w:r>
      <w:r>
        <w:rPr>
          <w:noProof/>
        </w:rPr>
        <w:tab/>
        <w:t>Vereenvoudiging</w:t>
      </w:r>
    </w:p>
    <w:p>
      <w:pPr>
        <w:rPr>
          <w:noProof/>
        </w:rPr>
      </w:pPr>
      <w:r>
        <w:rPr>
          <w:noProof/>
        </w:rPr>
        <w:t>Dit voorstel introduceert meerdere vereenvoudigingen, die in drie brede categorieën vallen.</w:t>
      </w:r>
    </w:p>
    <w:p>
      <w:pPr>
        <w:pStyle w:val="ListBullet"/>
        <w:numPr>
          <w:ilvl w:val="0"/>
          <w:numId w:val="49"/>
        </w:numPr>
        <w:rPr>
          <w:rFonts w:eastAsia="Calibri"/>
          <w:noProof/>
        </w:rPr>
      </w:pPr>
      <w:r>
        <w:rPr>
          <w:noProof/>
        </w:rPr>
        <w:t>Voor individuele personen: uitbreiding van het toepassingsgebied zou betekenen dat alle vormen van vrijwilligerswerk en andere solidariteitsgerelateerde activiteiten onder hetzelfde programma vallen. Dit betekent een aanzienlijke vereenvoudiging van de toegang tot mogelijkheden voor jongeren die aan een solidariteitsactiviteit willen deelnemen;</w:t>
      </w:r>
    </w:p>
    <w:p>
      <w:pPr>
        <w:pStyle w:val="ListBullet"/>
        <w:numPr>
          <w:ilvl w:val="0"/>
          <w:numId w:val="49"/>
        </w:numPr>
        <w:rPr>
          <w:rFonts w:eastAsia="Calibri"/>
          <w:noProof/>
        </w:rPr>
      </w:pPr>
      <w:r>
        <w:rPr>
          <w:noProof/>
        </w:rPr>
        <w:t>Voor organisaties: als alle regels van het programma op elkaar zijn afgestemd, van de aanvraag voor accreditatie tot de verslaglegging aan het eind van het project, wordt het werk van de deelnemende organisaties in alle stadia van de projectcyclus duidelijk vereenvoudigd. Ook zou het aantal oproepen tot het indienen van voorstellen omlaag gaan, wat de werklast van de organisaties zou verminderen;</w:t>
      </w:r>
    </w:p>
    <w:p>
      <w:pPr>
        <w:pStyle w:val="ListBullet"/>
        <w:numPr>
          <w:ilvl w:val="0"/>
          <w:numId w:val="49"/>
        </w:numPr>
        <w:rPr>
          <w:rFonts w:eastAsia="Calibri"/>
          <w:noProof/>
        </w:rPr>
      </w:pPr>
      <w:r>
        <w:rPr>
          <w:noProof/>
        </w:rPr>
        <w:t>Op institutioneel niveau: als activiteiten die momenteel worden uitgevoerd door de EU-vrijwilligers voor humanitaire hulp worden geïntegreerd in het Europees Solidariteitskorps, zal dit bijdragen tot een vereenvoudiging van de werkzaamheden die nodig zijn voor elk onderdeel van het programma. Zo zal er voor de verzekering nog maar één aanbesteding nodig zijn in plaats van twee. Een ander voorbeeld is de evaluatie van voorstellen die zowel op nationaal als op centraal niveau worden ingediend, wat zou worden gecombineerd, terwijl tegelijk tegemoet wordt gekomen aan de specifieke kenmerken van elke activiteit.</w:t>
      </w:r>
    </w:p>
    <w:p>
      <w:pPr>
        <w:rPr>
          <w:noProof/>
        </w:rPr>
      </w:pPr>
      <w:r>
        <w:rPr>
          <w:noProof/>
        </w:rPr>
        <w:t>Daarnaast worden verdere vereenvoudigingen van bestaande procedures overwogen. Een goed voorbeeld zijn de elektronische formulieren die organisaties moeten invullen wanneer zij financiering of het kwaliteitskeurmerk willen aanvragen. Deze formulieren worden voortdurend vereenvoudigd, zodat zij de organisaties steeds minder werk kosten maar toch de hoge kwaliteit van de aangeboden activiteiten blijven waarborgen.</w:t>
      </w:r>
    </w:p>
    <w:p>
      <w:pPr>
        <w:pStyle w:val="ManualHeading2"/>
        <w:rPr>
          <w:noProof/>
        </w:rPr>
      </w:pPr>
      <w:r>
        <w:rPr>
          <w:noProof/>
        </w:rPr>
        <w:t>•</w:t>
      </w:r>
      <w:r>
        <w:rPr>
          <w:noProof/>
        </w:rPr>
        <w:tab/>
        <w:t>Grondrechten</w:t>
      </w:r>
    </w:p>
    <w:p>
      <w:pPr>
        <w:rPr>
          <w:noProof/>
        </w:rPr>
      </w:pPr>
      <w:r>
        <w:rPr>
          <w:noProof/>
        </w:rPr>
        <w:t>Dit voorstel is volledig in overeenstemming met het Handvest van de grondrechten van de EU</w:t>
      </w:r>
      <w:r>
        <w:rPr>
          <w:rStyle w:val="FootnoteReference"/>
          <w:rFonts w:eastAsiaTheme="majorEastAsia"/>
          <w:noProof/>
        </w:rPr>
        <w:footnoteReference w:id="13"/>
      </w:r>
      <w:r>
        <w:rPr>
          <w:noProof/>
        </w:rPr>
        <w:t>, waarin is erkend dat solidariteit een universele waarde is waarin de EU haar grondslag heeft. In het bijzonder wordt in dit voorstel volledig rekening gehouden met de rechten en verbodsbepalingen in de volgende artikelen van het Handvest:</w:t>
      </w:r>
    </w:p>
    <w:p>
      <w:pPr>
        <w:pStyle w:val="ListBullet"/>
        <w:numPr>
          <w:ilvl w:val="0"/>
          <w:numId w:val="51"/>
        </w:numPr>
        <w:pBdr>
          <w:top w:val="nil"/>
          <w:left w:val="nil"/>
          <w:bottom w:val="nil"/>
          <w:right w:val="nil"/>
          <w:between w:val="nil"/>
          <w:bar w:val="nil"/>
        </w:pBdr>
        <w:tabs>
          <w:tab w:val="left" w:pos="360"/>
        </w:tabs>
        <w:rPr>
          <w:rFonts w:eastAsia="Calibri"/>
          <w:noProof/>
        </w:rPr>
      </w:pPr>
      <w:r>
        <w:rPr>
          <w:noProof/>
        </w:rPr>
        <w:t>5 (verbod van slavernij en dwangarbeid);</w:t>
      </w:r>
    </w:p>
    <w:p>
      <w:pPr>
        <w:pStyle w:val="ListBullet"/>
        <w:numPr>
          <w:ilvl w:val="0"/>
          <w:numId w:val="51"/>
        </w:numPr>
        <w:pBdr>
          <w:top w:val="nil"/>
          <w:left w:val="nil"/>
          <w:bottom w:val="nil"/>
          <w:right w:val="nil"/>
          <w:between w:val="nil"/>
          <w:bar w:val="nil"/>
        </w:pBdr>
        <w:tabs>
          <w:tab w:val="left" w:pos="360"/>
        </w:tabs>
        <w:rPr>
          <w:rFonts w:eastAsia="Calibri"/>
          <w:noProof/>
        </w:rPr>
      </w:pPr>
      <w:r>
        <w:rPr>
          <w:noProof/>
        </w:rPr>
        <w:t>14 (recht op onderwijs);</w:t>
      </w:r>
    </w:p>
    <w:p>
      <w:pPr>
        <w:pStyle w:val="ListBullet"/>
        <w:numPr>
          <w:ilvl w:val="0"/>
          <w:numId w:val="51"/>
        </w:numPr>
        <w:pBdr>
          <w:top w:val="nil"/>
          <w:left w:val="nil"/>
          <w:bottom w:val="nil"/>
          <w:right w:val="nil"/>
          <w:between w:val="nil"/>
          <w:bar w:val="nil"/>
        </w:pBdr>
        <w:tabs>
          <w:tab w:val="left" w:pos="360"/>
        </w:tabs>
        <w:rPr>
          <w:rFonts w:eastAsia="Calibri"/>
          <w:noProof/>
        </w:rPr>
      </w:pPr>
      <w:r>
        <w:rPr>
          <w:noProof/>
        </w:rPr>
        <w:t>15 (vrijheid van beroep en het recht te werken);</w:t>
      </w:r>
    </w:p>
    <w:p>
      <w:pPr>
        <w:pStyle w:val="ListBullet"/>
        <w:numPr>
          <w:ilvl w:val="0"/>
          <w:numId w:val="51"/>
        </w:numPr>
        <w:pBdr>
          <w:top w:val="nil"/>
          <w:left w:val="nil"/>
          <w:bottom w:val="nil"/>
          <w:right w:val="nil"/>
          <w:between w:val="nil"/>
          <w:bar w:val="nil"/>
        </w:pBdr>
        <w:tabs>
          <w:tab w:val="left" w:pos="360"/>
        </w:tabs>
        <w:rPr>
          <w:rFonts w:eastAsia="Calibri"/>
          <w:noProof/>
        </w:rPr>
      </w:pPr>
      <w:r>
        <w:rPr>
          <w:noProof/>
        </w:rPr>
        <w:t>21 (non-discriminatie);</w:t>
      </w:r>
    </w:p>
    <w:p>
      <w:pPr>
        <w:pStyle w:val="ListBullet"/>
        <w:numPr>
          <w:ilvl w:val="0"/>
          <w:numId w:val="51"/>
        </w:numPr>
        <w:pBdr>
          <w:top w:val="nil"/>
          <w:left w:val="nil"/>
          <w:bottom w:val="nil"/>
          <w:right w:val="nil"/>
          <w:between w:val="nil"/>
          <w:bar w:val="nil"/>
        </w:pBdr>
        <w:tabs>
          <w:tab w:val="left" w:pos="360"/>
        </w:tabs>
        <w:rPr>
          <w:rFonts w:eastAsia="Calibri"/>
          <w:noProof/>
        </w:rPr>
      </w:pPr>
      <w:r>
        <w:rPr>
          <w:noProof/>
        </w:rPr>
        <w:t>23 (gelijkheid van vrouwen en mannen);</w:t>
      </w:r>
    </w:p>
    <w:p>
      <w:pPr>
        <w:pStyle w:val="ListBullet"/>
        <w:numPr>
          <w:ilvl w:val="0"/>
          <w:numId w:val="51"/>
        </w:numPr>
        <w:pBdr>
          <w:top w:val="nil"/>
          <w:left w:val="nil"/>
          <w:bottom w:val="nil"/>
          <w:right w:val="nil"/>
          <w:between w:val="nil"/>
          <w:bar w:val="nil"/>
        </w:pBdr>
        <w:tabs>
          <w:tab w:val="left" w:pos="360"/>
        </w:tabs>
        <w:rPr>
          <w:rFonts w:eastAsia="Calibri"/>
          <w:noProof/>
        </w:rPr>
      </w:pPr>
      <w:r>
        <w:rPr>
          <w:noProof/>
        </w:rPr>
        <w:t>24 (rechten van het kind);</w:t>
      </w:r>
    </w:p>
    <w:p>
      <w:pPr>
        <w:pStyle w:val="ListBullet"/>
        <w:numPr>
          <w:ilvl w:val="0"/>
          <w:numId w:val="51"/>
        </w:numPr>
        <w:pBdr>
          <w:top w:val="nil"/>
          <w:left w:val="nil"/>
          <w:bottom w:val="nil"/>
          <w:right w:val="nil"/>
          <w:between w:val="nil"/>
          <w:bar w:val="nil"/>
        </w:pBdr>
        <w:tabs>
          <w:tab w:val="left" w:pos="360"/>
        </w:tabs>
        <w:rPr>
          <w:rFonts w:eastAsia="Calibri"/>
          <w:noProof/>
        </w:rPr>
      </w:pPr>
      <w:r>
        <w:rPr>
          <w:noProof/>
        </w:rPr>
        <w:t>26 (integratie van personen met een handicap);</w:t>
      </w:r>
    </w:p>
    <w:p>
      <w:pPr>
        <w:pStyle w:val="ListBullet"/>
        <w:numPr>
          <w:ilvl w:val="0"/>
          <w:numId w:val="51"/>
        </w:numPr>
        <w:pBdr>
          <w:top w:val="nil"/>
          <w:left w:val="nil"/>
          <w:bottom w:val="nil"/>
          <w:right w:val="nil"/>
          <w:between w:val="nil"/>
          <w:bar w:val="nil"/>
        </w:pBdr>
        <w:tabs>
          <w:tab w:val="left" w:pos="360"/>
        </w:tabs>
        <w:rPr>
          <w:rFonts w:eastAsia="Calibri"/>
          <w:noProof/>
        </w:rPr>
      </w:pPr>
      <w:r>
        <w:rPr>
          <w:noProof/>
        </w:rPr>
        <w:t>31 (rechtvaardige en billijke arbeidsomstandigheden en -voorwaarden); en</w:t>
      </w:r>
    </w:p>
    <w:p>
      <w:pPr>
        <w:pStyle w:val="ListBullet"/>
        <w:numPr>
          <w:ilvl w:val="0"/>
          <w:numId w:val="51"/>
        </w:numPr>
        <w:pBdr>
          <w:top w:val="nil"/>
          <w:left w:val="nil"/>
          <w:bottom w:val="nil"/>
          <w:right w:val="nil"/>
          <w:between w:val="nil"/>
          <w:bar w:val="nil"/>
        </w:pBdr>
        <w:tabs>
          <w:tab w:val="left" w:pos="360"/>
        </w:tabs>
        <w:rPr>
          <w:rFonts w:eastAsia="Calibri"/>
          <w:noProof/>
        </w:rPr>
      </w:pPr>
      <w:r>
        <w:rPr>
          <w:noProof/>
        </w:rPr>
        <w:t>32 (verbod van kinderarbeid en de bescherming van jongeren op het werk).</w:t>
      </w:r>
    </w:p>
    <w:p>
      <w:pPr>
        <w:rPr>
          <w:noProof/>
        </w:rPr>
      </w:pPr>
      <w:r>
        <w:rPr>
          <w:noProof/>
        </w:rPr>
        <w:t>Als het toepassingsgebied wordt uitgebreid zodat ook steun aan humanitaire operaties in derde landen eronder valt, zal dit bovendien helpen om op niet-discriminerende basis in die landen activiteiten uit te voeren op het gebied van bijstand, hulpverlening en bescherming. Verder zouden sommige activiteiten zich kunnen richten op de ondersteuning van kwetsbare groepen in derde landen, op organisaties uit het maatschappelijk middenveld die zich bezighouden met kwesties in verband met migratie, of op het verstrekken van levensmiddelen en non-foodartikelen in de nasleep van een natuurramp. Wat hun doel ook is, activiteiten ter ondersteuning van humanitaire hulp zouden in elk geval de waarden van de EU verder uitdragen, inclusief de bescherming van de fundamentele rechten van de gemeenschappen waar de activiteiten plaatsvinden.</w:t>
      </w:r>
    </w:p>
    <w:p>
      <w:pPr>
        <w:pStyle w:val="ManualHeading1"/>
        <w:spacing w:before="120"/>
        <w:rPr>
          <w:noProof/>
        </w:rPr>
      </w:pPr>
      <w:r>
        <w:rPr>
          <w:noProof/>
        </w:rPr>
        <w:t>4.</w:t>
      </w:r>
      <w:r>
        <w:rPr>
          <w:noProof/>
        </w:rPr>
        <w:tab/>
        <w:t>GEVOLGEN VOOR DE BEGROTING</w:t>
      </w:r>
    </w:p>
    <w:p>
      <w:pPr>
        <w:rPr>
          <w:noProof/>
        </w:rPr>
      </w:pPr>
      <w:r>
        <w:rPr>
          <w:noProof/>
        </w:rPr>
        <w:t>Overeenkomstig het voorstel van de Commissie voor het meerjarig financieel kader voor de periode 2021</w:t>
      </w:r>
      <w:r>
        <w:rPr>
          <w:noProof/>
        </w:rPr>
        <w:noBreakHyphen/>
        <w:t>2027 bedraagt de financiële toewijzing voor de uitvoering van het programma voor die periode 1 260 000 000 EUR in lopende prijzen</w:t>
      </w:r>
      <w:r>
        <w:rPr>
          <w:rStyle w:val="FootnoteReference"/>
          <w:rFonts w:eastAsiaTheme="majorEastAsia"/>
          <w:noProof/>
        </w:rPr>
        <w:footnoteReference w:id="14"/>
      </w:r>
      <w:r>
        <w:rPr>
          <w:noProof/>
        </w:rPr>
        <w:t>.</w:t>
      </w:r>
    </w:p>
    <w:p>
      <w:pPr>
        <w:rPr>
          <w:noProof/>
        </w:rPr>
      </w:pPr>
      <w:r>
        <w:rPr>
          <w:noProof/>
        </w:rPr>
        <w:t>Nadere gegevens over de gevolgen voor de begroting en de benodigde personele en administratieve middelen worden verstrekt in het financieel memorandum dat aan dit voorstel is gehecht.</w:t>
      </w:r>
    </w:p>
    <w:p>
      <w:pPr>
        <w:pStyle w:val="ManualHeading1"/>
        <w:spacing w:before="120"/>
        <w:rPr>
          <w:noProof/>
        </w:rPr>
      </w:pPr>
      <w:r>
        <w:rPr>
          <w:noProof/>
        </w:rPr>
        <w:t>5.</w:t>
      </w:r>
      <w:r>
        <w:rPr>
          <w:noProof/>
        </w:rPr>
        <w:tab/>
        <w:t>OVERIGE ELEMENTEN</w:t>
      </w:r>
    </w:p>
    <w:p>
      <w:pPr>
        <w:pStyle w:val="ManualHeading2"/>
        <w:rPr>
          <w:noProof/>
        </w:rPr>
      </w:pPr>
      <w:r>
        <w:rPr>
          <w:noProof/>
        </w:rPr>
        <w:t>•</w:t>
      </w:r>
      <w:r>
        <w:rPr>
          <w:noProof/>
        </w:rPr>
        <w:tab/>
        <w:t>Uitvoeringsplanning en regelingen betreffende controle, evaluatie en rapportage</w:t>
      </w:r>
    </w:p>
    <w:p>
      <w:pPr>
        <w:rPr>
          <w:noProof/>
        </w:rPr>
      </w:pPr>
      <w:r>
        <w:rPr>
          <w:noProof/>
        </w:rPr>
        <w:t>Het Europees Solidariteitskorps zal gebruikmaken van de bestaande beheers- en uitvoeringsregelingen in het kader van Erasmus+. Dit is in overeenstemming met de analyse in de evaluatie vooraf bij dit voorstel. Zo wordt ook een efficiënte en doeltreffende uitvoering gewaarborgd, wordt optimaal gebruikgemaakt van synergieën en wordt de administratieve last zo klein mogelijk gehouden.</w:t>
      </w:r>
    </w:p>
    <w:p>
      <w:pPr>
        <w:rPr>
          <w:noProof/>
        </w:rPr>
      </w:pPr>
      <w:r>
        <w:rPr>
          <w:noProof/>
        </w:rPr>
        <w:t>De regelingen voor monitoring en evaluatie van het Europees Solidariteitskorps zullen bestaan uit permanente monitoring om de voortgang te beoordelen en een evaluatie om het beschikbare bewijs omtrent de effectiviteit van de behaalde resultaten te beoordelen.</w:t>
      </w:r>
    </w:p>
    <w:p>
      <w:pPr>
        <w:rPr>
          <w:noProof/>
        </w:rPr>
      </w:pPr>
      <w:r>
        <w:rPr>
          <w:noProof/>
        </w:rPr>
        <w:t>De regeling op het vlak van monitoring zal gebaseerd zijn op een uitgebreide analyse van de kwantitatieve outputs en de kwalitatieve resultaten van het Solidariteitskorps. De kwantitatieve outputs zullen systematisch worden verzameld via de IT-systemen die zijn opgezet om de acties van het Solidariteitskorps te beheren. De kwalitatieve resultaten zullen worden gemonitord aan de hand van periodieke onderzoeken, die zowel op personen als deelnemende organisaties gericht zullen zijn. Dankzij de rapportage- en beoordelingsregelingen door alle uitvoeringsorganen zal de uitvoering van het voorstel uitgebreid worden gemonitord.</w:t>
      </w:r>
    </w:p>
    <w:p>
      <w:pPr>
        <w:rPr>
          <w:noProof/>
        </w:rPr>
      </w:pPr>
      <w:r>
        <w:rPr>
          <w:noProof/>
        </w:rPr>
        <w:t>Daarnaast zal het programma vier jaar na de datum van de vaststelling ervan aan een onafhankelijke evaluatie worden onderworpen, waarbij de kwalitatieve resultaten van de ondersteunde acties worden beoordeeld. Hierbij zal onder meer worden gekeken naar de impact op de betrokken jongeren en organisaties en naar de toename in efficiëntie die in de loop van de eerste vier jaar zichtbaar is geworden. Bij de evaluatie moet rekening worden gehouden met het beschikbare bewijs over de doeltreffendheid en de gevolgen van de resultaten van het Solidariteitskorps. Als bronnen voor de verificaties zullen onder meer de monitoringgegevens, de informatie in de werkplannen en verslagen van de uitvoeringsorganen, de resultaten die voortkomen uit de verspreiding, empirisch onderbouwde studies, enquêtes enz. worden gebruikt.</w:t>
      </w:r>
    </w:p>
    <w:p>
      <w:pPr>
        <w:rPr>
          <w:noProof/>
        </w:rPr>
      </w:pPr>
      <w:r>
        <w:rPr>
          <w:noProof/>
        </w:rPr>
        <w:t>De evaluaties zullen worden verricht overeenkomstig de punten 22 en 23 van het Interinstitutioneel Akkoord van 13 april 2016</w:t>
      </w:r>
      <w:r>
        <w:rPr>
          <w:rStyle w:val="FootnoteReference"/>
          <w:rFonts w:eastAsiaTheme="majorEastAsia"/>
          <w:noProof/>
        </w:rPr>
        <w:footnoteReference w:id="15"/>
      </w:r>
      <w:r>
        <w:rPr>
          <w:noProof/>
        </w:rPr>
        <w:t>, waarin door de drie instellingen is bevestigd dat de evaluatie van bestaande wetgeving en bestaand beleid de basis moet vormen voor effectbeoordelingen van opties voor verdere acties. De evaluaties zullen de effecten van het programma op het terrein beoordelen op basis van de indicatoren/doelstellingen van het programma en van een gedetailleerde analyse van de mate waarin het programma kan worden geacht relevant, doeltreffend en doelmatig te zijn, voldoende toegevoegde waarde voor de EU te bieden en voldoende coherent te zijn met andere beleidsmaatregelen van de EU. Zij zullen lessen trekken teneinde eventuele lacunes/problemen of mogelijkheden voor verdere verbetering van de acties of de resultaten ervan in kaart te brengen en de exploitatie/impact ervan te helpen maximaliseren.</w:t>
      </w:r>
    </w:p>
    <w:p>
      <w:pPr>
        <w:pStyle w:val="ManualHeading2"/>
        <w:rPr>
          <w:noProof/>
        </w:rPr>
      </w:pPr>
      <w:r>
        <w:rPr>
          <w:noProof/>
        </w:rPr>
        <w:t>•</w:t>
      </w:r>
      <w:r>
        <w:rPr>
          <w:noProof/>
        </w:rPr>
        <w:tab/>
        <w:t>Artikelsgewijze toelichting</w:t>
      </w:r>
    </w:p>
    <w:p>
      <w:pPr>
        <w:rPr>
          <w:noProof/>
        </w:rPr>
      </w:pPr>
      <w:r>
        <w:rPr>
          <w:noProof/>
        </w:rPr>
        <w:t>Hoofdstuk I — "Algemene bepalingen" van de voorgestelde verordening bevat het onderwerp, de definities van bepaalde terugkerende termen en de algemene en specifieke doelstellingen van de activiteiten van het Europees Solidariteitskorps. Het Solidariteitskorps richt zich op het versterken van de inzet van jongeren en organisaties bij hoogwaardige solidariteitsacties die toegankelijk zijn voor alle jongeren. Het is een middel om bij te dragen tot meer cohesie en solidariteit in Europa en daarbuiten, gemeenschappen te ondersteunen en maatschappelijke en humanitaire uitdagingen het hoofd te bieden.</w:t>
      </w:r>
    </w:p>
    <w:p>
      <w:pPr>
        <w:rPr>
          <w:noProof/>
        </w:rPr>
      </w:pPr>
      <w:r>
        <w:rPr>
          <w:noProof/>
        </w:rPr>
        <w:t>Hoofdstuk II — "Acties van het Europees Solidariteitskorps" beschrijft de activiteiten waarmee wordt beoogd de doelstellingen van de voorgestelde verordening te bereiken. De ondersteuningsmaatregelen van de EU omvatten vrijwilligerswerk, stages en banen, projecten en netwerkactiviteiten, die opgesplitst zijn in twee onderdelen, en kwaliteits- en ondersteuningsmaatregelen, die gemeenschappelijk zijn aan beide onderdelen.</w:t>
      </w:r>
    </w:p>
    <w:p>
      <w:pPr>
        <w:rPr>
          <w:noProof/>
        </w:rPr>
      </w:pPr>
      <w:r>
        <w:rPr>
          <w:noProof/>
        </w:rPr>
        <w:t>Hoofdstuk III — "Deelname van jongeren aan solidariteitsactiviteiten om maatschappelijke uitdagingen aan te pakken" beschrijft de acties die gepland zijn in het kader van het eerste onderdeel. Dit omvat activiteiten op het gebied van vrijwilligerswerk, stages en banen, evenals solidariteitsprojecten.</w:t>
      </w:r>
    </w:p>
    <w:p>
      <w:pPr>
        <w:rPr>
          <w:noProof/>
        </w:rPr>
      </w:pPr>
      <w:r>
        <w:rPr>
          <w:noProof/>
        </w:rPr>
        <w:t>Hoofdstuk IV — "Europees vrijwilligerskorps voor humanitaire hulpverlening" beschrijft de acties die gepland zijn in het kader van het tweede onderdeel, dat uitsluitend bestaat uit vrijwilligerswerk.</w:t>
      </w:r>
    </w:p>
    <w:p>
      <w:pPr>
        <w:rPr>
          <w:noProof/>
        </w:rPr>
      </w:pPr>
      <w:r>
        <w:rPr>
          <w:noProof/>
        </w:rPr>
        <w:t>Hoofdstuk V — "Financiële bepalingen" beschrijft in detail de aan het programma toegewezen begroting.</w:t>
      </w:r>
    </w:p>
    <w:p>
      <w:pPr>
        <w:rPr>
          <w:noProof/>
        </w:rPr>
      </w:pPr>
      <w:r>
        <w:rPr>
          <w:noProof/>
        </w:rPr>
        <w:t>Hoofdstuk VI — "Deelname aan het Europees Solidariteitskorps" bevat de criteria voor deelnemende landen, personen en organisaties. De deelnemende landen zijn de EU-lidstaten, derde landen die met het programma geassocieerd zijn en derde landen zonder associatie met het programma. Jongeren van 17 tot 30 jaar kunnen zich op de portaalsite van het Europees Solidariteitskorps inschrijven, maar zij kunnen pas deelnemen als ze minimaal 18 jaar zijn. Alle publieke of private entiteiten of internationale organisaties die solidariteitsactiviteiten uitvoeren, kunnen de ingeschreven personen in de hoedanigheid van deelnemende organisatie solidariteitsactiviteiten aanbieden, op voorwaarde dat zij een kwaliteitskeurmerk hebben ontvangen.</w:t>
      </w:r>
    </w:p>
    <w:p>
      <w:pPr>
        <w:rPr>
          <w:noProof/>
        </w:rPr>
      </w:pPr>
      <w:r>
        <w:rPr>
          <w:noProof/>
        </w:rPr>
        <w:t>Hoofdstuk VII — "Programmering, monitoring en evaluatie" specificeert de eisen op deze gebieden en bevat een lijst van drie indicatoren die moeten worden gemonitord.</w:t>
      </w:r>
    </w:p>
    <w:p>
      <w:pPr>
        <w:rPr>
          <w:noProof/>
        </w:rPr>
      </w:pPr>
      <w:r>
        <w:rPr>
          <w:noProof/>
        </w:rPr>
        <w:t>Hoofdstuk VIII — "Informatie, communicatie en verspreiding" bevat de eisen op het gebied van communicatie.</w:t>
      </w:r>
    </w:p>
    <w:p>
      <w:pPr>
        <w:rPr>
          <w:noProof/>
        </w:rPr>
      </w:pPr>
      <w:r>
        <w:rPr>
          <w:noProof/>
        </w:rPr>
        <w:t xml:space="preserve">Hoofdstuk IX — "Beheers- en auditsysteem" stelt de uitvoeringsorganen van het Europees Solidariteitskorps vast. Uit beheersoogpunt is het voorgestelde uitvoeringsmechanisme een combinatie van direct en indirect beheer. De combinatie van beheersmethoden is gebaseerd op de positieve ervaring met de uitvoering van het Erasmus+-programma en bouwt voort op de bestaande structuren van dat programma. </w:t>
      </w:r>
    </w:p>
    <w:p>
      <w:pPr>
        <w:rPr>
          <w:noProof/>
        </w:rPr>
      </w:pPr>
      <w:r>
        <w:rPr>
          <w:noProof/>
        </w:rPr>
        <w:t>Hoofdstuk X — "Controlesysteem" beschrijft het noodzakelijke toezichtssysteem dat ervoor moet zorgen dat bij de uitvoering van acties die in het kader van de verordening inzake het Europees Solidariteitskorps zijn gefinancierd naar behoren rekening wordt gehouden met de bescherming van de financiële belangen van de EU.</w:t>
      </w:r>
    </w:p>
    <w:p>
      <w:pPr>
        <w:rPr>
          <w:noProof/>
        </w:rPr>
      </w:pPr>
      <w:r>
        <w:rPr>
          <w:noProof/>
        </w:rPr>
        <w:t>Hoofdstuk XI — "Complementariteit" geeft een overzicht van de eisen op het gebied van samenhang en complementariteit met andere beleidsterreinen en programma's van de Unie. Daarbij wordt ook voorzien in specifieke voorschriften voor de complementariteit tussen het programma en de Europese structuur- en investeringsfondsen.</w:t>
      </w:r>
    </w:p>
    <w:p>
      <w:pPr>
        <w:rPr>
          <w:noProof/>
        </w:rPr>
      </w:pPr>
      <w:r>
        <w:rPr>
          <w:noProof/>
        </w:rPr>
        <w:t>Hoofdstuk XII — "Overgangs- en slotbepalingen" bevat de bepalingen waarmee de Commissie bepaalde bevoegdheden worden toegekend die nodig zijn om met behulp van uitvoeringshandelingen werkprogramma's vast te kunnen stellen, en stelt de datum van inwerkingtreding van de voorgestelde verordening vast. De verordening is verbindend in al haar onderdelen en vanaf 1 januari 2021 rechtstreeks toepasselijk in elke lidstaat.</w:t>
      </w:r>
    </w:p>
    <w:p>
      <w:pPr>
        <w:rPr>
          <w:noProof/>
        </w:rPr>
      </w:pPr>
      <w:r>
        <w:rPr>
          <w:noProof/>
        </w:rPr>
        <w:br w:type="column"/>
      </w:r>
    </w:p>
    <w:p>
      <w:pPr>
        <w:pStyle w:val="Rfrenceinterinstitutionnelle"/>
        <w:rPr>
          <w:noProof/>
        </w:rPr>
      </w:pPr>
      <w:r>
        <w:rPr>
          <w:noProof/>
        </w:rPr>
        <w:t>2018/0230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tot vaststelling van het programma "Europees Solidariteitskorps" en tot intrekking van [verordening inzake het Europees Solidariteitskorps] en Verordening (EU) nr. 375/2014</w:t>
      </w:r>
    </w:p>
    <w:p>
      <w:pPr>
        <w:pStyle w:val="IntrtEEE"/>
        <w:rPr>
          <w:noProof/>
        </w:rPr>
      </w:pPr>
      <w:r>
        <w:rPr>
          <w:noProof/>
        </w:rPr>
        <w:t>(Voor de EER relevante tekst)</w:t>
      </w:r>
    </w:p>
    <w:p>
      <w:pPr>
        <w:pStyle w:val="Institutionquiagit"/>
        <w:spacing w:before="120"/>
        <w:rPr>
          <w:noProof/>
        </w:rPr>
      </w:pPr>
      <w:r>
        <w:rPr>
          <w:noProof/>
        </w:rPr>
        <w:t>HET EUROPEES PARLEMENT EN DE RAAD VAN DE EUROPESE UNIE,</w:t>
      </w:r>
    </w:p>
    <w:p>
      <w:pPr>
        <w:rPr>
          <w:noProof/>
        </w:rPr>
      </w:pPr>
      <w:r>
        <w:rPr>
          <w:noProof/>
        </w:rPr>
        <w:t>Gezien het Verdrag betreffende de werking van de Europese Unie, en met name artikel 165, lid 4, artikel 166, lid 4, en artikel 214, lid 5,</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i/>
          <w:iCs/>
          <w:noProof/>
        </w:rPr>
      </w:pPr>
      <w:r>
        <w:rPr>
          <w:noProof/>
        </w:rPr>
        <w:t>Gezien het advies van het Europees Economisch en Sociaal Comité</w:t>
      </w:r>
      <w:r>
        <w:rPr>
          <w:rStyle w:val="FootnoteReference"/>
          <w:rFonts w:eastAsiaTheme="majorEastAsia"/>
          <w:noProof/>
        </w:rPr>
        <w:footnoteReference w:id="16"/>
      </w:r>
      <w:r>
        <w:rPr>
          <w:noProof/>
        </w:rPr>
        <w:t>,</w:t>
      </w:r>
    </w:p>
    <w:p>
      <w:pPr>
        <w:rPr>
          <w:noProof/>
        </w:rPr>
      </w:pPr>
      <w:r>
        <w:rPr>
          <w:noProof/>
        </w:rPr>
        <w:t>Gezien het advies van het Comité van de Regio's</w:t>
      </w:r>
      <w:r>
        <w:rPr>
          <w:rStyle w:val="FootnoteReference"/>
          <w:rFonts w:eastAsiaTheme="majorEastAsia"/>
          <w:noProof/>
        </w:rPr>
        <w:footnoteReference w:id="17"/>
      </w:r>
      <w:r>
        <w:rPr>
          <w:noProof/>
        </w:rPr>
        <w:t>,</w:t>
      </w:r>
    </w:p>
    <w:p>
      <w:pPr>
        <w:rPr>
          <w:noProof/>
        </w:rPr>
      </w:pPr>
      <w:r>
        <w:rPr>
          <w:noProof/>
        </w:rPr>
        <w:t>Handelend volgens de gewone wetgevingsprocedure,</w:t>
      </w:r>
    </w:p>
    <w:p>
      <w:pPr>
        <w:rPr>
          <w:noProof/>
        </w:rPr>
      </w:pPr>
      <w:r>
        <w:rPr>
          <w:noProof/>
        </w:rPr>
        <w:t>Overwegende hetgeen volgt:</w:t>
      </w:r>
    </w:p>
    <w:p>
      <w:pPr>
        <w:pStyle w:val="ManualConsidrant"/>
        <w:rPr>
          <w:noProof/>
        </w:rPr>
      </w:pPr>
      <w:r>
        <w:t>(1)</w:t>
      </w:r>
      <w:r>
        <w:tab/>
      </w:r>
      <w:r>
        <w:rPr>
          <w:noProof/>
        </w:rPr>
        <w:t>De Europese Unie is gebouwd op solidariteit tussen burgers en tussen lidstaten. Deze gemeenschappelijke waarde geeft richting aan haar handelingen en zorgt voor de eenheid die nodig is om het hoofd te bieden aan de huidige en toekomstige maatschappelijke uitdagingen. Jonge Europeanen willen daarbij helpen door hun solidariteit in de praktijk te brengen.</w:t>
      </w:r>
    </w:p>
    <w:p>
      <w:pPr>
        <w:pStyle w:val="ManualConsidrant"/>
        <w:rPr>
          <w:noProof/>
        </w:rPr>
      </w:pPr>
      <w:r>
        <w:t>(2)</w:t>
      </w:r>
      <w:r>
        <w:tab/>
      </w:r>
      <w:r>
        <w:rPr>
          <w:noProof/>
        </w:rPr>
        <w:t>In de toespraak over de Staat van de Unie van 14 september 2016 werd benadrukt dat Europa moet investeren in jongeren en werd de oprichting aangekondigd van een Europees Solidariteitskorps ("het programma"), dat voor jongeren in de hele Unie mogelijkheden moet scheppen om een betekenisvolle bijdrage te leveren aan de samenleving, solidariteit te tonen en hun vaardigheden te ontwikkelen, waardoor zij niet alleen aan het werk kunnen, maar ook uiterst waardevolle persoonlijke ervaring opdoen.</w:t>
      </w:r>
    </w:p>
    <w:p>
      <w:pPr>
        <w:pStyle w:val="ManualConsidrant"/>
        <w:rPr>
          <w:noProof/>
        </w:rPr>
      </w:pPr>
      <w:r>
        <w:t>(3)</w:t>
      </w:r>
      <w:r>
        <w:tab/>
      </w:r>
      <w:r>
        <w:rPr>
          <w:noProof/>
        </w:rPr>
        <w:t>In haar mededeling "Een Europees Solidariteitskorps" van 7 december 2016</w:t>
      </w:r>
      <w:r>
        <w:rPr>
          <w:rStyle w:val="FootnoteReference"/>
          <w:noProof/>
        </w:rPr>
        <w:footnoteReference w:id="18"/>
      </w:r>
      <w:r>
        <w:rPr>
          <w:noProof/>
        </w:rPr>
        <w:t xml:space="preserve"> benadrukte de Commissie dat het nodig is de basis voor solidair werk in heel Europa te versterken, jongeren meer en betere mogelijkheden te bieden voor solidariteitsactiviteiten op een groot aantal gebieden, en nationale en lokale actoren te ondersteunen bij het aanpakken van verscheidene uitdagingen en crises. Met de mededeling nam een eerste fase van het Europees Solidariteitskorps een aanvang. Daarbij werden verschillende programma's van de Unie ingeschakeld om jongeren in de hele Unie mogelijkheden te bieden voor vrijwilligerswerk, stages of banen.</w:t>
      </w:r>
    </w:p>
    <w:p>
      <w:pPr>
        <w:pStyle w:val="ManualConsidrant"/>
        <w:rPr>
          <w:noProof/>
        </w:rPr>
      </w:pPr>
      <w:r>
        <w:t>(4)</w:t>
      </w:r>
      <w:r>
        <w:tab/>
      </w:r>
      <w:r>
        <w:rPr>
          <w:noProof/>
        </w:rPr>
        <w:t>In artikel 2 van het Verdrag betreffende de Europese Unie wordt benadrukt dat solidariteit een van de beginselen is die essentieel zijn voor de Europese Unie. Dat beginsel wordt in artikel 21, lid 1, van het Verdrag betreffende de Europese Unie ook genoemd als een van de pijlers van het externe optreden van de EU.</w:t>
      </w:r>
    </w:p>
    <w:p>
      <w:pPr>
        <w:pStyle w:val="ManualConsidrant"/>
        <w:rPr>
          <w:noProof/>
        </w:rPr>
      </w:pPr>
      <w:r>
        <w:t>(5)</w:t>
      </w:r>
      <w:r>
        <w:tab/>
      </w:r>
      <w:r>
        <w:rPr>
          <w:noProof/>
        </w:rPr>
        <w:t>Jongeren moeten laagdrempelige kansen krijgen om deel te nemen aan solidariteitsactiviteiten. Die kunnen hun de mogelijkheid bieden hun betrokkenheid bij de gemeenschappen uit te drukken en tegelijkertijd nuttige ervaring op te doen en vaardigheden en competenties te verwerven voor hun persoonlijke, educatieve, sociale en professionele ontwikkeling en hun ontwikkeling als burger, waardoor hun inzetbaarheid verbetert. Die activiteiten moeten ook de mobiliteit van jonge vrijwilligers, stagiairs en werknemers ondersteunen.</w:t>
      </w:r>
    </w:p>
    <w:p>
      <w:pPr>
        <w:pStyle w:val="ManualConsidrant"/>
        <w:rPr>
          <w:noProof/>
        </w:rPr>
      </w:pPr>
      <w:r>
        <w:t>(6)</w:t>
      </w:r>
      <w:r>
        <w:tab/>
      </w:r>
      <w:r>
        <w:rPr>
          <w:noProof/>
        </w:rPr>
        <w:t>De aan jongeren aangeboden solidariteitsactiviteiten moeten van hoge kwaliteit zijn: zij moeten tegemoetkomen aan onvervulde behoeften van de samenleving, bijdragen tot de versterking van gemeenschappen, jongeren de mogelijkheid bieden waardevolle kennis en competenties te verwerven, financieel toegankelijk zijn voor jongeren en worden uitgevoerd in veilige en gezonde omstandigheden.</w:t>
      </w:r>
    </w:p>
    <w:p>
      <w:pPr>
        <w:pStyle w:val="ManualConsidrant"/>
        <w:rPr>
          <w:noProof/>
        </w:rPr>
      </w:pPr>
      <w:r>
        <w:t>(7)</w:t>
      </w:r>
      <w:r>
        <w:tab/>
      </w:r>
      <w:r>
        <w:rPr>
          <w:noProof/>
        </w:rPr>
        <w:t>Het Europees Solidariteitskorps biedt één contactpunt voor solidariteitsactiviteiten in de hele Unie en daarbuiten. Er moet worden gezorgd voor samenhang en complementariteit met andere relevante beleidsterreinen en programma's van de Unie. Het Europees Solidariteitskorps bouwt voort op de sterke punten en synergieën van de programma's die eraan voorafgingen en bestaande programma's, met name het Europees vrijwilligerswerk</w:t>
      </w:r>
      <w:r>
        <w:rPr>
          <w:rStyle w:val="FootnoteReference"/>
          <w:noProof/>
        </w:rPr>
        <w:footnoteReference w:id="19"/>
      </w:r>
      <w:r>
        <w:rPr>
          <w:noProof/>
        </w:rPr>
        <w:t xml:space="preserve"> en de EU-vrijwilligers voor humanitaire hulp</w:t>
      </w:r>
      <w:r>
        <w:rPr>
          <w:rStyle w:val="FootnoteReference"/>
          <w:noProof/>
        </w:rPr>
        <w:footnoteReference w:id="20"/>
      </w:r>
      <w:r>
        <w:rPr>
          <w:noProof/>
        </w:rPr>
        <w:t>. Het vormt ook een aanvulling op de inspanningen van de lidstaten om jongeren te ondersteunen en de overgang van school naar werk te vergemakkelijken in het kader van de jongerengarantie door hun extra kansen te bieden om de arbeidsmarkt te betreden in de vorm van een stage of een baan op solidariteitsgerelateerde gebieden in hun eigen of een andere lidstaat. Daarnaast wordt gezorgd voor complementariteit met bestaande EU-netwerken die betrekking hebben op de activiteiten in het kader van het Europees Solidariteitskorps, zoals het Europees netwerk van openbare diensten voor arbeidsvoorziening, Eures en het Eurodesk-netwerk. Bovendien moet worden gezorgd voor complementariteit tussen bestaande regelingen (in het bijzonder nationale solidariteitsregelingen en mobiliteitsprogramma's voor jongeren) en het Europees Solidariteitskorps door in voorkomend geval voort te bouwen op goede praktijken.</w:t>
      </w:r>
    </w:p>
    <w:p>
      <w:pPr>
        <w:pStyle w:val="ManualConsidrant"/>
        <w:rPr>
          <w:noProof/>
        </w:rPr>
      </w:pPr>
      <w:r>
        <w:t>(8)</w:t>
      </w:r>
      <w:r>
        <w:tab/>
      </w:r>
      <w:r>
        <w:rPr>
          <w:noProof/>
        </w:rPr>
        <w:t>Wat de uitlegging van gerelateerde wetgeving op het niveau van de Unie betreft, moeten zowel de grensoverschrijdende vrijwilligersactiviteiten in het kader van het Europees Solidariteitskorps als de vrijwilligersactiviteiten die nog steeds worden ondersteund in het kader van Verordening (EU) nr. 1288/2013 worden beschouwd als gelijkwaardig met de activiteiten die in het kader van het Europees vrijwilligerswerk worden uitgevoerd.</w:t>
      </w:r>
    </w:p>
    <w:p>
      <w:pPr>
        <w:pStyle w:val="ManualConsidrant"/>
        <w:rPr>
          <w:noProof/>
        </w:rPr>
      </w:pPr>
      <w:r>
        <w:t>(9)</w:t>
      </w:r>
      <w:r>
        <w:tab/>
      </w:r>
      <w:r>
        <w:rPr>
          <w:noProof/>
        </w:rPr>
        <w:t>Het Europees Solidariteitskorps biedt jongeren nieuwe mogelijkheden om deel te nemen aan vrijwilligersactiviteiten, stages of banen in solidariteitsgerelateerde gebieden en om op eigen initiatief solidariteitsprojecten te bedenken en te ontwikkelen. Die mogelijkheden dragen bij aan hun persoonlijke, educatieve, sociale en professionele ontwikkeling en aan hun ontwikkeling als burger. Het Europees Solidariteitskorps ondersteunt ook netwerkactiviteiten voor de deelnemende personen en organisaties, naast maatregelen om de kwaliteit van de ondersteunde activiteiten te waarborgen en de validatie van de leerresultaten te verbeteren. Zo zal het ook een bijdrage leveren aan Europese samenwerking gericht op jongeren en de positieve effecten ervan onder de aandacht brengen.</w:t>
      </w:r>
    </w:p>
    <w:p>
      <w:pPr>
        <w:pStyle w:val="ManualConsidrant"/>
        <w:rPr>
          <w:noProof/>
        </w:rPr>
      </w:pPr>
      <w:r>
        <w:t>(10)</w:t>
      </w:r>
      <w:r>
        <w:tab/>
      </w:r>
      <w:r>
        <w:rPr>
          <w:noProof/>
        </w:rPr>
        <w:t>Die activiteiten moeten ten goede komen aan gemeenschappen en tegelijkertijd bijdragen aan de persoonlijke, educatieve, sociale en professionele ontwikkeling van een jongere en aan zijn ontwikkeling als burger, waarbij de activiteiten de vorm kunnen aannemen van vrijwilligerswerk, stages en banen, projecten of netwerkactiviteiten die zijn ontwikkeld met betrekking tot verschillende gebieden zoals onderwijs en opleiding, werkgelegenheid, gendergelijkheid, ondernemerschap (in het bijzonder sociaal ondernemerschap), burgerschap en democratische participatie, milieu en natuurbescherming, klimaatactie, rampenpreventie -paraatheid en hersteloperaties, landbouw en plattelandsontwikkeling, het verstrekken van levensmiddelen en non-foodartikelen, gezondheid en welzijn, creativiteit en cultuur, lichamelijke opvoeding en sport, sociale bijstand en welzijnszorg, de opvang en integratie van onderdanen van derde landen, territoriale samenwerking en cohesie, en grensoverschrijdende samenwerking. Dergelijke solidariteitsactiviteiten omvatten een solide leer- en opleidingsbasis, die wordt gelegd via zinvolle activiteiten die vóór, tijdens en na de solidariteitsactiviteit aan de deelnemers kunnen worden aangeboden.</w:t>
      </w:r>
    </w:p>
    <w:p>
      <w:pPr>
        <w:pStyle w:val="ManualConsidrant"/>
        <w:rPr>
          <w:noProof/>
        </w:rPr>
      </w:pPr>
      <w:r>
        <w:t>(11)</w:t>
      </w:r>
      <w:r>
        <w:tab/>
      </w:r>
      <w:r>
        <w:rPr>
          <w:noProof/>
        </w:rPr>
        <w:t>Vrijwilligersactiviteiten (zowel binnen als buiten de Unie) vormen een rijke ervaring in een niet-formele en informele leeromgeving, die bijdraagt tot de persoonlijke, sociaal-educatieve en professionele ontwikkeling van de jongeren en die hun actieve burgerschap en inzetbaarheid vergroot. Vrijwilligersactiviteiten mogen geen negatieve gevolgen hebben voor potentiële of bestaande banen of als vervanging daarvan worden beschouwd. De Commissie en de lidstaten moeten via de open coördinatiemethode samenwerken bij beleid inzake vrijwilligerswerk voor jongeren.</w:t>
      </w:r>
    </w:p>
    <w:p>
      <w:pPr>
        <w:pStyle w:val="ManualConsidrant"/>
        <w:rPr>
          <w:noProof/>
        </w:rPr>
      </w:pPr>
      <w:r>
        <w:t>(12)</w:t>
      </w:r>
      <w:r>
        <w:tab/>
      </w:r>
      <w:r>
        <w:rPr>
          <w:noProof/>
        </w:rPr>
        <w:t>Stages en banen op solidariteitsgerelateerde gebieden kunnen jongeren extra kansen bieden om op de arbeidsmarkt te komen terwijl zij helpen maatschappelijke uitdagingen aan te pakken. Dergelijke ervaringen kunnen de inzetbaarheid en de productiviteit van jongeren helpen bevorderen en hun overgang van school naar werk vergemakkelijken, wat essentieel is om hun kansen op de arbeidsmarkt te vergroten. De stageactiviteiten die in het kader van het Europees Solidariteitskorps worden aangeboden, moeten voldoen aan de kwaliteitsbeginselen van de Aanbeveling van de Raad inzake een kwaliteitskader voor stages</w:t>
      </w:r>
      <w:r>
        <w:rPr>
          <w:rStyle w:val="FootnoteReference"/>
          <w:noProof/>
        </w:rPr>
        <w:footnoteReference w:id="21"/>
      </w:r>
      <w:r>
        <w:rPr>
          <w:noProof/>
        </w:rPr>
        <w:t>. De aangeboden stages en banen fungeren voor jongeren als een springplank om de arbeidsmarkt te betreden, en worden daarom gecombineerd met adequate ondersteuning na afloop van de activiteit. De stages en banen worden gefaciliteerd door relevante arbeidsmarktactoren, met name openbare en particuliere diensten voor arbeidsvoorziening, sociale partners en kamers van koophandel, en worden door de deelnemende organisatie vergoed. Als deelnemende organisaties moeten zij financiering aanvragen via het bevoegde uitvoeringsorgaan van het Europees Solidariteitskorps voor de bemiddeling tussen de deelnemende jongeren en de werkgevers die stages en banen in solidariteitsgerelateerde sectoren aanbieden.</w:t>
      </w:r>
    </w:p>
    <w:p>
      <w:pPr>
        <w:pStyle w:val="ManualConsidrant"/>
        <w:rPr>
          <w:noProof/>
        </w:rPr>
      </w:pPr>
      <w:r>
        <w:t>(13)</w:t>
      </w:r>
      <w:r>
        <w:tab/>
      </w:r>
      <w:r>
        <w:rPr>
          <w:noProof/>
        </w:rPr>
        <w:t>De zin voor initiatief van jongeren is een belangrijke troef voor de maatschappij en de arbeidsmarkt. Het Europees Solidariteitskorps helpt dit aspect bevorderen door jongeren de kans te bieden hun eigen projecten voor het aanpakken van specifieke uitdagingen ten bate van hun lokale gemeenschappen te bedenken en uit te voeren. Die projecten zijn een gelegenheid om ideeën uit te proberen en helpen jongeren om zelf de drijvende kracht achter solidariteitsactiviteiten te zijn. Zij dienen ook als springplank naar verdere betrokkenheid bij solidariteitsactiviteiten en zijn een eerste stap om de deelnemers aan het Europees Solidariteitskorps aan te moedigen als zelfstandige in de solidariteitsgerelateerde, non-profit- en jeugdsector aan de slag te gaan of verenigingen, ngo's of andere organisaties in die sectoren op te zetten.</w:t>
      </w:r>
    </w:p>
    <w:p>
      <w:pPr>
        <w:pStyle w:val="ManualConsidrant"/>
        <w:rPr>
          <w:noProof/>
        </w:rPr>
      </w:pPr>
      <w:r>
        <w:t>(14)</w:t>
      </w:r>
      <w:r>
        <w:tab/>
      </w:r>
      <w:r>
        <w:rPr>
          <w:noProof/>
        </w:rPr>
        <w:t>Jongeren en organisaties die deelnemen aan het Europees Solidariteitskorps moeten voelen dat zij deel uitmaken van een gemeenschap van personen en entiteiten die zich inzetten voor meer solidariteit in heel Europa. Tegelijkertijd hebben de deelnemende organisaties behoefte aan ondersteuning om hun capaciteit te versterken zodat zij hoogwaardige activiteiten kunnen aanbieden aan een toenemend aantal deelnemers. Het Europees Solidariteitskorps ondersteunt netwerkactiviteiten om de betrokkenheid van de jongeren en de deelnemende organisaties bij deze gemeenschap te verstevigen, het teamgevoel binnen het Europees Solidariteitskorps te bevorderen en de uitwisseling van nuttige ervaringen en praktijken aan te moedigen. Die activiteiten dragen ook bij tot een grotere bekendheid van het Europees Solidariteitskorps onder openbare en particuliere actoren en tot het verzamelen van feedback van deelnemers en deelnemende organisaties over de uitvoering van het Europees Solidariteitskorps.</w:t>
      </w:r>
    </w:p>
    <w:p>
      <w:pPr>
        <w:pStyle w:val="ManualConsidrant"/>
        <w:rPr>
          <w:noProof/>
        </w:rPr>
      </w:pPr>
      <w:r>
        <w:t>(15)</w:t>
      </w:r>
      <w:r>
        <w:tab/>
      </w:r>
      <w:r>
        <w:rPr>
          <w:noProof/>
        </w:rPr>
        <w:t>Er moet vooral aandacht worden besteed aan de kwaliteit van de activiteiten en de andere mogelijkheden die in het kader van het Europees Solidariteitskorps worden aangeboden. Dat kan met name door te voorzien in opleiding, taalondersteuning, verzekering, administratieve ondersteuning en ondersteuning na afloop van de activiteit en in de validatie van de kennis, vaardigheden en competenties die de deelnemers hebben opgedaan door hun ervaring bij het Europees Solidariteitskorps. De beveiliging en veiligheid van de vrijwilligers blijven van het grootste belang en vrijwilligers mogen niet worden ingezet bij operaties die plaatsvinden in gebieden waar zich internationale en niet-internationale gewapende conflicten afspelen.</w:t>
      </w:r>
    </w:p>
    <w:p>
      <w:pPr>
        <w:pStyle w:val="ManualConsidrant"/>
        <w:rPr>
          <w:noProof/>
        </w:rPr>
      </w:pPr>
      <w:r>
        <w:t>(16)</w:t>
      </w:r>
      <w:r>
        <w:tab/>
      </w:r>
      <w:r>
        <w:rPr>
          <w:noProof/>
        </w:rPr>
        <w:t>Om ervoor te zorgen dat de activiteiten in het kader van het Europees Solidariteitskorps daadwerkelijk een impact hebben op de persoonlijke, educatieve, sociale en professionele ontwikkeling van de deelnemers en op hun ontwikkeling als burger, moeten de kennis, vaardigheden en competenties die het leerresultaat van de activiteit zijn, duidelijk in kaart worden gebracht en gedocumenteerd. Daarbij moet rekening worden gehouden met de nationale omstandigheden en bijzonderheden, zoals aanbevolen in de Aanbeveling van de Raad van 20 december 2012 betreffende de validatie van niet-formeel en informeel leren</w:t>
      </w:r>
      <w:r>
        <w:rPr>
          <w:rStyle w:val="FootnoteReference"/>
          <w:noProof/>
        </w:rPr>
        <w:footnoteReference w:id="22"/>
      </w:r>
      <w:r>
        <w:rPr>
          <w:noProof/>
        </w:rPr>
        <w:t>.</w:t>
      </w:r>
    </w:p>
    <w:p>
      <w:pPr>
        <w:pStyle w:val="ManualConsidrant"/>
        <w:rPr>
          <w:noProof/>
        </w:rPr>
      </w:pPr>
      <w:r>
        <w:t>(17)</w:t>
      </w:r>
      <w:r>
        <w:tab/>
      </w:r>
      <w:r>
        <w:rPr>
          <w:noProof/>
        </w:rPr>
        <w:t>Met behulp van een kwaliteitskeurmerk moet worden gewaarborgd dat de deelnemende organisaties, wat hun rechten en verantwoordelijkheden gedurende alle fasen van de solidariteitservaring betreft, voldoen aan de beginselen en vereisten van het Europees Solidariteitskorps. Het behalen van het kwaliteitskeurmerk is een voorwaarde voor deelname, maar mag niet automatisch leiden tot financiering uit hoofde van het Europees Solidariteitskorps.</w:t>
      </w:r>
    </w:p>
    <w:p>
      <w:pPr>
        <w:pStyle w:val="ManualConsidrant"/>
        <w:rPr>
          <w:noProof/>
        </w:rPr>
      </w:pPr>
      <w:r>
        <w:t>(18)</w:t>
      </w:r>
      <w:r>
        <w:tab/>
      </w:r>
      <w:r>
        <w:rPr>
          <w:noProof/>
        </w:rPr>
        <w:t>Elke entiteit die wil deelnemen aan het Europees Solidariteitskorps moet een kwaliteitskeurmerk ontvangen als aan de voorwaarden daarvoor is voldaan. Het proces waarmee het kwaliteitskeurmerk wordt toegekend, moet ononderbroken door de uitvoerende organen van het Europees Solidariteitskorps worden uitgevoerd. Het toegekende kwaliteitskeurmerk moet op gezette tijden opnieuw worden beoordeeld en kan worden ingetrokken als bij een controle wordt vastgesteld dat niet langer aan de toekenningsvoorwaarden wordt voldaan.</w:t>
      </w:r>
    </w:p>
    <w:p>
      <w:pPr>
        <w:pStyle w:val="ManualConsidrant"/>
        <w:rPr>
          <w:noProof/>
        </w:rPr>
      </w:pPr>
      <w:r>
        <w:t>(19)</w:t>
      </w:r>
      <w:r>
        <w:tab/>
      </w:r>
      <w:r>
        <w:rPr>
          <w:noProof/>
        </w:rPr>
        <w:t>Voordat een entiteit een financieringsaanvraag kan doen voor het aanbieden van activiteiten in het kader van het Europees Solidariteitskorps, moet zij eerst het kwaliteitskeurmerk hebben ontvangen. Die voorwaarde geldt niet voor natuurlijke personen die namens een informele groep deelnemers aan het Europees Solidariteitskorps financiële steun aanvragen voor hun solidariteitsprojecten.</w:t>
      </w:r>
    </w:p>
    <w:p>
      <w:pPr>
        <w:pStyle w:val="ManualConsidrant"/>
        <w:rPr>
          <w:noProof/>
        </w:rPr>
      </w:pPr>
      <w:r>
        <w:t>(20)</w:t>
      </w:r>
      <w:r>
        <w:tab/>
      </w:r>
      <w:r>
        <w:rPr>
          <w:noProof/>
        </w:rPr>
        <w:t>Deelnemende organisaties kunnen in het kader van het Europees Solidariteitskorps meerdere functies vervullen. In een functie als gastheer zijn zij actief bij het ontvangen van de deelnemers; hieronder vallen zaken als de organisatie van activiteiten en het verstrekken van voorlichting en ondersteuning van de deelnemers tijdens de activiteit, voor zover van toepassing. In een ondersteunende functie zijn zij actief bij het uitzenden en voorbereiden van de deelnemers vóór hun vertrek en tijdens en na de solidariteitsactiviteit; onder deze functie vallen zaken als opleiding en het begeleiden van deelnemers naar lokale organisaties na afloop van de activiteit.</w:t>
      </w:r>
    </w:p>
    <w:p>
      <w:pPr>
        <w:pStyle w:val="ManualConsidrant"/>
        <w:rPr>
          <w:noProof/>
        </w:rPr>
      </w:pPr>
      <w:r>
        <w:t>(21)</w:t>
      </w:r>
      <w:r>
        <w:tab/>
      </w:r>
      <w:r>
        <w:rPr>
          <w:noProof/>
        </w:rPr>
        <w:t>Schaalvergroting van het Europees Solidariteitskorps moet worden vergemakkelijkt. Er moeten specifieke maatregelen worden genomen om de initiatiefnemers van projecten in het kader van het Europees Solidariteitskorps te helpen om subsidies aan te vragen of om synergieën tot stand te brengen door middel van ondersteuning van de Europese structuur- en investeringsfondsen en de programma's op het gebied van migratie, veiligheid, justitie en burgerschap, gezondheid en cultuur.</w:t>
      </w:r>
    </w:p>
    <w:p>
      <w:pPr>
        <w:pStyle w:val="ManualConsidrant"/>
        <w:rPr>
          <w:noProof/>
        </w:rPr>
      </w:pPr>
      <w:r>
        <w:t>(22)</w:t>
      </w:r>
      <w:r>
        <w:tab/>
      </w:r>
      <w:r>
        <w:rPr>
          <w:noProof/>
        </w:rPr>
        <w:t>De uitvoerende organen en de deelnemende organisaties en jongeren moeten door kenniscentra van het Europees Solidariteitskorps worden bijgestaan om de kwaliteit van de uitvoering en de activiteiten van het Europees Solidariteitskorps te verhogen en de via de desbetreffende activiteiten verworven vaardigheden beter in kaart te brengen en te valideren, onder meer door het verstrekken van Youthpass-certificaten.</w:t>
      </w:r>
    </w:p>
    <w:p>
      <w:pPr>
        <w:pStyle w:val="ManualConsidrant"/>
        <w:rPr>
          <w:noProof/>
        </w:rPr>
      </w:pPr>
      <w:r>
        <w:t>(23)</w:t>
      </w:r>
      <w:r>
        <w:tab/>
      </w:r>
      <w:r>
        <w:rPr>
          <w:noProof/>
        </w:rPr>
        <w:t>De portaalsite van het Europees Solidariteitskorps moet voortdurend verder worden ontwikkeld om het Europees Solidariteitskorps goed toegankelijk te houden en te zorgen voor een centraal contactpunt, zowel voor geïnteresseerde personen als organisaties, onder meer in verband met inschrijving, identificatie en afstemming van profielen en mogelijkheden, netwerkactiviteiten en virtuele uitwisselingen, online opleiding, taalondersteuning en ondersteuning na afloop van de activiteit, en eventuele andere nuttige functies die in de toekomst kunnen worden toegevoegd.</w:t>
      </w:r>
    </w:p>
    <w:p>
      <w:pPr>
        <w:pStyle w:val="ManualConsidrant"/>
        <w:rPr>
          <w:noProof/>
        </w:rPr>
      </w:pPr>
      <w:r>
        <w:t>(24)</w:t>
      </w:r>
      <w:r>
        <w:tab/>
      </w:r>
      <w:r>
        <w:rPr>
          <w:noProof/>
        </w:rPr>
        <w:t>De portaalsite van het Europees Solidariteitskorps moet verder worden ontwikkeld in overeenstemming met het Europees interoperabiliteitskader</w:t>
      </w:r>
      <w:r>
        <w:rPr>
          <w:rStyle w:val="FootnoteReference"/>
          <w:noProof/>
        </w:rPr>
        <w:footnoteReference w:id="23"/>
      </w:r>
      <w:r>
        <w:rPr>
          <w:noProof/>
        </w:rPr>
        <w:t>, dat specifieke richtsnoeren bevat over het opzetten van interoperabele digitale openbare diensten en dat in de lidstaten en andere leden van de Europese Economische Ruimte via nationale interoperabiliteitskaders in praktijk wordt gebracht. Het kader geeft overheidsdiensten 47 concrete aanbevelingen met betrekking tot het verbeteren van de governance van hun interoperabiliteitsactiviteiten, het opzetten van organisatieoverschrijdende verbanden, het stroomlijnen van processen ter ondersteuning van digitale eind-tot-einddiensten en het waarborgen dat bestaande en nieuwe wetgeving geen afbreuk doet aan de interoperabiliteitsinspanningen.</w:t>
      </w:r>
    </w:p>
    <w:p>
      <w:pPr>
        <w:pStyle w:val="ManualConsidrant"/>
        <w:rPr>
          <w:noProof/>
        </w:rPr>
      </w:pPr>
      <w:r>
        <w:t>(25)</w:t>
      </w:r>
      <w:r>
        <w:tab/>
      </w:r>
      <w:r>
        <w:rPr>
          <w:noProof/>
        </w:rPr>
        <w:t>Verordening [nieuw Financieel Reglement]</w:t>
      </w:r>
      <w:r>
        <w:rPr>
          <w:rStyle w:val="FootnoteReference"/>
          <w:noProof/>
        </w:rPr>
        <w:footnoteReference w:id="24"/>
      </w:r>
      <w:r>
        <w:rPr>
          <w:noProof/>
        </w:rPr>
        <w:t xml:space="preserve"> (het "Financieel Reglement") is van toepassing op dit programma. Die verordening bevat regels voor de uitvoering van de Uniebegroting, daaronder begrepen regels voor subsidies, prijzen, aanbestedingen, indirecte uitvoering, financiële bijstand, financieringsinstrumenten en begrotingsgaranties.</w:t>
      </w:r>
    </w:p>
    <w:p>
      <w:pPr>
        <w:pStyle w:val="ManualConsidrant"/>
        <w:rPr>
          <w:noProof/>
        </w:rPr>
      </w:pPr>
      <w:r>
        <w:t>(26)</w:t>
      </w:r>
      <w:r>
        <w:tab/>
      </w:r>
      <w:r>
        <w:rPr>
          <w:noProof/>
        </w:rPr>
        <w:t>In het bijzonder kan het Europees Bureau voor fraudebestrijding (OLAF) overeenkomstig Verordening (EU, Euratom) nr. 883/2013 van het Europees Parlement en de Raad</w:t>
      </w:r>
      <w:r>
        <w:rPr>
          <w:rStyle w:val="FootnoteReference"/>
          <w:noProof/>
        </w:rPr>
        <w:footnoteReference w:id="25"/>
      </w:r>
      <w:r>
        <w:rPr>
          <w:noProof/>
        </w:rPr>
        <w:t xml:space="preserve"> en Verordening (Euratom, EG) nr. 2185/96 van de Raad</w:t>
      </w:r>
      <w:r>
        <w:rPr>
          <w:rStyle w:val="FootnoteReference"/>
          <w:noProof/>
        </w:rPr>
        <w:footnoteReference w:id="26"/>
      </w:r>
      <w:r>
        <w:rPr>
          <w:noProof/>
        </w:rPr>
        <w:t xml:space="preserve"> administratieve onderzoeken, daaronder begrepen controles en verificaties ter plaatse, uitvoeren om vast te stellen of er sprake is van fraude, corruptie of andere onwettige activiteiten waardoor de financiële belangen van de Unie worden geschaad. Overeenkomstig Verordening (EU) 2017/1939 van de Raad</w:t>
      </w:r>
      <w:r>
        <w:rPr>
          <w:rStyle w:val="FootnoteReference"/>
          <w:noProof/>
        </w:rPr>
        <w:footnoteReference w:id="27"/>
      </w:r>
      <w:r>
        <w:rPr>
          <w:noProof/>
        </w:rPr>
        <w:t xml:space="preserve"> kan het Europees Openbaar Ministerie (EOM) fraude en andere strafbare feiten waardoor de financiële belangen van de Unie worden geschaad, zoals omschreven in Richtlijn (EU) 2017/1371 van het Europees Parlement en de Raad</w:t>
      </w:r>
      <w:r>
        <w:rPr>
          <w:rStyle w:val="FootnoteReference"/>
          <w:noProof/>
        </w:rPr>
        <w:footnoteReference w:id="28"/>
      </w:r>
      <w:r>
        <w:rPr>
          <w:noProof/>
        </w:rPr>
        <w:t>, opsporen en vervolgen. Personen of entiteiten die middelen van de Unie ontvangen, moeten overeenkomstig het Financieel Reglement ten volle meewerken aan de bescherming van de financiële belangen van de Unie, de nodige rechten en toegang verlenen aan de Commissie, OLAF, het EOM en de Europese Rekenkamer alsmede ervoor zorgen dat derden die betrokken zijn bij de uitvoering van middelen van de Unie gelijkwaardige rechten verlenen.</w:t>
      </w:r>
    </w:p>
    <w:p>
      <w:pPr>
        <w:pStyle w:val="ManualConsidrant"/>
        <w:rPr>
          <w:noProof/>
        </w:rPr>
      </w:pPr>
      <w:r>
        <w:t>(27)</w:t>
      </w:r>
      <w:r>
        <w:tab/>
      </w:r>
      <w:r>
        <w:rPr>
          <w:noProof/>
        </w:rPr>
        <w:t>Het Europees Solidariteitskorps richt zich op jongeren in de leeftijd van 18</w:t>
      </w:r>
      <w:r>
        <w:rPr>
          <w:noProof/>
        </w:rPr>
        <w:noBreakHyphen/>
        <w:t>30 jaar, en een inschrijving op de portaalsite van het Europees Solidariteitskorps moet een voorwaarde zijn om te kunnen deelnemen aan de door het Europees Solidariteitskorps aangeboden activiteiten.</w:t>
      </w:r>
    </w:p>
    <w:p>
      <w:pPr>
        <w:pStyle w:val="ManualConsidrant"/>
        <w:rPr>
          <w:noProof/>
        </w:rPr>
      </w:pPr>
      <w:r>
        <w:t>(28)</w:t>
      </w:r>
      <w:r>
        <w:tab/>
      </w:r>
      <w:r>
        <w:rPr>
          <w:noProof/>
        </w:rPr>
        <w:t>In het bijzonder moet erop worden gelet dat de door het Europees Solidariteitskorps ondersteunde activiteiten toegankelijk zijn voor alle jongeren, met name voor de meest kansarme. Er moeten bijzondere maatregelen worden getroffen om de sociale inclusie en de deelname van kansarme jongeren te bevorderen, en ook om rekening te houden met de problemen in verband met de afgelegenheid van een aantal plattelandsgebieden, van de ultraperifere gebieden van de Unie en de landen en gebieden overzee. De deelnemende landen moeten er ook naar streven alle nodige maatregelen te treffen om wettelijke en administratieve belemmeringen voor de goede werking van het Europees Solidariteitskorps weg te nemen. Dit moet — indien mogelijk en onverminderd het Schengenacquis en het Unierecht inzake de binnenkomst en het verblijf van onderdanen van derde landen — de administratieve kwesties oplossen die problemen veroorzaken bij het verkrijgen van visa en verblijfsvergunningen, en bij de afgifte van een Europese ziekteverzekeringskaart in het geval van grensoverschrijdende activiteiten binnen de Europese Unie.</w:t>
      </w:r>
    </w:p>
    <w:p>
      <w:pPr>
        <w:pStyle w:val="ManualConsidrant"/>
        <w:rPr>
          <w:noProof/>
        </w:rPr>
      </w:pPr>
      <w:r>
        <w:t>(29)</w:t>
      </w:r>
      <w:r>
        <w:tab/>
      </w:r>
      <w:r>
        <w:rPr>
          <w:noProof/>
        </w:rPr>
        <w:t>Wegens het belang van de strijd tegen klimaatverandering overeenkomstig de verbintenissen van de Unie tot uitvoering van de Overeenkomst van Parijs en tot verwezenlijking van de duurzameontwikkelingsdoelstellingen van de Verenigde Naties, zal dit programma bijdragen aan de verdere integratie van klimaatactie in beleid en aan het algemene streven dat 25 % van de uitgaven op de begroting van de Unie klimaatdoelstellingen ondersteunen. Tijdens de voorbereiding en uitvoering van het programma zal worden vastgesteld welke acties in dit opzicht relevant zijn, en dit zal opnieuw worden beoordeeld in het kader van de desbetreffende evaluatie- en beoordelingsprocessen.</w:t>
      </w:r>
    </w:p>
    <w:p>
      <w:pPr>
        <w:pStyle w:val="ManualConsidrant"/>
        <w:rPr>
          <w:noProof/>
        </w:rPr>
      </w:pPr>
      <w:r>
        <w:t>(30)</w:t>
      </w:r>
      <w:r>
        <w:tab/>
      </w:r>
      <w:r>
        <w:rPr>
          <w:noProof/>
        </w:rPr>
        <w:t>In deze verordening worden voor de periode 2021-2027 de financiële middelen vastgelegd die voor het Europees Parlement en de Raad gedurende de jaarlijkse begrotingsprocedure het voornaamste referentiebedrag vormen in de zin van punt 17 van het Interinstitutioneel Akkoord tussen het Europees Parlement, de Raad en de Commissie over de begrotingsdiscipline, de samenwerking in begrotingszaken en een goed financieel beheer</w:t>
      </w:r>
      <w:r>
        <w:rPr>
          <w:rStyle w:val="FootnoteReference"/>
          <w:noProof/>
        </w:rPr>
        <w:footnoteReference w:id="29"/>
      </w:r>
      <w:r>
        <w:rPr>
          <w:noProof/>
        </w:rPr>
        <w:t>.</w:t>
      </w:r>
    </w:p>
    <w:p>
      <w:pPr>
        <w:pStyle w:val="ManualConsidrant"/>
        <w:rPr>
          <w:noProof/>
        </w:rPr>
      </w:pPr>
      <w:r>
        <w:t>(31)</w:t>
      </w:r>
      <w:r>
        <w:tab/>
      </w:r>
      <w:r>
        <w:rPr>
          <w:noProof/>
        </w:rPr>
        <w:t>De in deze verordening bedoelde financieringsvormen en uitvoeringsmethoden moeten worden gekozen op basis van de mogelijkheden die zij bieden voor het verwezenlijken van de specifieke doelstellingen van de acties en voor het behalen van resultaten, waarbij met name rekening wordt gehouden met de kosten van controles, de administratieve lasten en het verwachte risico van niet-naleving. In het geval van subsidies houdt dit mede in dat het gebruik van vaste bedragen, vaste percentages en schalen van eenheidskosten wordt overwogen.</w:t>
      </w:r>
    </w:p>
    <w:p>
      <w:pPr>
        <w:pStyle w:val="ManualConsidrant"/>
        <w:rPr>
          <w:noProof/>
        </w:rPr>
      </w:pPr>
      <w:r>
        <w:t>(32)</w:t>
      </w:r>
      <w:r>
        <w:tab/>
      </w:r>
      <w:r>
        <w:rPr>
          <w:noProof/>
        </w:rPr>
        <w:t>Derde landen die lid zijn van de Europese Economische Ruimte (EER) kunnen aan het programma deelnemen in het kader van de samenwerking waarin wordt voorzien door de Overeenkomst betreffende de Europese Economische Ruimte, die bepaalt dat programma's van de Unie worden uitgevoerd bij een op grond van die overeenkomst genomen besluit. Derde landen kunnen ook op grond van andere rechtsinstrumenten deelnemen. Deze verordening moet de verantwoordelijke ordonnateur, het Europees Bureau voor fraudebestrijding (OLAF) en de Europese Rekenkamer de nodige rechten en toegang verlenen om hun bevoegdheden ten volle te kunnen uitoefenen. De volledige deelneming van derde landen aan het programma moet afhankelijk worden gesteld van de voorwaarden in specifieke overeenkomsten betreffende de deelneming van het betrokken derde land aan het programma. Volledige deelname brengt bovendien de verplichting mee om een nationaal agentschap op te richten en sommige acties van het programma decentraal te beheren. Personen en entiteiten uit niet met het programma geassocieerde derde landen moeten kunnen deelnemen aan sommige acties van het programma, zoals omschreven in het werkprogramma en in de door de Commissie gepubliceerde oproepen tot het indienen van voorstellen.</w:t>
      </w:r>
    </w:p>
    <w:p>
      <w:pPr>
        <w:pStyle w:val="ManualConsidrant"/>
        <w:rPr>
          <w:noProof/>
        </w:rPr>
      </w:pPr>
      <w:r>
        <w:t>(33)</w:t>
      </w:r>
      <w:r>
        <w:tab/>
      </w:r>
      <w:r>
        <w:rPr>
          <w:noProof/>
        </w:rPr>
        <w:t>Om het grootst mogelijke effect uit het Europees Solidariteitskorps te halen, moeten regelingen worden getroffen om het voor de deelnemende landen en andere programma's van de Unie mogelijk te maken aanvullende financiering ter beschikking te stellen overeenkomstig de regels van het Europees Solidariteitskorps.</w:t>
      </w:r>
    </w:p>
    <w:p>
      <w:pPr>
        <w:pStyle w:val="ManualConsidrant"/>
        <w:rPr>
          <w:noProof/>
        </w:rPr>
      </w:pPr>
      <w:r>
        <w:t>(34)</w:t>
      </w:r>
      <w:r>
        <w:tab/>
      </w:r>
      <w:r>
        <w:rPr>
          <w:noProof/>
        </w:rPr>
        <w:t>Volgens [artikel 88 van nieuw besluit van de Raad inzake associatie van LGO's]</w:t>
      </w:r>
      <w:r>
        <w:rPr>
          <w:rStyle w:val="FootnoteReference"/>
          <w:noProof/>
        </w:rPr>
        <w:footnoteReference w:id="30"/>
      </w:r>
      <w:r>
        <w:rPr>
          <w:noProof/>
        </w:rPr>
        <w:t xml:space="preserve"> komen in landen en gebieden overzee gevestigde personen en entiteiten in aanmerking voor financiering, overeenkomstig de voorschriften en doelstellingen van het programma en eventuele regelingen die van toepassing zijn op de lidstaat waarmee het desbetreffende land of gebied overzee banden heeft.</w:t>
      </w:r>
    </w:p>
    <w:p>
      <w:pPr>
        <w:pStyle w:val="ManualConsidrant"/>
        <w:rPr>
          <w:noProof/>
        </w:rPr>
      </w:pPr>
      <w:r>
        <w:t>(35)</w:t>
      </w:r>
      <w:r>
        <w:tab/>
      </w:r>
      <w:r>
        <w:rPr>
          <w:noProof/>
        </w:rPr>
        <w:t>Overeenkomstig de mededeling van de Commissie "Een nieuw en sterker strategisch partnerschap met de ultraperifere gebieden van de EU"</w:t>
      </w:r>
      <w:r>
        <w:rPr>
          <w:rStyle w:val="FootnoteReference"/>
          <w:noProof/>
        </w:rPr>
        <w:footnoteReference w:id="31"/>
      </w:r>
      <w:r>
        <w:rPr>
          <w:noProof/>
        </w:rPr>
        <w:t xml:space="preserve"> moet het programma rekening houden met de specifieke situatie van die gebieden. Er zullen maatregelen worden genomen om de deelname van de ultraperifere gebieden aan alle acties te vergroten. Die maatregelen zullen regelmatig worden gemonitord en geëvalueerd.</w:t>
      </w:r>
    </w:p>
    <w:p>
      <w:pPr>
        <w:pStyle w:val="ManualConsidrant"/>
        <w:rPr>
          <w:noProof/>
        </w:rPr>
      </w:pPr>
      <w:r>
        <w:t>(36)</w:t>
      </w:r>
      <w:r>
        <w:tab/>
      </w:r>
      <w:r>
        <w:rPr>
          <w:noProof/>
        </w:rPr>
        <w:t>Overeenkomstig het Financieel Reglement moet de Commissie werkprogramma's vaststellen en het Europees Parlement en de Raad daarvan in kennis stellen. Het werkprogramma moet de nodige maatregelen bevatten voor de uitvoering ervan in overeenstemming met de algemene en specifieke doelstellingen van het programma, de selectie- en gunningscriteria voor subsidies en alle andere noodzakelijke elementen. De werkprogramma's en de wijzigingen daarvan moeten door middel van uitvoeringshandelingen overeenkomstig de onderzoeksprocedure worden vastgesteld.</w:t>
      </w:r>
    </w:p>
    <w:p>
      <w:pPr>
        <w:pStyle w:val="ManualConsidrant"/>
        <w:rPr>
          <w:noProof/>
        </w:rPr>
      </w:pPr>
      <w:r>
        <w:t>(37)</w:t>
      </w:r>
      <w:r>
        <w:tab/>
      </w:r>
      <w:r>
        <w:rPr>
          <w:noProof/>
        </w:rPr>
        <w:t>Overeenkomstig de punten 22 en 23 van het Interinstitutioneel Akkoord over beter wetgeven van 13 april 2016 moet dit programma worden geëvalueerd op basis van gegevens die zijn verzameld op grond van specifieke monitoringvoorschriften, waarbij echter overregulering en administratieve lasten, in het bijzonder voor de lidstaten, worden vermeden. Die voorschriften moeten specifieke, meetbare en realistische indicatoren omvatten die gedurende langere tijd kunnen worden gemeten als een basis voor de evaluatie van het effect van het programma op het terrein.</w:t>
      </w:r>
    </w:p>
    <w:p>
      <w:pPr>
        <w:pStyle w:val="ManualConsidrant"/>
        <w:rPr>
          <w:noProof/>
        </w:rPr>
      </w:pPr>
      <w:r>
        <w:t>(38)</w:t>
      </w:r>
      <w:r>
        <w:tab/>
      </w:r>
      <w:r>
        <w:rPr>
          <w:noProof/>
        </w:rPr>
        <w:t>Er moet op Europees, nationaal en lokaal niveau worden gezorgd voor passende voorlichting, bekendmaking en verspreiding van de mogelijkheden en resultaten van de door het programma ondersteunde acties. Sociale ondernemingen moeten speciale aandacht krijgen en worden aangemoedigd om de activiteiten van het Europees Solidariteitskorps te ondersteunen. De activiteiten inzake outreach, bekendmaking en verspreiding moeten uitgaan van de uitvoeringsorganen van het programma, in voorkomend geval met de steun van andere centrale belanghebbenden.</w:t>
      </w:r>
    </w:p>
    <w:p>
      <w:pPr>
        <w:pStyle w:val="ManualConsidrant"/>
        <w:rPr>
          <w:noProof/>
        </w:rPr>
      </w:pPr>
      <w:r>
        <w:t>(39)</w:t>
      </w:r>
      <w:r>
        <w:tab/>
      </w:r>
      <w:r>
        <w:rPr>
          <w:noProof/>
        </w:rPr>
        <w:t>Om de doelstellingen van het programma beter te kunnen verwezenlijken, is het wenselijk dat de Commissie, de lidstaten en de nationale agentschappen nauw samenwerken, in partnerschap met niet-gouvernementele organisaties, jeugdorganisaties en lokale belanghebbenden die ervaring hebben met solidariteitsacties.</w:t>
      </w:r>
    </w:p>
    <w:p>
      <w:pPr>
        <w:pStyle w:val="ManualConsidrant"/>
        <w:rPr>
          <w:noProof/>
        </w:rPr>
      </w:pPr>
      <w:r>
        <w:t>(40)</w:t>
      </w:r>
      <w:r>
        <w:tab/>
      </w:r>
      <w:r>
        <w:rPr>
          <w:noProof/>
        </w:rPr>
        <w:t>Om te zorgen voor een efficiëntere communicatie met het brede publiek en een sterkere synergie tussen de op initiatief van de Commissie ondernomen communicatieactiviteiten, moeten de bij deze verordening voor communicatie toegewezen middelen ook worden gebruikt voor institutionele communicatie betreffende de politieke prioriteiten van de Unie, voor zover deze verband houden met de algemene doelstellingen van deze verordening.</w:t>
      </w:r>
    </w:p>
    <w:p>
      <w:pPr>
        <w:pStyle w:val="ManualConsidrant"/>
        <w:rPr>
          <w:noProof/>
        </w:rPr>
      </w:pPr>
      <w:r>
        <w:t>(41)</w:t>
      </w:r>
      <w:r>
        <w:tab/>
      </w:r>
      <w:r>
        <w:rPr>
          <w:noProof/>
        </w:rPr>
        <w:t>Om een efficiënte en doeltreffende uitvoering van deze verordening te waarborgen, moet het programma maximaal gebruikmaken van reeds bestaande beheersregelingen. De uitvoering van het programma moet daarom worden toevertrouwd aan bestaande structuren, namelijk de Commissie en de nationale agentschappen die zijn aangewezen voor het beheer van de acties als bedoeld in hoofdstuk III van [nieuwe Erasmusverordening]. De Commissie moet regelmatig overleg plegen met de belangrijkste belanghebbenden, waaronder deelnemende organisaties, over de uitvoering van het Europees Solidariteitskorps.</w:t>
      </w:r>
    </w:p>
    <w:p>
      <w:pPr>
        <w:pStyle w:val="ManualConsidrant"/>
        <w:rPr>
          <w:noProof/>
        </w:rPr>
      </w:pPr>
      <w:r>
        <w:t>(42)</w:t>
      </w:r>
      <w:r>
        <w:tab/>
      </w:r>
      <w:r>
        <w:rPr>
          <w:noProof/>
        </w:rPr>
        <w:t>Om te zorgen voor een gezond financieel beheer en rechtszekerheid in elk deelnemend land, moet elke nationale autoriteit een onafhankelijk auditorgaan aanwijzen. Waar mogelijk en om de efficiëntie te vergroten, kan het onafhankelijke auditorgaan hetzelfde zijn als het orgaan dat is aangewezen voor de in Hoofdstuk III van [nieuwe Erasmusverordening] bedoelde acties.</w:t>
      </w:r>
    </w:p>
    <w:p>
      <w:pPr>
        <w:pStyle w:val="ManualConsidrant"/>
        <w:rPr>
          <w:noProof/>
        </w:rPr>
      </w:pPr>
      <w:r>
        <w:t>(43)</w:t>
      </w:r>
      <w:r>
        <w:tab/>
      </w:r>
      <w:r>
        <w:rPr>
          <w:noProof/>
        </w:rPr>
        <w:t>De lidstaten moeten ernaar streven alle nodige maatregelen te treffen om wettelijke en administratieve belemmeringen voor de goede werking van het programma weg te nemen. Dat houdt in dat, waar mogelijk en onverminderd het Unierecht inzake de binnenkomst en het verblijf van onderdanen van derde landen, kwesties die problemen veroorzaken bij het verkrijgen van visa en verblijfsvergunningen moeten worden opgelost. Overeenkomstig Richtlijn (EU) 2016/801 van het Europees Parlement en de Raad</w:t>
      </w:r>
      <w:r>
        <w:rPr>
          <w:rStyle w:val="FootnoteReference"/>
          <w:noProof/>
        </w:rPr>
        <w:footnoteReference w:id="32"/>
      </w:r>
      <w:r>
        <w:rPr>
          <w:noProof/>
        </w:rPr>
        <w:t xml:space="preserve"> worden de lidstaten aangemoedigd verkorte toelatingsprocedures in te voeren.</w:t>
      </w:r>
    </w:p>
    <w:p>
      <w:pPr>
        <w:pStyle w:val="ManualConsidrant"/>
        <w:rPr>
          <w:noProof/>
        </w:rPr>
      </w:pPr>
      <w:r>
        <w:t>(44)</w:t>
      </w:r>
      <w:r>
        <w:tab/>
      </w:r>
      <w:r>
        <w:rPr>
          <w:noProof/>
        </w:rPr>
        <w:t>Het prestatieverslagleggingssysteem moet waarborgen dat de gegevens voor het monitoren van de uitvoering en voor de evaluatie van het programma op efficiënte en doeltreffende wijze en tijdig en op het juiste niveau van verfijning worden verzameld. Die gegevens moeten aan de Commissie worden meegedeeld op een wijze die strookt met de desbetreffende voorschriften inzake gegevensbescherming.</w:t>
      </w:r>
    </w:p>
    <w:p>
      <w:pPr>
        <w:pStyle w:val="ManualConsidrant"/>
        <w:rPr>
          <w:noProof/>
        </w:rPr>
      </w:pPr>
      <w:r>
        <w:t>(45)</w:t>
      </w:r>
      <w:r>
        <w:tab/>
      </w:r>
      <w:r>
        <w:rPr>
          <w:noProof/>
        </w:rPr>
        <w:t>Om ervoor te zorgen dat deze verordening volgens eenvormige voorwaarden wordt uitgevoerd, moeten aan de Commissie uitvoeringsbevoegdheden worden toegekend. Die bevoegdheden moeten worden uitgeoefend in overeenstemming met Verordening (EU) nr. 182/2011 van het Europees Parlement en de Raad</w:t>
      </w:r>
      <w:r>
        <w:rPr>
          <w:rStyle w:val="FootnoteReference"/>
          <w:noProof/>
        </w:rPr>
        <w:footnoteReference w:id="33"/>
      </w:r>
      <w:r>
        <w:rPr>
          <w:noProof/>
        </w:rPr>
        <w:t>.</w:t>
      </w:r>
    </w:p>
    <w:p>
      <w:pPr>
        <w:pStyle w:val="ManualConsidrant"/>
        <w:rPr>
          <w:noProof/>
        </w:rPr>
      </w:pPr>
      <w:r>
        <w:t>(46)</w:t>
      </w:r>
      <w:r>
        <w:tab/>
      </w:r>
      <w:r>
        <w:rPr>
          <w:noProof/>
        </w:rPr>
        <w:t>Om de vereisten waaraan de begunstigden moeten voldoen te vereenvoudigen, moet zo veel mogelijk worden gebruikgemaakt van vereenvoudigde subsidies in de vorm van vaste bedragen, eenheidskosten en financiering volgens een vast percentage. De vereenvoudigde subsidies ter ondersteuning van de mobiliteitsacties van het programma, zoals door de Commissie gedefinieerd, moeten rekening houden met de kosten van levensonderhoud in het gastland. De lidstaten moeten voorts worden aangespoord die subsidies vrij te stellen van belasting en sociale premies, overeenkomstig het nationale recht. Die vrijstelling moet eveneens gelden voor publieke of particuliere entiteiten die dergelijke financiële steun toekennen aan de individuele begunstigden.</w:t>
      </w:r>
    </w:p>
    <w:p>
      <w:pPr>
        <w:pStyle w:val="ManualConsidrant"/>
        <w:rPr>
          <w:noProof/>
        </w:rPr>
      </w:pPr>
      <w:r>
        <w:t>(47)</w:t>
      </w:r>
      <w:r>
        <w:tab/>
      </w:r>
      <w:r>
        <w:rPr>
          <w:noProof/>
        </w:rPr>
        <w:t>Overeenkomstig het Financieel Reglement, Verordening (EU, Euratom) nr. 883/2013 van het Europees Parlement en de Raad, Verordening (EG, Euratom) nr. 2988/95 van de Raad</w:t>
      </w:r>
      <w:r>
        <w:rPr>
          <w:rStyle w:val="FootnoteReference"/>
          <w:noProof/>
        </w:rPr>
        <w:footnoteReference w:id="34"/>
      </w:r>
      <w:r>
        <w:rPr>
          <w:noProof/>
        </w:rPr>
        <w:t>, Verordening (Euratom, EG) nr. 2185/96 van de Raad en Verordening (EU) 2017/1939 van de Raad moeten de financiële belangen van de Unie worden beschermd door evenredige maatregelen, daaronder begrepen voorkoming, opsporing, correctie en onderzoek van onregelmatigheden, waaronder fraude, invordering van verloren gegane, onverschuldigd betaalde of onjuist bestede financiële middelen alsmede, in voorkomend geval, oplegging van administratieve sancties. Teneinde de prestatie-indicatoren van het programma te wijzigen en/of aan te vullen, moet aan de Commissie de bevoegdheid worden overgedragen om overeenkomstig artikel 290 van het Verdrag betreffende de werking van de Europese Unie handelingen vast te stellen. Het is van bijzonder belang dat de Commissie bij haar voorbereidende werkzaamheden tot passende raadplegingen overgaat, onder meer op deskundigenniveau, en dat die raadplegingen gebeuren in overeenstemming met de beginselen die zijn vastgelegd in het Interinstitutioneel Akkoord over beter wetgeven van 13 april 2016. Om met name te zorgen voor gelijke deelname aan de voorbereiding van gedelegeerde handelingen, moeten het Europees Parlement en de Raad alle documenten op hetzelfde moment ontvangen als de deskundigen van de lidstaten, en moeten hun deskundigen systematisch toegang hebben tot de vergaderingen van de deskundigengroepen van de Commissie die zich bezighouden met de voorbereiding van gedelegeerde handelingen.</w:t>
      </w:r>
    </w:p>
    <w:p>
      <w:pPr>
        <w:pStyle w:val="ManualConsidrant"/>
        <w:rPr>
          <w:noProof/>
        </w:rPr>
      </w:pPr>
      <w:r>
        <w:t>(48)</w:t>
      </w:r>
      <w:r>
        <w:tab/>
      </w:r>
      <w:r>
        <w:rPr>
          <w:noProof/>
        </w:rPr>
        <w:t>Deze verordening eerbiedigt de grondrechten en neemt de beginselen in acht die met name zijn erkend in het Handvest van de grondrechten van de Europese Unie</w:t>
      </w:r>
      <w:r>
        <w:rPr>
          <w:rStyle w:val="FootnoteReference"/>
          <w:noProof/>
        </w:rPr>
        <w:footnoteReference w:id="35"/>
      </w:r>
      <w:r>
        <w:rPr>
          <w:noProof/>
        </w:rPr>
        <w:t>. Deze verordening beoogt met name de volledige eerbiediging te waarborgen van het recht op gelijkheid tussen mannen en vrouwen en het recht op non-discriminatie op grond van geslacht, ras of etnische afstamming, godsdienst of overtuiging, handicap, leeftijd of seksuele geaardheid, en de toepassing van de artikelen 21 en 23 van het Handvest van de grondrechten van de Europese Unie te bevorderen.</w:t>
      </w:r>
    </w:p>
    <w:p>
      <w:pPr>
        <w:pStyle w:val="ManualConsidrant"/>
        <w:rPr>
          <w:noProof/>
        </w:rPr>
      </w:pPr>
      <w:r>
        <w:t>(49)</w:t>
      </w:r>
      <w:r>
        <w:tab/>
      </w:r>
      <w:r>
        <w:rPr>
          <w:noProof/>
        </w:rPr>
        <w:t>Op deze verordening zijn horizontale financiële voorschriften van toepassing die door het Europees Parlement en de Raad zijn vastgesteld op grond van artikel 322 van het Verdrag betreffende de werking van de Europese Unie. Die voorschriften staan in het Financieel Reglement en bepalen met name de procedure voor de vaststelling en de uitvoering van de begroting door subsidies, aanbestedingen, prijzen en indirecte uitvoering, en voorzien in controles van de verantwoordelijkheid van financiële actoren. De op grond van artikel 322 van het Verdrag betreffende de werking van de Europese Unie vastgestelde voorschriften betreffen ook de bescherming van de begroting van de Unie ingeval van algemene lacunes op het gebied van de rechtsstaat in de lidstaten, aangezien het respect voor de rechtsstaat een wezenlijke voorwaarde is voor goed financieel beheer en doeltreffende financiering door de Unie.</w:t>
      </w:r>
    </w:p>
    <w:p>
      <w:pPr>
        <w:pStyle w:val="ManualConsidrant"/>
        <w:rPr>
          <w:noProof/>
        </w:rPr>
      </w:pPr>
      <w:r>
        <w:t>(50)</w:t>
      </w:r>
      <w:r>
        <w:tab/>
      </w:r>
      <w:r>
        <w:rPr>
          <w:noProof/>
        </w:rPr>
        <w:t>Aangezien de doelstelling van deze verordening, namelijk het betrekken van jongeren en organisaties bij toegankelijke en hoogwaardige solidariteitsactiviteiten, niet voldoende door de lidstaten kan worden verwezenlijkt maar, vanwege de omvang en de gevolgen ervan, beter op het niveau van de Unie kan worden verwezenlijkt, kan de Unie, overeenkomstig het in artikel 5 van het Verdrag betreffende de Europese Unie neergelegde subsidiariteitsbeginsel, maatregelen nemen. Overeenkomstig het in hetzelfde artikel neergelegde evenredigheidsbeginsel gaat deze verordening niet verder dan nodig is om deze doelstellingen te verwezenlijken.</w:t>
      </w:r>
    </w:p>
    <w:p>
      <w:pPr>
        <w:pStyle w:val="ManualConsidrant"/>
        <w:rPr>
          <w:noProof/>
          <w:u w:color="000000"/>
          <w:bdr w:val="nil"/>
        </w:rPr>
      </w:pPr>
      <w:r>
        <w:t>(51)</w:t>
      </w:r>
      <w:r>
        <w:tab/>
      </w:r>
      <w:r>
        <w:rPr>
          <w:noProof/>
        </w:rPr>
        <w:t>[Verordening inzake het Europees Solidariteitskorps] moet met ingang van 1 januari 2021 worden ingetrokken.</w:t>
      </w:r>
    </w:p>
    <w:p>
      <w:pPr>
        <w:pStyle w:val="ManualConsidrant"/>
        <w:rPr>
          <w:noProof/>
        </w:rPr>
      </w:pPr>
      <w:r>
        <w:t>(52)</w:t>
      </w:r>
      <w:r>
        <w:tab/>
      </w:r>
      <w:r>
        <w:rPr>
          <w:noProof/>
        </w:rPr>
        <w:t>Om te zorgen voor de continuïteit in de door het programma te bestrijken financieringssteun, moet deze verordening van toepassing zijn met ingang van 1 januari 2021,</w:t>
      </w:r>
    </w:p>
    <w:p>
      <w:pPr>
        <w:pStyle w:val="Formuledadoption"/>
        <w:rPr>
          <w:noProof/>
        </w:rPr>
      </w:pPr>
      <w:r>
        <w:rPr>
          <w:noProof/>
        </w:rPr>
        <w:t>HEBBEN DE VOLGENDE VERORDENING VASTGESTELD:</w:t>
      </w:r>
    </w:p>
    <w:p>
      <w:pPr>
        <w:pStyle w:val="Titrearticle"/>
        <w:spacing w:before="120"/>
        <w:rPr>
          <w:noProof/>
        </w:rPr>
      </w:pPr>
      <w:r>
        <w:rPr>
          <w:noProof/>
        </w:rPr>
        <w:t>HOOFDSTUK I</w:t>
      </w:r>
    </w:p>
    <w:p>
      <w:pPr>
        <w:pStyle w:val="Titrearticle"/>
        <w:spacing w:before="120"/>
        <w:rPr>
          <w:noProof/>
        </w:rPr>
      </w:pPr>
      <w:r>
        <w:rPr>
          <w:noProof/>
        </w:rPr>
        <w:t>ALGEMENE BEPALINGEN</w:t>
      </w:r>
    </w:p>
    <w:p>
      <w:pPr>
        <w:pStyle w:val="Titrearticle"/>
        <w:spacing w:before="120"/>
        <w:rPr>
          <w:noProof/>
        </w:rPr>
      </w:pPr>
      <w:r>
        <w:rPr>
          <w:noProof/>
        </w:rPr>
        <w:t>Artikel 1</w:t>
      </w:r>
    </w:p>
    <w:p>
      <w:pPr>
        <w:pStyle w:val="Titrearticle"/>
        <w:spacing w:before="120"/>
        <w:rPr>
          <w:noProof/>
        </w:rPr>
      </w:pPr>
      <w:r>
        <w:rPr>
          <w:noProof/>
        </w:rPr>
        <w:t>Voorwerp</w:t>
      </w:r>
    </w:p>
    <w:p>
      <w:pPr>
        <w:rPr>
          <w:noProof/>
        </w:rPr>
      </w:pPr>
      <w:r>
        <w:rPr>
          <w:noProof/>
        </w:rPr>
        <w:t>Bij deze verordening wordt het Europees Solidariteitskorps ("het programma") opgericht.</w:t>
      </w:r>
    </w:p>
    <w:p>
      <w:pPr>
        <w:rPr>
          <w:noProof/>
        </w:rPr>
      </w:pPr>
      <w:r>
        <w:rPr>
          <w:noProof/>
        </w:rPr>
        <w:t>In deze verordening worden de doelstellingen van het programma, de begroting voor de periode 2021-2027, de vormen van financiering door de Unie alsmede de regels voor de verstrekking van die financiering vastgelegd.</w:t>
      </w:r>
    </w:p>
    <w:p>
      <w:pPr>
        <w:pStyle w:val="Titrearticle"/>
        <w:spacing w:before="120"/>
        <w:rPr>
          <w:noProof/>
        </w:rPr>
      </w:pPr>
      <w:r>
        <w:rPr>
          <w:noProof/>
        </w:rPr>
        <w:t>Artikel 2</w:t>
      </w:r>
    </w:p>
    <w:p>
      <w:pPr>
        <w:pStyle w:val="Titrearticle"/>
        <w:spacing w:before="120"/>
        <w:rPr>
          <w:noProof/>
        </w:rPr>
      </w:pPr>
      <w:r>
        <w:rPr>
          <w:noProof/>
        </w:rPr>
        <w:t>Definities</w:t>
      </w:r>
    </w:p>
    <w:p>
      <w:pPr>
        <w:rPr>
          <w:noProof/>
        </w:rPr>
      </w:pPr>
      <w:r>
        <w:rPr>
          <w:noProof/>
        </w:rPr>
        <w:t>Voor de toepassing van deze verordening wordt verstaan onder:</w:t>
      </w:r>
    </w:p>
    <w:p>
      <w:pPr>
        <w:pStyle w:val="Point0"/>
        <w:rPr>
          <w:noProof/>
        </w:rPr>
      </w:pPr>
      <w:r>
        <w:rPr>
          <w:noProof/>
          <w:highlight w:val="lightGray"/>
        </w:rPr>
        <w:t>1)</w:t>
      </w:r>
      <w:r>
        <w:rPr>
          <w:noProof/>
          <w:highlight w:val="lightGray"/>
        </w:rPr>
        <w:tab/>
      </w:r>
      <w:r>
        <w:rPr>
          <w:i/>
          <w:noProof/>
        </w:rPr>
        <w:t>"solidariteitsactiviteit":</w:t>
      </w:r>
      <w:r>
        <w:rPr>
          <w:noProof/>
        </w:rPr>
        <w:t xml:space="preserve"> een tijdelijke activiteit van hoge kwaliteit die bijdraagt tot de verwezenlijking van de doelstellingen van het Europees Solidariteitskorps en die de vorm kan hebben van vrijwilligerswerk, stages, banen, solidariteitsprojecten en netwerkactiviteiten op verschillende gebieden, waaronder die bedoeld in lid 13, waarbij de Europese meerwaarde en de naleving van de gezondheids- en veiligheidsvoorschriften worden gewaarborgd;</w:t>
      </w:r>
    </w:p>
    <w:p>
      <w:pPr>
        <w:pStyle w:val="Point0"/>
        <w:rPr>
          <w:noProof/>
        </w:rPr>
      </w:pPr>
      <w:r>
        <w:rPr>
          <w:noProof/>
          <w:highlight w:val="lightGray"/>
        </w:rPr>
        <w:t>2)</w:t>
      </w:r>
      <w:r>
        <w:rPr>
          <w:noProof/>
          <w:highlight w:val="lightGray"/>
        </w:rPr>
        <w:tab/>
      </w:r>
      <w:r>
        <w:rPr>
          <w:i/>
          <w:noProof/>
        </w:rPr>
        <w:t>"ingeschreven kandidaat":</w:t>
      </w:r>
      <w:r>
        <w:rPr>
          <w:noProof/>
        </w:rPr>
        <w:t xml:space="preserve"> een persoon van 17 tot 30 jaar oud die zich op de portaalsite van het Europees Solidariteitskorps heeft ingeschreven om blijk te geven van zijn belangstelling om mee te doen aan een solidariteitsactiviteit, maar nog niet aan zo'n activiteit deelneemt;</w:t>
      </w:r>
    </w:p>
    <w:p>
      <w:pPr>
        <w:pStyle w:val="Point0"/>
        <w:rPr>
          <w:noProof/>
        </w:rPr>
      </w:pPr>
      <w:r>
        <w:rPr>
          <w:noProof/>
        </w:rPr>
        <w:t>3)</w:t>
      </w:r>
      <w:r>
        <w:rPr>
          <w:noProof/>
        </w:rPr>
        <w:tab/>
      </w:r>
      <w:r>
        <w:rPr>
          <w:i/>
          <w:noProof/>
        </w:rPr>
        <w:t>"deelnemer":</w:t>
      </w:r>
      <w:r>
        <w:rPr>
          <w:noProof/>
        </w:rPr>
        <w:t xml:space="preserve"> een persoon van 18 tot 30 jaar oud die zich op de portaalsite van het Europees Solidariteitskorps heeft ingeschreven en deelneemt aan een solidariteitsactiviteit van het Europees Solidariteitskorps;</w:t>
      </w:r>
    </w:p>
    <w:p>
      <w:pPr>
        <w:pStyle w:val="Point0"/>
        <w:rPr>
          <w:noProof/>
        </w:rPr>
      </w:pPr>
      <w:r>
        <w:rPr>
          <w:noProof/>
        </w:rPr>
        <w:t>4)</w:t>
      </w:r>
      <w:r>
        <w:rPr>
          <w:noProof/>
        </w:rPr>
        <w:tab/>
      </w:r>
      <w:r>
        <w:rPr>
          <w:i/>
          <w:noProof/>
        </w:rPr>
        <w:t>"kansarme jongeren":</w:t>
      </w:r>
      <w:r>
        <w:rPr>
          <w:noProof/>
        </w:rPr>
        <w:t xml:space="preserve"> jongeren die kampen met bepaalde belemmeringen die hen er om economische, sociale, culturele, geografische of gezondheidsredenen of redenen zoals een handicap en leerproblemen van weerhouden daadwerkelijk toegang te krijgen tot mogelijkheden in het kader van het programma;</w:t>
      </w:r>
    </w:p>
    <w:p>
      <w:pPr>
        <w:pStyle w:val="Point0"/>
        <w:rPr>
          <w:noProof/>
        </w:rPr>
      </w:pPr>
      <w:r>
        <w:rPr>
          <w:noProof/>
        </w:rPr>
        <w:t>5)</w:t>
      </w:r>
      <w:r>
        <w:rPr>
          <w:noProof/>
        </w:rPr>
        <w:tab/>
      </w:r>
      <w:r>
        <w:rPr>
          <w:i/>
          <w:noProof/>
        </w:rPr>
        <w:t>"deelnemende organisatie":</w:t>
      </w:r>
      <w:r>
        <w:rPr>
          <w:noProof/>
        </w:rPr>
        <w:t xml:space="preserve"> een publieke of private entiteit, ongeacht of deze zich op lokaal, regionaal, nationaal of internationaal niveau bevindt, die het kwaliteitskeurmerk van het Europees Solidariteitskorps heeft gekregen;</w:t>
      </w:r>
    </w:p>
    <w:p>
      <w:pPr>
        <w:pStyle w:val="Point0"/>
        <w:rPr>
          <w:noProof/>
        </w:rPr>
      </w:pPr>
      <w:r>
        <w:rPr>
          <w:noProof/>
        </w:rPr>
        <w:t>6)</w:t>
      </w:r>
      <w:r>
        <w:rPr>
          <w:noProof/>
        </w:rPr>
        <w:tab/>
      </w:r>
      <w:r>
        <w:rPr>
          <w:i/>
          <w:noProof/>
        </w:rPr>
        <w:t>"vrijwilligerswerk":</w:t>
      </w:r>
      <w:r>
        <w:rPr>
          <w:noProof/>
        </w:rPr>
        <w:t xml:space="preserve"> een solidariteitsactiviteit die als onbetaalde vrijwilligersactiviteit wordt uitgevoerd voor een periode van ten hoogste twaalf maanden;</w:t>
      </w:r>
    </w:p>
    <w:p>
      <w:pPr>
        <w:pStyle w:val="Point0"/>
        <w:rPr>
          <w:noProof/>
        </w:rPr>
      </w:pPr>
      <w:r>
        <w:rPr>
          <w:noProof/>
        </w:rPr>
        <w:t>7)</w:t>
      </w:r>
      <w:r>
        <w:rPr>
          <w:noProof/>
        </w:rPr>
        <w:tab/>
      </w:r>
      <w:r>
        <w:rPr>
          <w:i/>
          <w:noProof/>
        </w:rPr>
        <w:t>"stage":</w:t>
      </w:r>
      <w:r>
        <w:rPr>
          <w:noProof/>
        </w:rPr>
        <w:t xml:space="preserve"> een solidariteitsactiviteit voor een periode van twee tot en met zes maanden, eenmalig te verlengen met maximaal twaalf maanden, die wordt aangeboden en betaald door de deelnemende organisatie die de deelnemer aan het Europees Solidariteitskorps ontvangt;</w:t>
      </w:r>
    </w:p>
    <w:p>
      <w:pPr>
        <w:pStyle w:val="Point0"/>
        <w:rPr>
          <w:noProof/>
        </w:rPr>
      </w:pPr>
      <w:r>
        <w:rPr>
          <w:noProof/>
        </w:rPr>
        <w:t>8)</w:t>
      </w:r>
      <w:r>
        <w:rPr>
          <w:noProof/>
        </w:rPr>
        <w:tab/>
      </w:r>
      <w:r>
        <w:rPr>
          <w:i/>
          <w:noProof/>
        </w:rPr>
        <w:t>"baan":</w:t>
      </w:r>
      <w:r>
        <w:rPr>
          <w:noProof/>
        </w:rPr>
        <w:t xml:space="preserve"> een solidariteitsactiviteit voor een periode van twee tot en met twaalf maanden, betaald door de deelnemende organisatie die de deelnemer aan het Europees Solidariteitskorps in dienst heeft genomen;</w:t>
      </w:r>
    </w:p>
    <w:p>
      <w:pPr>
        <w:pStyle w:val="Point0"/>
        <w:rPr>
          <w:noProof/>
        </w:rPr>
      </w:pPr>
      <w:r>
        <w:rPr>
          <w:noProof/>
        </w:rPr>
        <w:t>9)</w:t>
      </w:r>
      <w:r>
        <w:rPr>
          <w:noProof/>
        </w:rPr>
        <w:tab/>
      </w:r>
      <w:r>
        <w:rPr>
          <w:i/>
          <w:noProof/>
        </w:rPr>
        <w:t>"solidariteitsproject":</w:t>
      </w:r>
      <w:r>
        <w:rPr>
          <w:noProof/>
        </w:rPr>
        <w:t xml:space="preserve"> een onbetaalde solidariteitsactiviteit die in eigen land voor een periode van twee tot twaalf maanden wordt uitgevoerd door groepen van ten minste vijf deelnemers aan het Europees Solidariteitskorps en die erop gericht is belangrijke uitdagingen in hun gemeenschappen aan te pakken en een duidelijke Europese meerwaarde te bieden;</w:t>
      </w:r>
    </w:p>
    <w:p>
      <w:pPr>
        <w:pStyle w:val="Point0"/>
        <w:rPr>
          <w:noProof/>
        </w:rPr>
      </w:pPr>
      <w:r>
        <w:rPr>
          <w:noProof/>
        </w:rPr>
        <w:t>10)</w:t>
      </w:r>
      <w:r>
        <w:rPr>
          <w:noProof/>
        </w:rPr>
        <w:tab/>
      </w:r>
      <w:r>
        <w:rPr>
          <w:i/>
          <w:noProof/>
        </w:rPr>
        <w:t>"kwaliteitskeurmerk":</w:t>
      </w:r>
      <w:r>
        <w:rPr>
          <w:noProof/>
        </w:rPr>
        <w:t xml:space="preserve"> de certificering die wordt toegekend aan een deelnemende organisatie die in het kader van het Europees Solidariteitskorps solidariteitsactiviteiten wil aanbieden in de rol van gastheer en/of in een ondersteunende functie;</w:t>
      </w:r>
    </w:p>
    <w:p>
      <w:pPr>
        <w:pStyle w:val="Point0"/>
        <w:rPr>
          <w:noProof/>
        </w:rPr>
      </w:pPr>
      <w:r>
        <w:rPr>
          <w:noProof/>
        </w:rPr>
        <w:t>11)</w:t>
      </w:r>
      <w:r>
        <w:rPr>
          <w:noProof/>
        </w:rPr>
        <w:tab/>
      </w:r>
      <w:r>
        <w:rPr>
          <w:i/>
          <w:noProof/>
        </w:rPr>
        <w:t>"kenniscentra van het Europees Solidariteitskorps":</w:t>
      </w:r>
      <w:r>
        <w:rPr>
          <w:noProof/>
        </w:rPr>
        <w:t xml:space="preserve"> de aanvullende functies die worden uitgeoefend door aangewezen nationale agentschappen ter ondersteuning van de ontwikkeling, de uitvoering en de kwaliteit van activiteiten in het kader van het Europees Solidariteitskorps, alsmede het in kaart brengen van de door de deelnemers via hun solidariteitsactiviteiten verworven competenties;</w:t>
      </w:r>
    </w:p>
    <w:p>
      <w:pPr>
        <w:pStyle w:val="Point0"/>
        <w:rPr>
          <w:noProof/>
        </w:rPr>
      </w:pPr>
      <w:r>
        <w:rPr>
          <w:noProof/>
        </w:rPr>
        <w:t>12)</w:t>
      </w:r>
      <w:r>
        <w:rPr>
          <w:noProof/>
        </w:rPr>
        <w:tab/>
      </w:r>
      <w:r>
        <w:rPr>
          <w:i/>
          <w:noProof/>
        </w:rPr>
        <w:t>"instrumenten van de Unie voor transparantie en erkenning":</w:t>
      </w:r>
      <w:r>
        <w:rPr>
          <w:noProof/>
        </w:rPr>
        <w:t xml:space="preserve"> instrumenten die belanghebbenden in de Unie helpen om niet-formele en informele leerresultaten te begrijpen, op waarde te schatten en, voor zover van toepassing, te erkennen. Na de voltooiing van hun activiteiten ontvangen alle deelnemers een certificaat met de vermelding van de leerresultaten en de vaardigheden die zij tijdens hun werkzaamheden hebben ontwikkeld, zoals Youthpass of Europass;</w:t>
      </w:r>
    </w:p>
    <w:p>
      <w:pPr>
        <w:pStyle w:val="Point0"/>
        <w:rPr>
          <w:noProof/>
          <w:u w:color="0000FF"/>
        </w:rPr>
      </w:pPr>
      <w:r>
        <w:rPr>
          <w:noProof/>
        </w:rPr>
        <w:t>13)</w:t>
      </w:r>
      <w:r>
        <w:rPr>
          <w:noProof/>
        </w:rPr>
        <w:tab/>
      </w:r>
      <w:r>
        <w:rPr>
          <w:i/>
          <w:noProof/>
        </w:rPr>
        <w:t>"humanitaire hulpactiviteit":</w:t>
      </w:r>
      <w:r>
        <w:rPr>
          <w:noProof/>
        </w:rPr>
        <w:t xml:space="preserve"> een activiteit ter ondersteuning van humanitaire operaties in derde landen waarmee op behoeften gebaseerde noodhulp wordt verleend die gericht is op het redden van levens, het voorkomen en verlichten van menselijk leed en het behoud van de menselijke waardigheid tijdens door de mens of de natuur veroorzaakte crises en natuurrampen, met inbegrip van bijstand, hulpverlening en bescherming in humanitaire crises of in de onmiddellijke nasleep daarvan, ondersteunende maatregelen om de toegang tot mensen in nood en de vrije aanvoer van hulpverlening te vergemakkelijken, alsmede maatregelen gericht op versterking van de paraatheid bij rampen en de beperking van het risico op rampen, het koppelen van noodhulp, rehabilitatie en ontwikkeling, en de versterking van de weerbaarheid en de capaciteit om het hoofd te bieden aan en te herstellen van crisissituaties;</w:t>
      </w:r>
    </w:p>
    <w:p>
      <w:pPr>
        <w:pStyle w:val="Point0"/>
        <w:rPr>
          <w:noProof/>
          <w:u w:color="0000FF"/>
        </w:rPr>
      </w:pPr>
      <w:r>
        <w:rPr>
          <w:noProof/>
        </w:rPr>
        <w:t>14)</w:t>
      </w:r>
      <w:r>
        <w:rPr>
          <w:noProof/>
        </w:rPr>
        <w:tab/>
      </w:r>
      <w:r>
        <w:rPr>
          <w:i/>
          <w:noProof/>
        </w:rPr>
        <w:t>"derde land":</w:t>
      </w:r>
      <w:r>
        <w:rPr>
          <w:noProof/>
        </w:rPr>
        <w:t xml:space="preserve"> een land dat geen lid van de Unie is;</w:t>
      </w:r>
    </w:p>
    <w:p>
      <w:pPr>
        <w:pStyle w:val="Point0"/>
        <w:rPr>
          <w:noProof/>
          <w:u w:color="0000FF"/>
        </w:rPr>
      </w:pPr>
      <w:r>
        <w:rPr>
          <w:noProof/>
        </w:rPr>
        <w:t>15)</w:t>
      </w:r>
      <w:r>
        <w:rPr>
          <w:noProof/>
        </w:rPr>
        <w:tab/>
      </w:r>
      <w:r>
        <w:rPr>
          <w:i/>
          <w:noProof/>
        </w:rPr>
        <w:t>"met het programma geassocieerd derde land":</w:t>
      </w:r>
      <w:r>
        <w:rPr>
          <w:noProof/>
        </w:rPr>
        <w:t xml:space="preserve"> een derde land dat partij is bij een overeenkomst met de Unie waarin de mogelijkheid tot deelname aan het programma is voorzien en die voldoet aan alle verplichtingen die in deze verordening met betrekking tot de lidstaten zijn vastgelegd;</w:t>
      </w:r>
    </w:p>
    <w:p>
      <w:pPr>
        <w:pStyle w:val="Point0"/>
        <w:rPr>
          <w:noProof/>
          <w:u w:color="0000FF"/>
        </w:rPr>
      </w:pPr>
      <w:r>
        <w:rPr>
          <w:noProof/>
        </w:rPr>
        <w:t>16)</w:t>
      </w:r>
      <w:r>
        <w:rPr>
          <w:noProof/>
        </w:rPr>
        <w:tab/>
      </w:r>
      <w:r>
        <w:rPr>
          <w:i/>
          <w:noProof/>
        </w:rPr>
        <w:t>"niet met het programma geassocieerd derde land":</w:t>
      </w:r>
      <w:r>
        <w:rPr>
          <w:noProof/>
        </w:rPr>
        <w:t xml:space="preserve"> een derde land dat niet volledig aan het programma deelneemt, maar waarvan de juridische entiteiten bij wijze van uitzondering, in naar behoren gemotiveerde gevallen en in het belang van de Unie, van het programma kunnen profiteren.</w:t>
      </w:r>
    </w:p>
    <w:p>
      <w:pPr>
        <w:pStyle w:val="Titrearticle"/>
        <w:spacing w:before="120"/>
        <w:rPr>
          <w:noProof/>
        </w:rPr>
      </w:pPr>
      <w:r>
        <w:rPr>
          <w:noProof/>
        </w:rPr>
        <w:t>Artikel 3</w:t>
      </w:r>
    </w:p>
    <w:p>
      <w:pPr>
        <w:pStyle w:val="Titrearticle"/>
        <w:spacing w:before="120"/>
        <w:rPr>
          <w:noProof/>
        </w:rPr>
      </w:pPr>
      <w:r>
        <w:rPr>
          <w:noProof/>
        </w:rPr>
        <w:t>Doelstellingen van het programma</w:t>
      </w:r>
    </w:p>
    <w:p>
      <w:pPr>
        <w:pStyle w:val="ManualNumPar1"/>
        <w:rPr>
          <w:noProof/>
        </w:rPr>
      </w:pPr>
      <w:r>
        <w:t>1.</w:t>
      </w:r>
      <w:r>
        <w:tab/>
      </w:r>
      <w:r>
        <w:rPr>
          <w:noProof/>
        </w:rPr>
        <w:t>De algemene doelstelling van het programma is het vergroten van de inzet van jongeren en organisaties bij toegankelijke en kwalitatief hoogwaardige solidariteitsactiviteiten, als middel om bij te dragen aan de versterking van de cohesie, de solidariteit en de democratie in de Unie en daarbuiten en daarbij concrete maatschappelijke en humanitaire uitdagingen aan te pakken, met een bijzondere inspanning voor het bevorderen van sociale inclusie.</w:t>
      </w:r>
    </w:p>
    <w:p>
      <w:pPr>
        <w:pStyle w:val="ManualNumPar1"/>
        <w:rPr>
          <w:noProof/>
        </w:rPr>
      </w:pPr>
      <w:r>
        <w:t>2.</w:t>
      </w:r>
      <w:r>
        <w:tab/>
      </w:r>
      <w:r>
        <w:rPr>
          <w:noProof/>
        </w:rPr>
        <w:t>De specifieke doelstelling van het programma is jongeren, onder wie ook kansarme jongeren, laagdrempelige mogelijkheden te bieden om deel te nemen aan solidariteitsactiviteiten in Europa en daarbuiten, en daarbij hun competenties te verbeteren en naar behoren te valideren en hun inzetbaarheid en de overgang naar de arbeidsmarkt te bevorderen.</w:t>
      </w:r>
    </w:p>
    <w:p>
      <w:pPr>
        <w:pStyle w:val="ManualNumPar1"/>
        <w:rPr>
          <w:noProof/>
        </w:rPr>
      </w:pPr>
      <w:r>
        <w:t>3.</w:t>
      </w:r>
      <w:r>
        <w:tab/>
      </w:r>
      <w:r>
        <w:rPr>
          <w:noProof/>
        </w:rPr>
        <w:t>De doelstellingen van het programma worden gerealiseerd binnen de volgende onderdelen:</w:t>
      </w:r>
    </w:p>
    <w:p>
      <w:pPr>
        <w:pStyle w:val="Point1"/>
        <w:rPr>
          <w:noProof/>
        </w:rPr>
      </w:pPr>
      <w:r>
        <w:rPr>
          <w:noProof/>
        </w:rPr>
        <w:t>a)</w:t>
      </w:r>
      <w:r>
        <w:rPr>
          <w:noProof/>
        </w:rPr>
        <w:tab/>
        <w:t>deelname van jongeren aan solidariteitsactiviteiten om maatschappelijke uitdagingen aan te pakken, zoals bedoeld in artikel 6;</w:t>
      </w:r>
    </w:p>
    <w:p>
      <w:pPr>
        <w:pStyle w:val="Point1"/>
        <w:rPr>
          <w:noProof/>
        </w:rPr>
      </w:pPr>
      <w:r>
        <w:rPr>
          <w:noProof/>
        </w:rPr>
        <w:t>b)</w:t>
      </w:r>
      <w:r>
        <w:rPr>
          <w:noProof/>
        </w:rPr>
        <w:tab/>
        <w:t>deelname van jongeren aan solidariteitsactiviteiten die verband houden met humanitaire hulp (Europees vrijwilligerskorps voor humanitaire hulpverlening), zoals bedoeld in artikel 10.</w:t>
      </w:r>
    </w:p>
    <w:p>
      <w:pPr>
        <w:pStyle w:val="Titrearticle"/>
        <w:spacing w:before="120"/>
        <w:rPr>
          <w:noProof/>
        </w:rPr>
      </w:pPr>
      <w:r>
        <w:rPr>
          <w:noProof/>
        </w:rPr>
        <w:t>HOOFDSTUK II</w:t>
      </w:r>
    </w:p>
    <w:p>
      <w:pPr>
        <w:pStyle w:val="Titrearticle"/>
        <w:spacing w:before="120"/>
        <w:rPr>
          <w:noProof/>
        </w:rPr>
      </w:pPr>
      <w:r>
        <w:rPr>
          <w:noProof/>
        </w:rPr>
        <w:t>ACTIES VAN HET EUROPEES SOLIDARITEITSKORPS</w:t>
      </w:r>
    </w:p>
    <w:p>
      <w:pPr>
        <w:pStyle w:val="Titrearticle"/>
        <w:spacing w:before="120"/>
        <w:rPr>
          <w:noProof/>
        </w:rPr>
      </w:pPr>
      <w:r>
        <w:rPr>
          <w:noProof/>
        </w:rPr>
        <w:t>Artikel 4</w:t>
      </w:r>
    </w:p>
    <w:p>
      <w:pPr>
        <w:pStyle w:val="Titrearticle"/>
        <w:spacing w:before="120"/>
        <w:rPr>
          <w:noProof/>
        </w:rPr>
      </w:pPr>
      <w:r>
        <w:rPr>
          <w:noProof/>
        </w:rPr>
        <w:t>Acties van het Europees Solidariteitskorps</w:t>
      </w:r>
    </w:p>
    <w:p>
      <w:pPr>
        <w:pStyle w:val="ManualNumPar1"/>
        <w:rPr>
          <w:noProof/>
        </w:rPr>
      </w:pPr>
      <w:r>
        <w:t>1.</w:t>
      </w:r>
      <w:r>
        <w:tab/>
      </w:r>
      <w:r>
        <w:rPr>
          <w:noProof/>
        </w:rPr>
        <w:t>Het programma streeft de in artikel 3 vermelde doelstellingen na door middel van de volgende soorten acties:</w:t>
      </w:r>
    </w:p>
    <w:p>
      <w:pPr>
        <w:pStyle w:val="Point1"/>
        <w:rPr>
          <w:noProof/>
        </w:rPr>
      </w:pPr>
      <w:r>
        <w:rPr>
          <w:noProof/>
        </w:rPr>
        <w:t>a)</w:t>
      </w:r>
      <w:r>
        <w:rPr>
          <w:noProof/>
        </w:rPr>
        <w:tab/>
        <w:t>vrijwilligerswerk, als bedoeld in de artikelen 7 en 11;</w:t>
      </w:r>
    </w:p>
    <w:p>
      <w:pPr>
        <w:pStyle w:val="Point1"/>
        <w:rPr>
          <w:noProof/>
        </w:rPr>
      </w:pPr>
      <w:r>
        <w:rPr>
          <w:noProof/>
        </w:rPr>
        <w:t>b)</w:t>
      </w:r>
      <w:r>
        <w:rPr>
          <w:noProof/>
        </w:rPr>
        <w:tab/>
        <w:t>stages en banen, als bedoeld in artikel 8;</w:t>
      </w:r>
    </w:p>
    <w:p>
      <w:pPr>
        <w:pStyle w:val="Point1"/>
        <w:rPr>
          <w:noProof/>
        </w:rPr>
      </w:pPr>
      <w:r>
        <w:rPr>
          <w:noProof/>
        </w:rPr>
        <w:t>c)</w:t>
      </w:r>
      <w:r>
        <w:rPr>
          <w:noProof/>
        </w:rPr>
        <w:tab/>
        <w:t>solidariteitsprojecten, als bedoeld in artikel 9;</w:t>
      </w:r>
    </w:p>
    <w:p>
      <w:pPr>
        <w:pStyle w:val="Point1"/>
        <w:rPr>
          <w:noProof/>
        </w:rPr>
      </w:pPr>
      <w:r>
        <w:rPr>
          <w:noProof/>
        </w:rPr>
        <w:t>d)</w:t>
      </w:r>
      <w:r>
        <w:rPr>
          <w:noProof/>
        </w:rPr>
        <w:tab/>
        <w:t>netwerkactiviteiten, als bedoeld in artikel 5;</w:t>
      </w:r>
    </w:p>
    <w:p>
      <w:pPr>
        <w:pStyle w:val="Point1"/>
        <w:rPr>
          <w:noProof/>
        </w:rPr>
      </w:pPr>
      <w:r>
        <w:rPr>
          <w:noProof/>
        </w:rPr>
        <w:t>e)</w:t>
      </w:r>
      <w:r>
        <w:rPr>
          <w:noProof/>
        </w:rPr>
        <w:tab/>
        <w:t>kwaliteits- en ondersteuningsmaatregelen, als bedoeld in artikel 5.</w:t>
      </w:r>
    </w:p>
    <w:p>
      <w:pPr>
        <w:pStyle w:val="ManualNumPar1"/>
        <w:rPr>
          <w:noProof/>
        </w:rPr>
      </w:pPr>
      <w:r>
        <w:t>2.</w:t>
      </w:r>
      <w:r>
        <w:tab/>
      </w:r>
      <w:r>
        <w:rPr>
          <w:noProof/>
        </w:rPr>
        <w:t>Het programma ondersteunt solidariteitsactiviteiten die een duidelijke Europese meerwaarde hebben, bijvoorbeeld vanwege:</w:t>
      </w:r>
    </w:p>
    <w:p>
      <w:pPr>
        <w:pStyle w:val="Point1"/>
        <w:rPr>
          <w:noProof/>
        </w:rPr>
      </w:pPr>
      <w:r>
        <w:rPr>
          <w:noProof/>
        </w:rPr>
        <w:t>a)</w:t>
      </w:r>
      <w:r>
        <w:rPr>
          <w:noProof/>
        </w:rPr>
        <w:tab/>
        <w:t>hun transnationale karakter, met name wat betreft leermobiliteit en samenwerking;</w:t>
      </w:r>
    </w:p>
    <w:p>
      <w:pPr>
        <w:pStyle w:val="Point1"/>
        <w:rPr>
          <w:noProof/>
        </w:rPr>
      </w:pPr>
      <w:r>
        <w:rPr>
          <w:noProof/>
        </w:rPr>
        <w:t>b)</w:t>
      </w:r>
      <w:r>
        <w:rPr>
          <w:noProof/>
        </w:rPr>
        <w:tab/>
        <w:t>hun potentieel voor complementariteit met andere programma's en beleid op lokaal, regionaal, nationaal en internationaal niveau en op Unie-niveau;</w:t>
      </w:r>
    </w:p>
    <w:p>
      <w:pPr>
        <w:pStyle w:val="Point1"/>
        <w:rPr>
          <w:noProof/>
        </w:rPr>
      </w:pPr>
      <w:r>
        <w:rPr>
          <w:noProof/>
        </w:rPr>
        <w:t>c)</w:t>
      </w:r>
      <w:r>
        <w:rPr>
          <w:noProof/>
        </w:rPr>
        <w:tab/>
        <w:t>de Europese dimensie van hun onderwerpen, doelstellingen, aanpak, verwachte resultaten en andere aspecten van deze solidariteitsactiviteiten;</w:t>
      </w:r>
    </w:p>
    <w:p>
      <w:pPr>
        <w:pStyle w:val="Point1"/>
        <w:rPr>
          <w:noProof/>
        </w:rPr>
      </w:pPr>
      <w:r>
        <w:rPr>
          <w:noProof/>
        </w:rPr>
        <w:t>d)</w:t>
      </w:r>
      <w:r>
        <w:rPr>
          <w:noProof/>
        </w:rPr>
        <w:tab/>
        <w:t>de manier waarop ze jongeren met verschillende achtergronden erbij betrekken;</w:t>
      </w:r>
    </w:p>
    <w:p>
      <w:pPr>
        <w:pStyle w:val="Point1"/>
        <w:rPr>
          <w:noProof/>
        </w:rPr>
      </w:pPr>
      <w:r>
        <w:rPr>
          <w:noProof/>
        </w:rPr>
        <w:t>e)</w:t>
      </w:r>
      <w:r>
        <w:rPr>
          <w:noProof/>
        </w:rPr>
        <w:tab/>
        <w:t>hun bijdrage aan een doeltreffend gebruik van instrumenten van de Unie voor transparantie en erkenning.</w:t>
      </w:r>
    </w:p>
    <w:p>
      <w:pPr>
        <w:pStyle w:val="ManualNumPar1"/>
        <w:rPr>
          <w:noProof/>
        </w:rPr>
      </w:pPr>
      <w:r>
        <w:t>3.</w:t>
      </w:r>
      <w:r>
        <w:tab/>
      </w:r>
      <w:r>
        <w:rPr>
          <w:noProof/>
        </w:rPr>
        <w:t>De solidariteitsactiviteiten zullen worden uitgevoerd overeenkomstig de specifieke voorschriften voor elk type activiteit in het kader van het programma zoals bedoeld in de artikelen 5, 7, 8, 9 en 11, en overeenkomstig de toepasselijke regelgevingskaders in de deelnemende landen.</w:t>
      </w:r>
    </w:p>
    <w:p>
      <w:pPr>
        <w:pStyle w:val="ManualNumPar1"/>
        <w:rPr>
          <w:noProof/>
        </w:rPr>
      </w:pPr>
      <w:r>
        <w:t>4.</w:t>
      </w:r>
      <w:r>
        <w:tab/>
      </w:r>
      <w:r>
        <w:rPr>
          <w:noProof/>
        </w:rPr>
        <w:t>Verwijzingen naar het Europees vrijwilligerswerk in de wetgeving van de Unie hebben ook betrekking op vrijwilligerswerk uit hoofde van Verordening 1288/2013 en van deze verordening.</w:t>
      </w:r>
    </w:p>
    <w:p>
      <w:pPr>
        <w:pStyle w:val="Titrearticle"/>
        <w:spacing w:before="120"/>
        <w:rPr>
          <w:noProof/>
        </w:rPr>
      </w:pPr>
      <w:r>
        <w:rPr>
          <w:noProof/>
        </w:rPr>
        <w:t>Artikel 5</w:t>
      </w:r>
    </w:p>
    <w:p>
      <w:pPr>
        <w:pStyle w:val="Titrearticle"/>
        <w:spacing w:before="120"/>
        <w:rPr>
          <w:noProof/>
        </w:rPr>
      </w:pPr>
      <w:r>
        <w:rPr>
          <w:noProof/>
        </w:rPr>
        <w:t>Acties die gemeenschappelijk zijn aan beide onderdelen</w:t>
      </w:r>
    </w:p>
    <w:p>
      <w:pPr>
        <w:pStyle w:val="ManualNumPar1"/>
        <w:rPr>
          <w:noProof/>
        </w:rPr>
      </w:pPr>
      <w:r>
        <w:t>1.</w:t>
      </w:r>
      <w:r>
        <w:tab/>
      </w:r>
      <w:r>
        <w:rPr>
          <w:noProof/>
        </w:rPr>
        <w:t>Met netwerkactiviteiten als bedoeld in artikel 4, lid 1, onder d), wordt beoogd:</w:t>
      </w:r>
    </w:p>
    <w:p>
      <w:pPr>
        <w:pStyle w:val="Point1"/>
        <w:rPr>
          <w:noProof/>
        </w:rPr>
      </w:pPr>
      <w:r>
        <w:rPr>
          <w:noProof/>
        </w:rPr>
        <w:t>a)</w:t>
      </w:r>
      <w:r>
        <w:rPr>
          <w:noProof/>
        </w:rPr>
        <w:tab/>
        <w:t>de capaciteit van de deelnemende organisaties te versterken om projecten van goede kwaliteit aan te bieden aan een toenemend aantal deelnemers aan het Europees Solidariteitskorps;</w:t>
      </w:r>
    </w:p>
    <w:p>
      <w:pPr>
        <w:pStyle w:val="Point1"/>
        <w:rPr>
          <w:noProof/>
        </w:rPr>
      </w:pPr>
      <w:r>
        <w:rPr>
          <w:noProof/>
        </w:rPr>
        <w:t>b)</w:t>
      </w:r>
      <w:r>
        <w:rPr>
          <w:noProof/>
        </w:rPr>
        <w:tab/>
        <w:t>nieuwkomers aan te trekken, zowel jongeren als deelnemende organisaties;</w:t>
      </w:r>
    </w:p>
    <w:p>
      <w:pPr>
        <w:pStyle w:val="Point1"/>
        <w:rPr>
          <w:noProof/>
        </w:rPr>
      </w:pPr>
      <w:r>
        <w:rPr>
          <w:noProof/>
        </w:rPr>
        <w:t>c)</w:t>
      </w:r>
      <w:r>
        <w:rPr>
          <w:noProof/>
        </w:rPr>
        <w:tab/>
        <w:t>gelegenheid te bieden tot het geven van feedback over solidariteitsactiviteiten; en</w:t>
      </w:r>
    </w:p>
    <w:p>
      <w:pPr>
        <w:pStyle w:val="Point1"/>
        <w:rPr>
          <w:noProof/>
        </w:rPr>
      </w:pPr>
      <w:r>
        <w:rPr>
          <w:noProof/>
        </w:rPr>
        <w:t>d)</w:t>
      </w:r>
      <w:r>
        <w:rPr>
          <w:noProof/>
        </w:rPr>
        <w:tab/>
        <w:t>bij te dragen aan de uitwisseling van ervaringen en de versterking van een gevoel van saamhorigheid onder de personen en entiteiten die deelnemen aan het Europees Solidariteitskorps en daarmee de bredere positieve invloed van het korps te ondersteunen.</w:t>
      </w:r>
    </w:p>
    <w:p>
      <w:pPr>
        <w:pStyle w:val="ManualNumPar1"/>
        <w:rPr>
          <w:noProof/>
        </w:rPr>
      </w:pPr>
      <w:r>
        <w:t>2.</w:t>
      </w:r>
      <w:r>
        <w:tab/>
      </w:r>
      <w:r>
        <w:rPr>
          <w:noProof/>
        </w:rPr>
        <w:t>Onder de kwaliteits- en ondersteuningsmaatregelen als bedoeld in artikel 4, lid 1, onder e), vallen:</w:t>
      </w:r>
    </w:p>
    <w:p>
      <w:pPr>
        <w:pStyle w:val="Point1"/>
        <w:rPr>
          <w:noProof/>
        </w:rPr>
      </w:pPr>
      <w:r>
        <w:rPr>
          <w:noProof/>
        </w:rPr>
        <w:t>a)</w:t>
      </w:r>
      <w:r>
        <w:rPr>
          <w:noProof/>
        </w:rPr>
        <w:tab/>
        <w:t>maatregelen die erop gericht zijn de kwaliteit van vrijwilligerswerk, stages of banen te waarborgen, met inbegrip van opleiding, taalondersteuning, aanvullende verzekering, ondersteuning voorafgaand aan of na de solidariteitsactiviteit, het verdere gebruik van Youthpass waarmee de tijdens de solidariteitsactiviteiten verworven competenties in kaart worden gebracht en worden gedocumenteerd, capaciteitsopbouw en administratieve ondersteuning voor deelnemende organisaties;</w:t>
      </w:r>
    </w:p>
    <w:p>
      <w:pPr>
        <w:pStyle w:val="Point1"/>
        <w:rPr>
          <w:noProof/>
        </w:rPr>
      </w:pPr>
      <w:r>
        <w:rPr>
          <w:noProof/>
        </w:rPr>
        <w:t>b)</w:t>
      </w:r>
      <w:r>
        <w:rPr>
          <w:noProof/>
        </w:rPr>
        <w:tab/>
        <w:t>het ontwikkelen en onderhouden van een kwaliteitskeurmerk voor entiteiten die solidariteitsactiviteiten voor het Europees Solidariteitskorps willen aanbieden;</w:t>
      </w:r>
    </w:p>
    <w:p>
      <w:pPr>
        <w:pStyle w:val="Point1"/>
        <w:rPr>
          <w:noProof/>
        </w:rPr>
      </w:pPr>
      <w:r>
        <w:rPr>
          <w:noProof/>
        </w:rPr>
        <w:t>c)</w:t>
      </w:r>
      <w:r>
        <w:rPr>
          <w:noProof/>
        </w:rPr>
        <w:tab/>
        <w:t>de activiteiten van kenniscentra van het Europees Solidariteitskorps om de kwaliteit van de uitvoering van de acties van het Europees Solidariteitskorps te ondersteunen en te verbeteren en de validatie van de resultaten ervan te versterken;</w:t>
      </w:r>
    </w:p>
    <w:p>
      <w:pPr>
        <w:pStyle w:val="Point1"/>
        <w:rPr>
          <w:noProof/>
        </w:rPr>
      </w:pPr>
      <w:r>
        <w:rPr>
          <w:noProof/>
        </w:rPr>
        <w:t>d)</w:t>
      </w:r>
      <w:r>
        <w:rPr>
          <w:noProof/>
        </w:rPr>
        <w:tab/>
        <w:t>het opzetten, onderhouden en bijwerken van de portaalsite van het Europees Solidariteitskorps en andere relevante onlinediensten, alsook de nodige ondersteunende computersystemen en webinstrumenten.</w:t>
      </w:r>
    </w:p>
    <w:p>
      <w:pPr>
        <w:pStyle w:val="Titrearticle"/>
        <w:spacing w:before="120"/>
        <w:rPr>
          <w:noProof/>
        </w:rPr>
      </w:pPr>
      <w:r>
        <w:rPr>
          <w:noProof/>
        </w:rPr>
        <w:t>HOOFDSTUK III</w:t>
      </w:r>
    </w:p>
    <w:p>
      <w:pPr>
        <w:pStyle w:val="Titrearticle"/>
        <w:spacing w:before="120"/>
        <w:rPr>
          <w:noProof/>
        </w:rPr>
      </w:pPr>
      <w:r>
        <w:rPr>
          <w:noProof/>
        </w:rPr>
        <w:t>DEELNAME VAN JONGEREN AAN SOLIDARITEITSACTIVITEITEN OM MAATSCHAPPELIJKE UITDAGINGEN AAN TE PAKKEN</w:t>
      </w:r>
    </w:p>
    <w:p>
      <w:pPr>
        <w:pStyle w:val="Titrearticle"/>
        <w:spacing w:before="120"/>
        <w:rPr>
          <w:noProof/>
        </w:rPr>
      </w:pPr>
      <w:r>
        <w:rPr>
          <w:noProof/>
        </w:rPr>
        <w:t>Artikel 6</w:t>
      </w:r>
    </w:p>
    <w:p>
      <w:pPr>
        <w:pStyle w:val="Titrearticle"/>
        <w:spacing w:before="120"/>
        <w:rPr>
          <w:noProof/>
        </w:rPr>
      </w:pPr>
      <w:r>
        <w:rPr>
          <w:noProof/>
        </w:rPr>
        <w:t>Doel en soorten acties</w:t>
      </w:r>
    </w:p>
    <w:p>
      <w:pPr>
        <w:pStyle w:val="ManualNumPar1"/>
        <w:rPr>
          <w:noProof/>
        </w:rPr>
      </w:pPr>
      <w:r>
        <w:t>1.</w:t>
      </w:r>
      <w:r>
        <w:tab/>
      </w:r>
      <w:r>
        <w:rPr>
          <w:noProof/>
        </w:rPr>
        <w:t>Acties in het kader van het onderdeel "Deelname van jongeren aan solidariteitsactiviteiten om maatschappelijke uitdagingen aan te pakken" dragen met name bij tot de versterking van de cohesie, solidariteit en democratie in de Unie en daarbuiten en spelen in op maatschappelijke uitdagingen, met speciale aandacht voor het bevorderen van sociale inclusie.</w:t>
      </w:r>
    </w:p>
    <w:p>
      <w:pPr>
        <w:pStyle w:val="ManualNumPar1"/>
        <w:rPr>
          <w:noProof/>
        </w:rPr>
      </w:pPr>
      <w:r>
        <w:t>2.</w:t>
      </w:r>
      <w:r>
        <w:tab/>
      </w:r>
      <w:r>
        <w:rPr>
          <w:noProof/>
        </w:rPr>
        <w:t>Het onderdeel ondersteunt activiteiten zoals bedoeld in artikel 4, lid 1, onder a), b), c), d) en e), op de volgende manieren:</w:t>
      </w:r>
    </w:p>
    <w:p>
      <w:pPr>
        <w:pStyle w:val="Point1"/>
        <w:rPr>
          <w:noProof/>
        </w:rPr>
      </w:pPr>
      <w:bookmarkStart w:id="1" w:name="_Ref513121280"/>
      <w:r>
        <w:rPr>
          <w:noProof/>
        </w:rPr>
        <w:t>a)</w:t>
      </w:r>
      <w:r>
        <w:rPr>
          <w:noProof/>
        </w:rPr>
        <w:tab/>
        <w:t>vrijwilligerswerk, als bedoeld in artikel 7;</w:t>
      </w:r>
      <w:bookmarkEnd w:id="1"/>
    </w:p>
    <w:p>
      <w:pPr>
        <w:pStyle w:val="Point1"/>
        <w:rPr>
          <w:noProof/>
        </w:rPr>
      </w:pPr>
      <w:r>
        <w:rPr>
          <w:noProof/>
        </w:rPr>
        <w:t>b)</w:t>
      </w:r>
      <w:r>
        <w:rPr>
          <w:noProof/>
        </w:rPr>
        <w:tab/>
        <w:t>stages en banen, als bedoeld in artikel 8;</w:t>
      </w:r>
    </w:p>
    <w:p>
      <w:pPr>
        <w:pStyle w:val="Point1"/>
        <w:rPr>
          <w:noProof/>
        </w:rPr>
      </w:pPr>
      <w:r>
        <w:rPr>
          <w:noProof/>
        </w:rPr>
        <w:t>c)</w:t>
      </w:r>
      <w:r>
        <w:rPr>
          <w:noProof/>
        </w:rPr>
        <w:tab/>
        <w:t>solidariteitsprojecten, als bedoeld in artikel 9;</w:t>
      </w:r>
    </w:p>
    <w:p>
      <w:pPr>
        <w:pStyle w:val="Point1"/>
        <w:rPr>
          <w:noProof/>
        </w:rPr>
      </w:pPr>
      <w:r>
        <w:rPr>
          <w:noProof/>
        </w:rPr>
        <w:t>d)</w:t>
      </w:r>
      <w:r>
        <w:rPr>
          <w:noProof/>
        </w:rPr>
        <w:tab/>
        <w:t>netwerkactiviteiten voor personen en organisaties die deelnemen aan dit onderdeel overeenkomstig artikel 5;</w:t>
      </w:r>
    </w:p>
    <w:p>
      <w:pPr>
        <w:pStyle w:val="Point1"/>
        <w:rPr>
          <w:noProof/>
        </w:rPr>
      </w:pPr>
      <w:r>
        <w:rPr>
          <w:noProof/>
        </w:rPr>
        <w:t>e)</w:t>
      </w:r>
      <w:r>
        <w:rPr>
          <w:noProof/>
        </w:rPr>
        <w:tab/>
        <w:t>kwaliteits- en ondersteuningsmaatregelen in overeenstemming met artikel 5.</w:t>
      </w:r>
    </w:p>
    <w:p>
      <w:pPr>
        <w:pStyle w:val="Titrearticle"/>
        <w:spacing w:before="120"/>
        <w:rPr>
          <w:noProof/>
        </w:rPr>
      </w:pPr>
      <w:r>
        <w:rPr>
          <w:noProof/>
        </w:rPr>
        <w:t>Artikel 7</w:t>
      </w:r>
    </w:p>
    <w:p>
      <w:pPr>
        <w:pStyle w:val="Titrearticle"/>
        <w:spacing w:before="120"/>
        <w:rPr>
          <w:noProof/>
        </w:rPr>
      </w:pPr>
      <w:r>
        <w:rPr>
          <w:noProof/>
        </w:rPr>
        <w:t>Vrijwilligerswerk in het kader van solidariteitsactiviteiten</w:t>
      </w:r>
    </w:p>
    <w:p>
      <w:pPr>
        <w:pStyle w:val="ManualNumPar1"/>
        <w:rPr>
          <w:noProof/>
        </w:rPr>
      </w:pPr>
      <w:r>
        <w:t>1.</w:t>
      </w:r>
      <w:r>
        <w:tab/>
      </w:r>
      <w:r>
        <w:rPr>
          <w:noProof/>
        </w:rPr>
        <w:t>Vrijwilligerswerk als bedoeld in artikel 4, lid 1, onder a), omvat een leer- en opleidingscomponent, komt niet in de plaats van stages of banen, mag niet worden gelijkgesteld aan een baan en is gebaseerd op een schriftelijke overeenkomst voor vrijwilligerswerk.</w:t>
      </w:r>
    </w:p>
    <w:p>
      <w:pPr>
        <w:pStyle w:val="ManualNumPar1"/>
        <w:rPr>
          <w:noProof/>
        </w:rPr>
      </w:pPr>
      <w:r>
        <w:t>2.</w:t>
      </w:r>
      <w:r>
        <w:tab/>
      </w:r>
      <w:r>
        <w:rPr>
          <w:noProof/>
        </w:rPr>
        <w:t>Vrijwilligerswerk kan plaatsvinden in een ander land dan het land van verblijf van de deelnemer (grensoverschrijdend) of in het land van verblijf van de deelnemer (in eigen land).</w:t>
      </w:r>
    </w:p>
    <w:p>
      <w:pPr>
        <w:pStyle w:val="Titrearticle"/>
        <w:spacing w:before="120"/>
        <w:rPr>
          <w:noProof/>
        </w:rPr>
      </w:pPr>
      <w:r>
        <w:rPr>
          <w:noProof/>
        </w:rPr>
        <w:t>Artikel 8</w:t>
      </w:r>
    </w:p>
    <w:p>
      <w:pPr>
        <w:pStyle w:val="Titrearticle"/>
        <w:spacing w:before="120"/>
        <w:rPr>
          <w:noProof/>
        </w:rPr>
      </w:pPr>
      <w:r>
        <w:rPr>
          <w:noProof/>
        </w:rPr>
        <w:t>Stages en banen</w:t>
      </w:r>
    </w:p>
    <w:p>
      <w:pPr>
        <w:pStyle w:val="ManualNumPar1"/>
        <w:rPr>
          <w:noProof/>
        </w:rPr>
      </w:pPr>
      <w:r>
        <w:t>1.</w:t>
      </w:r>
      <w:r>
        <w:tab/>
      </w:r>
      <w:r>
        <w:rPr>
          <w:noProof/>
        </w:rPr>
        <w:t>Een stage als bedoeld in artikel 4, lid 1, onder b), is gebaseerd op een schriftelijke stageovereenkomst die, voor zover van toepassing, voldoet aan het toepasselijke regelgevingskader van het land waar de stage plaatsvindt en die de beginselen van het kwaliteitskader voor stages volgt (PB C 2014/88, blz. 1). Stages komen niet in de plaats van banen.</w:t>
      </w:r>
    </w:p>
    <w:p>
      <w:pPr>
        <w:pStyle w:val="ManualNumPar1"/>
        <w:rPr>
          <w:noProof/>
        </w:rPr>
      </w:pPr>
      <w:r>
        <w:t>2.</w:t>
      </w:r>
      <w:r>
        <w:tab/>
      </w:r>
      <w:r>
        <w:rPr>
          <w:noProof/>
        </w:rPr>
        <w:t>Een baan als bedoeld in artikel 4, lid 1, onder b), is gebaseerd op een arbeidsovereenkomst die voldoet aan het nationale regelgevingskader van het deelnemende land waar de baan wordt vervuld. Wanneer de duur van de arbeidsovereenkomst meer dan twaalf maanden bedraagt, bestrijkt de financiële steun aan de deelnemende organisaties die de banen aanbieden niet meer dan twaalf maanden.</w:t>
      </w:r>
    </w:p>
    <w:p>
      <w:pPr>
        <w:pStyle w:val="ManualNumPar1"/>
        <w:rPr>
          <w:noProof/>
        </w:rPr>
      </w:pPr>
      <w:r>
        <w:t>3.</w:t>
      </w:r>
      <w:r>
        <w:tab/>
      </w:r>
      <w:r>
        <w:rPr>
          <w:noProof/>
        </w:rPr>
        <w:t>Stages en banen omvatten een leer- en opleidingscomponent.</w:t>
      </w:r>
    </w:p>
    <w:p>
      <w:pPr>
        <w:pStyle w:val="ManualNumPar1"/>
        <w:rPr>
          <w:noProof/>
        </w:rPr>
      </w:pPr>
      <w:r>
        <w:t>4.</w:t>
      </w:r>
      <w:r>
        <w:tab/>
      </w:r>
      <w:r>
        <w:rPr>
          <w:noProof/>
        </w:rPr>
        <w:t>Stages en banen kunnen plaatsvinden in een ander land dan het land van verblijf van de deelnemer (grensoverschrijdend) of in het land van verblijf van de deelnemer (in eigen land).</w:t>
      </w:r>
    </w:p>
    <w:p>
      <w:pPr>
        <w:pStyle w:val="Titrearticle"/>
        <w:spacing w:before="120"/>
        <w:rPr>
          <w:noProof/>
        </w:rPr>
      </w:pPr>
      <w:r>
        <w:rPr>
          <w:noProof/>
        </w:rPr>
        <w:t>Artikel 9</w:t>
      </w:r>
    </w:p>
    <w:p>
      <w:pPr>
        <w:pStyle w:val="Titrearticle"/>
        <w:spacing w:before="120"/>
        <w:rPr>
          <w:noProof/>
        </w:rPr>
      </w:pPr>
      <w:r>
        <w:rPr>
          <w:noProof/>
        </w:rPr>
        <w:t>Solidariteitsprojecten</w:t>
      </w:r>
    </w:p>
    <w:p>
      <w:pPr>
        <w:rPr>
          <w:noProof/>
        </w:rPr>
      </w:pPr>
      <w:r>
        <w:rPr>
          <w:noProof/>
        </w:rPr>
        <w:t>Een solidariteitsproject als bedoeld in artikel 4, lid 1, onder c), komt niet in de plaats van stages en/of banen.</w:t>
      </w:r>
    </w:p>
    <w:p>
      <w:pPr>
        <w:pStyle w:val="Titrearticle"/>
        <w:spacing w:before="120"/>
        <w:rPr>
          <w:noProof/>
        </w:rPr>
      </w:pPr>
      <w:r>
        <w:rPr>
          <w:noProof/>
        </w:rPr>
        <w:t>HOOFDSTUK IV</w:t>
      </w:r>
    </w:p>
    <w:p>
      <w:pPr>
        <w:pStyle w:val="Titrearticle"/>
        <w:spacing w:before="120"/>
        <w:rPr>
          <w:noProof/>
        </w:rPr>
      </w:pPr>
      <w:r>
        <w:rPr>
          <w:noProof/>
        </w:rPr>
        <w:t>EUROPEES VRIJWILLIGERSKORPS VOOR HUMANITAIRE HULPVERLENING</w:t>
      </w:r>
    </w:p>
    <w:p>
      <w:pPr>
        <w:pStyle w:val="Titrearticle"/>
        <w:spacing w:before="120"/>
        <w:rPr>
          <w:noProof/>
        </w:rPr>
      </w:pPr>
      <w:r>
        <w:rPr>
          <w:noProof/>
        </w:rPr>
        <w:t>Artikel 10</w:t>
      </w:r>
    </w:p>
    <w:p>
      <w:pPr>
        <w:pStyle w:val="Titrearticle"/>
        <w:spacing w:before="120"/>
        <w:rPr>
          <w:noProof/>
        </w:rPr>
      </w:pPr>
      <w:r>
        <w:rPr>
          <w:noProof/>
        </w:rPr>
        <w:t>Doel en soorten acties</w:t>
      </w:r>
    </w:p>
    <w:p>
      <w:pPr>
        <w:pStyle w:val="ManualNumPar1"/>
        <w:rPr>
          <w:noProof/>
        </w:rPr>
      </w:pPr>
      <w:r>
        <w:t>1.</w:t>
      </w:r>
      <w:r>
        <w:tab/>
      </w:r>
      <w:r>
        <w:rPr>
          <w:noProof/>
        </w:rPr>
        <w:t>Acties in het kader van het onderdeel "Europees vrijwilligerskorps voor humanitaire hulpverlening" dragen in het bijzonder bij tot het verstrekken van op behoeften gebaseerde humanitaire hulp die gericht is op het redden van levens, het voorkomen en verlichten van menselijk leed en het behoud van de menselijke waardigheid, en aan de versterking van de capaciteit en de weerbaarheid van kwetsbare of door rampen getroffen gemeenschappen.</w:t>
      </w:r>
    </w:p>
    <w:p>
      <w:pPr>
        <w:pStyle w:val="ManualNumPar1"/>
        <w:rPr>
          <w:noProof/>
        </w:rPr>
      </w:pPr>
      <w:r>
        <w:t>2.</w:t>
      </w:r>
      <w:r>
        <w:tab/>
      </w:r>
      <w:r>
        <w:rPr>
          <w:noProof/>
        </w:rPr>
        <w:t>De acties in het kader van dit hoofdstuk worden uitgevoerd met inachtneming van de fundamentele beginselen van humanitaire hulp: menselijkheid, neutraliteit, onpartijdigheid en onafhankelijkheid.</w:t>
      </w:r>
    </w:p>
    <w:p>
      <w:pPr>
        <w:pStyle w:val="ManualNumPar1"/>
        <w:rPr>
          <w:noProof/>
        </w:rPr>
      </w:pPr>
      <w:r>
        <w:t>3.</w:t>
      </w:r>
      <w:r>
        <w:tab/>
      </w:r>
      <w:r>
        <w:rPr>
          <w:noProof/>
        </w:rPr>
        <w:t>Het onderdeel ondersteunt activiteiten zoals bedoeld in artikel 4, lid 1, onder a), d) en e), op de volgende manieren:</w:t>
      </w:r>
    </w:p>
    <w:p>
      <w:pPr>
        <w:pStyle w:val="Point1"/>
        <w:rPr>
          <w:noProof/>
        </w:rPr>
      </w:pPr>
      <w:r>
        <w:rPr>
          <w:noProof/>
        </w:rPr>
        <w:t>a)</w:t>
      </w:r>
      <w:r>
        <w:rPr>
          <w:noProof/>
        </w:rPr>
        <w:tab/>
        <w:t>vrijwilligerswerk, als bedoeld in artikel 11;</w:t>
      </w:r>
    </w:p>
    <w:p>
      <w:pPr>
        <w:pStyle w:val="Point1"/>
        <w:rPr>
          <w:noProof/>
        </w:rPr>
      </w:pPr>
      <w:r>
        <w:rPr>
          <w:noProof/>
        </w:rPr>
        <w:t>b)</w:t>
      </w:r>
      <w:r>
        <w:rPr>
          <w:noProof/>
        </w:rPr>
        <w:tab/>
        <w:t>netwerkactiviteiten voor personen en organisaties die deelnemen aan dit onderdeel overeenkomstig artikel 5;</w:t>
      </w:r>
    </w:p>
    <w:p>
      <w:pPr>
        <w:pStyle w:val="Point1"/>
        <w:rPr>
          <w:noProof/>
        </w:rPr>
      </w:pPr>
      <w:r>
        <w:rPr>
          <w:noProof/>
        </w:rPr>
        <w:t>c)</w:t>
      </w:r>
      <w:r>
        <w:rPr>
          <w:noProof/>
        </w:rPr>
        <w:tab/>
        <w:t>kwaliteits- en ondersteuningsmaatregelen in overeenstemming met artikel 5, met bijzondere nadruk op maatregelen om de veiligheid en de beveiliging van de deelnemers te waarborgen.</w:t>
      </w:r>
    </w:p>
    <w:p>
      <w:pPr>
        <w:pStyle w:val="Titrearticle"/>
        <w:spacing w:before="120"/>
        <w:rPr>
          <w:i w:val="0"/>
          <w:iCs/>
          <w:noProof/>
          <w:u w:color="0000FF"/>
        </w:rPr>
      </w:pPr>
      <w:r>
        <w:rPr>
          <w:noProof/>
        </w:rPr>
        <w:t>Artikel 11</w:t>
      </w:r>
    </w:p>
    <w:p>
      <w:pPr>
        <w:pStyle w:val="Titrearticle"/>
        <w:spacing w:before="120"/>
        <w:rPr>
          <w:i w:val="0"/>
          <w:iCs/>
          <w:noProof/>
        </w:rPr>
      </w:pPr>
      <w:r>
        <w:rPr>
          <w:noProof/>
        </w:rPr>
        <w:t>Vrijwilligerswerk ter ondersteuning van humanitaire operaties</w:t>
      </w:r>
    </w:p>
    <w:p>
      <w:pPr>
        <w:pStyle w:val="ManualNumPar1"/>
        <w:rPr>
          <w:noProof/>
        </w:rPr>
      </w:pPr>
      <w:r>
        <w:t>1.</w:t>
      </w:r>
      <w:r>
        <w:tab/>
      </w:r>
      <w:r>
        <w:rPr>
          <w:noProof/>
        </w:rPr>
        <w:t>Vrijwilligerswerk ter ondersteuning van humanitaire operaties als bedoeld in artikel 4, lid 1, onder a), omvat een leer- en opleidingscomponent, komt niet in de plaats van stages of banen en is gebaseerd op een schriftelijke overeenkomst voor vrijwilligerswerk.</w:t>
      </w:r>
    </w:p>
    <w:p>
      <w:pPr>
        <w:pStyle w:val="ManualNumPar1"/>
        <w:rPr>
          <w:noProof/>
        </w:rPr>
      </w:pPr>
      <w:r>
        <w:t>2.</w:t>
      </w:r>
      <w:r>
        <w:tab/>
      </w:r>
      <w:r>
        <w:rPr>
          <w:noProof/>
        </w:rPr>
        <w:t>Vrijwilligerswerk in het kader van dit onderdeel mag alleen plaatsvinden in derde landen:</w:t>
      </w:r>
    </w:p>
    <w:p>
      <w:pPr>
        <w:pStyle w:val="Point1"/>
        <w:rPr>
          <w:noProof/>
        </w:rPr>
      </w:pPr>
      <w:r>
        <w:rPr>
          <w:noProof/>
        </w:rPr>
        <w:t>a)</w:t>
      </w:r>
      <w:r>
        <w:rPr>
          <w:noProof/>
        </w:rPr>
        <w:tab/>
        <w:t>waar humanitaire hulpactiviteiten en -operaties plaatsvinden; en</w:t>
      </w:r>
    </w:p>
    <w:p>
      <w:pPr>
        <w:pStyle w:val="Point1"/>
        <w:rPr>
          <w:noProof/>
        </w:rPr>
      </w:pPr>
      <w:r>
        <w:rPr>
          <w:noProof/>
        </w:rPr>
        <w:t>b)</w:t>
      </w:r>
      <w:r>
        <w:rPr>
          <w:noProof/>
        </w:rPr>
        <w:tab/>
        <w:t>waar zich geen internationale of niet-internationale gewapende conflicten afspelen.</w:t>
      </w:r>
    </w:p>
    <w:p>
      <w:pPr>
        <w:pStyle w:val="TitrearticleA"/>
        <w:spacing w:before="120"/>
        <w:rPr>
          <w:rFonts w:cs="Times New Roman"/>
          <w:noProof/>
          <w:color w:val="auto"/>
          <w:u w:color="0000FF"/>
        </w:rPr>
      </w:pPr>
      <w:r>
        <w:rPr>
          <w:noProof/>
          <w:color w:val="auto"/>
        </w:rPr>
        <w:t>HOOFDSTUK V</w:t>
      </w:r>
    </w:p>
    <w:p>
      <w:pPr>
        <w:pStyle w:val="TitrearticleA"/>
        <w:spacing w:before="120"/>
        <w:rPr>
          <w:rFonts w:cs="Times New Roman"/>
          <w:noProof/>
          <w:color w:val="auto"/>
        </w:rPr>
      </w:pPr>
      <w:r>
        <w:rPr>
          <w:noProof/>
          <w:color w:val="auto"/>
        </w:rPr>
        <w:t>FINANCIËLE BEPALINGEN</w:t>
      </w:r>
    </w:p>
    <w:p>
      <w:pPr>
        <w:pStyle w:val="Titrearticle"/>
        <w:spacing w:before="120"/>
        <w:rPr>
          <w:noProof/>
        </w:rPr>
      </w:pPr>
      <w:r>
        <w:rPr>
          <w:noProof/>
        </w:rPr>
        <w:t>Artikel 12</w:t>
      </w:r>
    </w:p>
    <w:p>
      <w:pPr>
        <w:pStyle w:val="TitrearticleA"/>
        <w:spacing w:before="120"/>
        <w:rPr>
          <w:rFonts w:cs="Times New Roman"/>
          <w:noProof/>
          <w:color w:val="auto"/>
        </w:rPr>
      </w:pPr>
      <w:r>
        <w:rPr>
          <w:noProof/>
          <w:color w:val="auto"/>
        </w:rPr>
        <w:t>Begroting</w:t>
      </w:r>
    </w:p>
    <w:p>
      <w:pPr>
        <w:pStyle w:val="ManualNumPar1"/>
        <w:rPr>
          <w:noProof/>
        </w:rPr>
      </w:pPr>
      <w:r>
        <w:t>1.</w:t>
      </w:r>
      <w:r>
        <w:tab/>
      </w:r>
      <w:r>
        <w:rPr>
          <w:noProof/>
        </w:rPr>
        <w:t>De financiële middelen voor de uitvoering van het programma voor de periode 2021-2027 bedragen 1 260 000 000 EUR in lopende prijzen.</w:t>
      </w:r>
    </w:p>
    <w:p>
      <w:pPr>
        <w:pStyle w:val="ManualNumPar1"/>
        <w:rPr>
          <w:noProof/>
        </w:rPr>
      </w:pPr>
      <w:r>
        <w:t>2.</w:t>
      </w:r>
      <w:r>
        <w:tab/>
      </w:r>
      <w:r>
        <w:rPr>
          <w:noProof/>
        </w:rPr>
        <w:t>Het in lid 1 bedoelde bedrag kan worden gebruikt voor technische en administratieve bijstand voor het uitvoeren van het programma, zoals werkzaamheden op het gebied van voorbereiding, monitoring, controle, audit en evaluatie, daaronder begrepen institutionele informatietechnologiesystemen.</w:t>
      </w:r>
    </w:p>
    <w:p>
      <w:pPr>
        <w:pStyle w:val="ManualNumPar1"/>
        <w:rPr>
          <w:noProof/>
        </w:rPr>
      </w:pPr>
      <w:r>
        <w:t>3.</w:t>
      </w:r>
      <w:r>
        <w:tab/>
      </w:r>
      <w:r>
        <w:rPr>
          <w:noProof/>
        </w:rPr>
        <w:t>Onverminderd het Financieel Reglement kunnen uitgaven voor acties die voortvloeien uit projecten die zijn opgenomen in het eerste werkprogramma vanaf 1 januari 2021 in aanmerking komen.</w:t>
      </w:r>
    </w:p>
    <w:p>
      <w:pPr>
        <w:pStyle w:val="ManualNumPar1"/>
        <w:rPr>
          <w:noProof/>
        </w:rPr>
      </w:pPr>
      <w:r>
        <w:t>4.</w:t>
      </w:r>
      <w:r>
        <w:tab/>
      </w:r>
      <w:r>
        <w:rPr>
          <w:noProof/>
        </w:rPr>
        <w:t>Op verzoek van de lidstaten kunnen de aan hen in gedeeld beheer toegewezen middelen worden overgeschreven naar het programma. De Commissie voert die middelen overeenkomstig [artikel 62, lid 1, onder a),] van het Financieel Reglement op directe wijze dan wel overeenkomstig [artikel 62, lid 1, onder c),] van het Financieel Reglement op indirecte wijze uit. Indien mogelijk worden die middelen gebruikt ten voordele van de betrokken lidstaat.</w:t>
      </w:r>
    </w:p>
    <w:p>
      <w:pPr>
        <w:pStyle w:val="Titrearticle"/>
        <w:spacing w:before="120"/>
        <w:rPr>
          <w:noProof/>
        </w:rPr>
      </w:pPr>
      <w:r>
        <w:rPr>
          <w:noProof/>
        </w:rPr>
        <w:t>Artikel 13</w:t>
      </w:r>
    </w:p>
    <w:p>
      <w:pPr>
        <w:pStyle w:val="Titrearticle"/>
        <w:spacing w:before="120"/>
        <w:rPr>
          <w:noProof/>
        </w:rPr>
      </w:pPr>
      <w:r>
        <w:rPr>
          <w:noProof/>
        </w:rPr>
        <w:t>Vormen van EU-financiering en wijzen van uitvoering</w:t>
      </w:r>
    </w:p>
    <w:p>
      <w:pPr>
        <w:pStyle w:val="ManualNumPar1"/>
        <w:rPr>
          <w:noProof/>
        </w:rPr>
      </w:pPr>
      <w:r>
        <w:t>1.</w:t>
      </w:r>
      <w:r>
        <w:tab/>
      </w:r>
      <w:r>
        <w:rPr>
          <w:noProof/>
        </w:rPr>
        <w:t>Het programma wordt op consistente wijze uitgevoerd in direct beheer in overeenstemming met het Financieel Reglement en in indirect beheer met organen als bedoeld in artikel [62, lid 1, onder c),] van het Financieel Reglement.</w:t>
      </w:r>
    </w:p>
    <w:p>
      <w:pPr>
        <w:pStyle w:val="ManualNumPar1"/>
        <w:rPr>
          <w:noProof/>
        </w:rPr>
      </w:pPr>
      <w:r>
        <w:t>2.</w:t>
      </w:r>
      <w:r>
        <w:tab/>
      </w:r>
      <w:r>
        <w:rPr>
          <w:noProof/>
        </w:rPr>
        <w:t>In het kader van het programma kan financiering worden verstrekt in een van de vormen als vastgesteld in het Financieel Reglement, met name subsidies, prijzen en aanbestedingen.</w:t>
      </w:r>
    </w:p>
    <w:p>
      <w:pPr>
        <w:pStyle w:val="ManualNumPar1"/>
        <w:rPr>
          <w:noProof/>
        </w:rPr>
      </w:pPr>
      <w:r>
        <w:t>3.</w:t>
      </w:r>
      <w:r>
        <w:tab/>
      </w:r>
      <w:r>
        <w:rPr>
          <w:noProof/>
        </w:rPr>
        <w:t>Bijdragen aan een systeem voor onderlinge verzekeringen kunnen dienen ter dekking van het risico in verband met de invordering van door begunstigden verschuldigde middelen en worden beschouwd als een toereikende garantie in de zin van het Financieel Reglement. De bepalingen van [artikel X van] Verordening XXX [</w:t>
      </w:r>
      <w:r>
        <w:rPr>
          <w:i/>
          <w:noProof/>
        </w:rPr>
        <w:t>opvolger van de verordening betreffende het Garantiefonds</w:t>
      </w:r>
      <w:r>
        <w:rPr>
          <w:noProof/>
        </w:rPr>
        <w:t>] zijn van toepassing.</w:t>
      </w:r>
    </w:p>
    <w:p>
      <w:pPr>
        <w:pStyle w:val="ManualNumPar1"/>
        <w:rPr>
          <w:noProof/>
        </w:rPr>
      </w:pPr>
      <w:r>
        <w:t>4.</w:t>
      </w:r>
      <w:r>
        <w:tab/>
      </w:r>
      <w:r>
        <w:rPr>
          <w:noProof/>
        </w:rPr>
        <w:t>Voor selecties in het kader van zowel direct als indirect beheer kan het evaluatiecomité bestaan uit externe deskundigen.</w:t>
      </w:r>
    </w:p>
    <w:p>
      <w:pPr>
        <w:pStyle w:val="Titrearticle"/>
        <w:spacing w:before="120"/>
        <w:rPr>
          <w:noProof/>
        </w:rPr>
      </w:pPr>
      <w:r>
        <w:rPr>
          <w:noProof/>
        </w:rPr>
        <w:t>HOOFDSTUK VI</w:t>
      </w:r>
    </w:p>
    <w:p>
      <w:pPr>
        <w:pStyle w:val="Titrearticle"/>
        <w:spacing w:before="120"/>
        <w:rPr>
          <w:noProof/>
        </w:rPr>
      </w:pPr>
      <w:r>
        <w:rPr>
          <w:noProof/>
        </w:rPr>
        <w:t>DEELNAME AAN HET EUROPEES SOLIDARITEITSKORPS</w:t>
      </w:r>
    </w:p>
    <w:p>
      <w:pPr>
        <w:pStyle w:val="Text"/>
        <w:keepNext/>
        <w:jc w:val="center"/>
        <w:rPr>
          <w:i/>
          <w:iCs/>
          <w:noProof/>
          <w:color w:val="auto"/>
        </w:rPr>
      </w:pPr>
      <w:r>
        <w:rPr>
          <w:i/>
          <w:noProof/>
          <w:color w:val="auto"/>
        </w:rPr>
        <w:t>Artikel 14</w:t>
      </w:r>
    </w:p>
    <w:p>
      <w:pPr>
        <w:pStyle w:val="Text"/>
        <w:keepNext/>
        <w:jc w:val="center"/>
        <w:rPr>
          <w:i/>
          <w:iCs/>
          <w:noProof/>
          <w:color w:val="auto"/>
        </w:rPr>
      </w:pPr>
      <w:r>
        <w:rPr>
          <w:i/>
          <w:noProof/>
          <w:color w:val="auto"/>
        </w:rPr>
        <w:t>Deelnemende landen</w:t>
      </w:r>
    </w:p>
    <w:p>
      <w:pPr>
        <w:pStyle w:val="ManualNumPar1"/>
        <w:rPr>
          <w:noProof/>
        </w:rPr>
      </w:pPr>
      <w:r>
        <w:t>1.</w:t>
      </w:r>
      <w:r>
        <w:tab/>
      </w:r>
      <w:r>
        <w:rPr>
          <w:noProof/>
        </w:rPr>
        <w:t>Vrijwilligerswerk, stages, banen, solidariteitsprojecten, netwerkactiviteiten en kwaliteits- en ondersteuningsmaatregelen als bedoeld in de artikelen 5, 7, 8, 9 en 11 staan open voor deelname door de lidstaten en landen en gebieden overzee.</w:t>
      </w:r>
    </w:p>
    <w:p>
      <w:pPr>
        <w:pStyle w:val="ManualNumPar1"/>
        <w:rPr>
          <w:noProof/>
        </w:rPr>
      </w:pPr>
      <w:r>
        <w:t>2.</w:t>
      </w:r>
      <w:r>
        <w:tab/>
      </w:r>
      <w:r>
        <w:rPr>
          <w:noProof/>
        </w:rPr>
        <w:t>Vrijwilligerswerk, netwerkactiviteiten en kwaliteits- en ondersteuningsmaatregelen als bedoeld in de artikelen 5 en 7 staan tevens open voor deelname door:</w:t>
      </w:r>
    </w:p>
    <w:p>
      <w:pPr>
        <w:pStyle w:val="Point1"/>
        <w:rPr>
          <w:noProof/>
        </w:rPr>
      </w:pPr>
      <w:r>
        <w:rPr>
          <w:noProof/>
        </w:rPr>
        <w:t>a)</w:t>
      </w:r>
      <w:r>
        <w:rPr>
          <w:noProof/>
        </w:rPr>
        <w:tab/>
        <w:t>landen van de Europese Vrijhandelsassociatie (EVA) die lid zijn van de Europese Economische Ruimte (EER), in overeenstemming met de in de EER-overeenkomst vastgestelde voorwaarden;</w:t>
      </w:r>
    </w:p>
    <w:p>
      <w:pPr>
        <w:pStyle w:val="Point1"/>
        <w:rPr>
          <w:noProof/>
        </w:rPr>
      </w:pPr>
      <w:r>
        <w:rPr>
          <w:noProof/>
        </w:rPr>
        <w:t>b)</w:t>
      </w:r>
      <w:r>
        <w:rPr>
          <w:noProof/>
        </w:rPr>
        <w:tab/>
        <w:t>toetredingslanden, kandidaten en potentiële kandidaten, in overeenstemming met de algemene beginselen en algemene voorwaarden voor deelname van die landen aan programma's van de Unie zoals vastgesteld in de desbetreffende kaderovereenkomsten en besluiten van de Associatieraad, of in soortgelijke overeenkomsten, alsmede in overeenstemming met de specifieke voorwaarden die zijn vastgesteld in overeenkomsten tussen de Unie en die landen;</w:t>
      </w:r>
    </w:p>
    <w:p>
      <w:pPr>
        <w:pStyle w:val="Point1"/>
        <w:rPr>
          <w:noProof/>
        </w:rPr>
      </w:pPr>
      <w:r>
        <w:rPr>
          <w:noProof/>
        </w:rPr>
        <w:t>c)</w:t>
      </w:r>
      <w:r>
        <w:rPr>
          <w:noProof/>
        </w:rPr>
        <w:tab/>
        <w:t>landen die onder het Europees nabuurschapsbeleid vallen, in overeenstemming met de algemene beginselen en algemene voorwaarden voor deelname van die landen aan programma's van de Unie zoals vastgesteld in de desbetreffende kaderovereenkomsten en besluiten van de Associatieraad, of in soortgelijke overeenkomsten, alsmede in overeenstemming met de specifieke voorwaarden die zijn vastgesteld in overeenkomsten tussen de Unie en die landen;</w:t>
      </w:r>
    </w:p>
    <w:p>
      <w:pPr>
        <w:pStyle w:val="Point1"/>
        <w:rPr>
          <w:noProof/>
        </w:rPr>
      </w:pPr>
      <w:r>
        <w:rPr>
          <w:noProof/>
        </w:rPr>
        <w:t>d)</w:t>
      </w:r>
      <w:r>
        <w:rPr>
          <w:noProof/>
        </w:rPr>
        <w:tab/>
        <w:t>andere derde landen, in overeenstemming met de voorwaarden die zijn vastgesteld in een specifieke overeenkomst betreffende de deelname van het derde land aan programma's van de Unie, op voorwaarde dat de overeenkomst:</w:t>
      </w:r>
    </w:p>
    <w:p>
      <w:pPr>
        <w:pStyle w:val="Tiret2"/>
        <w:numPr>
          <w:ilvl w:val="0"/>
          <w:numId w:val="26"/>
        </w:numPr>
        <w:pBdr>
          <w:top w:val="nil"/>
          <w:left w:val="nil"/>
          <w:bottom w:val="nil"/>
          <w:right w:val="nil"/>
          <w:between w:val="nil"/>
          <w:bar w:val="nil"/>
        </w:pBdr>
        <w:tabs>
          <w:tab w:val="left" w:pos="1984"/>
        </w:tabs>
        <w:rPr>
          <w:noProof/>
        </w:rPr>
      </w:pPr>
      <w:r>
        <w:rPr>
          <w:noProof/>
        </w:rPr>
        <w:t>een billijk evenwicht waarborgt tussen de bijdragen van en de voordelen voor het derde land dat aan programma's van de Unie deelneemt;</w:t>
      </w:r>
    </w:p>
    <w:p>
      <w:pPr>
        <w:pStyle w:val="Tiret2"/>
        <w:numPr>
          <w:ilvl w:val="0"/>
          <w:numId w:val="26"/>
        </w:numPr>
        <w:pBdr>
          <w:top w:val="nil"/>
          <w:left w:val="nil"/>
          <w:bottom w:val="nil"/>
          <w:right w:val="nil"/>
          <w:between w:val="nil"/>
          <w:bar w:val="nil"/>
        </w:pBdr>
        <w:tabs>
          <w:tab w:val="left" w:pos="1984"/>
        </w:tabs>
        <w:rPr>
          <w:noProof/>
        </w:rPr>
      </w:pPr>
      <w:r>
        <w:rPr>
          <w:noProof/>
        </w:rPr>
        <w:t>de voorwaarden voor deelname aan de programma's vaststelt, met inbegrip van de berekening van de financiële bijdragen aan afzonderlijke programma's en de administratieve kosten ervan. Deze bijdragen worden aangemerkt als bestemmingsontvangsten overeenkomstig artikel [21, lid 5,] van het Financieel Reglement;</w:t>
      </w:r>
    </w:p>
    <w:p>
      <w:pPr>
        <w:pStyle w:val="Tiret2"/>
        <w:numPr>
          <w:ilvl w:val="0"/>
          <w:numId w:val="26"/>
        </w:numPr>
        <w:pBdr>
          <w:top w:val="nil"/>
          <w:left w:val="nil"/>
          <w:bottom w:val="nil"/>
          <w:right w:val="nil"/>
          <w:between w:val="nil"/>
          <w:bar w:val="nil"/>
        </w:pBdr>
        <w:tabs>
          <w:tab w:val="left" w:pos="1984"/>
        </w:tabs>
        <w:rPr>
          <w:noProof/>
        </w:rPr>
      </w:pPr>
      <w:r>
        <w:rPr>
          <w:noProof/>
        </w:rPr>
        <w:t>het derde land geen beslissingsbevoegdheid ten aanzien van het programma verleent;</w:t>
      </w:r>
    </w:p>
    <w:p>
      <w:pPr>
        <w:pStyle w:val="Tiret2"/>
        <w:numPr>
          <w:ilvl w:val="0"/>
          <w:numId w:val="26"/>
        </w:numPr>
        <w:pBdr>
          <w:top w:val="nil"/>
          <w:left w:val="nil"/>
          <w:bottom w:val="nil"/>
          <w:right w:val="nil"/>
          <w:between w:val="nil"/>
          <w:bar w:val="nil"/>
        </w:pBdr>
        <w:tabs>
          <w:tab w:val="left" w:pos="1984"/>
        </w:tabs>
        <w:rPr>
          <w:noProof/>
        </w:rPr>
      </w:pPr>
      <w:r>
        <w:rPr>
          <w:noProof/>
        </w:rPr>
        <w:t>de rechten van de Unie om naar een goed financieel beheer te streven en haar financiële belangen te beschermen, waarborgt.</w:t>
      </w:r>
    </w:p>
    <w:p>
      <w:pPr>
        <w:pStyle w:val="ManualNumPar1"/>
        <w:rPr>
          <w:noProof/>
        </w:rPr>
      </w:pPr>
      <w:r>
        <w:t>3.</w:t>
      </w:r>
      <w:r>
        <w:tab/>
      </w:r>
      <w:r>
        <w:rPr>
          <w:noProof/>
        </w:rPr>
        <w:t>De in lid 2 bedoelde landen nemen slechts volledig aan het programma deel voor zover zij voldoen aan alle verplichtingen die deze verordening oplegt aan de lidstaten.</w:t>
      </w:r>
    </w:p>
    <w:p>
      <w:pPr>
        <w:pStyle w:val="ManualNumPar1"/>
        <w:rPr>
          <w:noProof/>
        </w:rPr>
      </w:pPr>
      <w:r>
        <w:t>4.</w:t>
      </w:r>
      <w:r>
        <w:tab/>
      </w:r>
      <w:r>
        <w:rPr>
          <w:noProof/>
        </w:rPr>
        <w:t>Vrijwilligerswerk en netwerkactiviteiten als bedoeld in de artikelen 5 en 7 kunnen openstaan voor deelname van niet met het programma geassocieerde derde landen, met name nabuurschapslanden.</w:t>
      </w:r>
    </w:p>
    <w:p>
      <w:pPr>
        <w:pStyle w:val="Titrearticle"/>
        <w:rPr>
          <w:noProof/>
        </w:rPr>
      </w:pPr>
      <w:r>
        <w:rPr>
          <w:noProof/>
        </w:rPr>
        <w:t>Artikel 15</w:t>
      </w:r>
    </w:p>
    <w:p>
      <w:pPr>
        <w:pStyle w:val="Titrearticle"/>
        <w:spacing w:before="120"/>
        <w:rPr>
          <w:noProof/>
        </w:rPr>
      </w:pPr>
      <w:r>
        <w:rPr>
          <w:noProof/>
        </w:rPr>
        <w:t>Deelname van personen</w:t>
      </w:r>
    </w:p>
    <w:p>
      <w:pPr>
        <w:rPr>
          <w:noProof/>
        </w:rPr>
      </w:pPr>
      <w:r>
        <w:rPr>
          <w:noProof/>
        </w:rPr>
        <w:t>Jongeren tussen 17 en 30 jaar die aan het Europees Solidariteitskorps willen deelnemen, schrijven zich op de portaalsite van het Europees Solidariteitskorps daarvoor in. Op het moment waarop het vrijwilligerswerk, de stage, de baan of het solidariteitsproject begint, moet een jongere echter de leeftijd van 18 jaar hebben bereikt en niet ouder zijn dan 30 jaar.</w:t>
      </w:r>
    </w:p>
    <w:p>
      <w:pPr>
        <w:pStyle w:val="Titrearticle"/>
        <w:spacing w:before="120"/>
        <w:rPr>
          <w:i w:val="0"/>
          <w:iCs/>
          <w:noProof/>
          <w:u w:color="0000FF"/>
        </w:rPr>
      </w:pPr>
      <w:r>
        <w:rPr>
          <w:noProof/>
        </w:rPr>
        <w:t>Artikel 16</w:t>
      </w:r>
    </w:p>
    <w:p>
      <w:pPr>
        <w:pStyle w:val="Titrearticle"/>
        <w:spacing w:before="120"/>
        <w:rPr>
          <w:noProof/>
        </w:rPr>
      </w:pPr>
      <w:r>
        <w:rPr>
          <w:noProof/>
        </w:rPr>
        <w:t>Deelnemende organisaties</w:t>
      </w:r>
    </w:p>
    <w:p>
      <w:pPr>
        <w:pStyle w:val="ManualNumPar1"/>
        <w:rPr>
          <w:noProof/>
        </w:rPr>
      </w:pPr>
      <w:r>
        <w:t>1.</w:t>
      </w:r>
      <w:r>
        <w:tab/>
      </w:r>
      <w:r>
        <w:rPr>
          <w:noProof/>
        </w:rPr>
        <w:t>Het Europees Solidariteitskorps staat open voor deelname van publieke en private entiteiten en internationale organisaties, op voorwaarde dat zij een kwaliteitskeurmerk van het Europees Solidariteitskorps hebben ontvangen.</w:t>
      </w:r>
    </w:p>
    <w:p>
      <w:pPr>
        <w:pStyle w:val="ManualNumPar1"/>
        <w:rPr>
          <w:noProof/>
        </w:rPr>
      </w:pPr>
      <w:r>
        <w:t>2.</w:t>
      </w:r>
      <w:r>
        <w:tab/>
      </w:r>
      <w:r>
        <w:rPr>
          <w:noProof/>
        </w:rPr>
        <w:t>Een aanvraag van een entiteit voor deelname aan het Europees Solidariteitskorps wordt door de bevoegde uitvoerende instantie van het Europees Solidariteitskorps beoordeeld op basis van de beginselen van gelijke behandeling; gelijke kansen en non-discriminatie; vermijding van vervanging van werkgelegenheid; verstrekking van kwalitatief hoogwaardige activiteiten met een leerdimensie die gericht is op persoonlijke, sociaal-educatieve en professionele ontwikkeling; passende regelingen voor opleiding, werk en vrijwilligerswerk; veilige en geschikte omgevingsvoorwaarden en omstandigheden; en het winstverbod in overeenstemming met het Financieel Reglement. Op grond van de genoemde beginselen wordt duidelijk of haar activiteiten aan de vereisten van het Europees Solidariteitskorps voldoen.</w:t>
      </w:r>
    </w:p>
    <w:p>
      <w:pPr>
        <w:pStyle w:val="ManualNumPar1"/>
        <w:rPr>
          <w:noProof/>
        </w:rPr>
      </w:pPr>
      <w:r>
        <w:t>3.</w:t>
      </w:r>
      <w:r>
        <w:tab/>
      </w:r>
      <w:r>
        <w:rPr>
          <w:noProof/>
        </w:rPr>
        <w:t>Op grond van die beoordeling kan het kwaliteitskeurmerk van het Europees Solidariteitskorps aan de entiteit worden toegekend. Het toegekende kwaliteitskeurmerk wordt op gezette tijden opnieuw beoordeeld en kan worden ingetrokken.</w:t>
      </w:r>
    </w:p>
    <w:p>
      <w:pPr>
        <w:pStyle w:val="ManualNumPar1"/>
        <w:rPr>
          <w:noProof/>
        </w:rPr>
      </w:pPr>
      <w:r>
        <w:t>4.</w:t>
      </w:r>
      <w:r>
        <w:tab/>
      </w:r>
      <w:r>
        <w:rPr>
          <w:noProof/>
        </w:rPr>
        <w:t>Elke entiteit die het kwaliteitskeurmerk van het Europees Solidariteitskorps heeft ontvangen, krijgt in de rol van gastheer of in een ondersteunende functie (of beide) toegang tot de portaalsite van het Europees Solidariteitskorps en kan solidariteitsactiviteiten aanbieden aan ingeschreven kandidaten.</w:t>
      </w:r>
    </w:p>
    <w:p>
      <w:pPr>
        <w:pStyle w:val="ManualNumPar1"/>
        <w:rPr>
          <w:noProof/>
        </w:rPr>
      </w:pPr>
      <w:r>
        <w:t>5.</w:t>
      </w:r>
      <w:r>
        <w:tab/>
      </w:r>
      <w:r>
        <w:rPr>
          <w:noProof/>
        </w:rPr>
        <w:t>Het kwaliteitskeurmerk van het Europees Solidariteitskorps leidt niet automatisch tot financiering uit hoofde van het Europees Solidariteitskorps.</w:t>
      </w:r>
    </w:p>
    <w:p>
      <w:pPr>
        <w:pStyle w:val="ManualNumPar1"/>
        <w:rPr>
          <w:noProof/>
        </w:rPr>
      </w:pPr>
      <w:r>
        <w:t>6.</w:t>
      </w:r>
      <w:r>
        <w:tab/>
      </w:r>
      <w:r>
        <w:rPr>
          <w:noProof/>
        </w:rPr>
        <w:t>De solidariteitsactiviteiten en daarmee gepaard gaande kwaliteits- en ondersteuningsmaatregelen die door een deelnemende organisatie worden aangeboden, kunnen in aanmerking komen voor subsidies uit hoofde van het Europees Solidariteitskorps of uit andere financieringsbronnen die losstaan van de begroting van de Unie.</w:t>
      </w:r>
    </w:p>
    <w:p>
      <w:pPr>
        <w:pStyle w:val="ManualNumPar1"/>
        <w:rPr>
          <w:noProof/>
        </w:rPr>
      </w:pPr>
      <w:r>
        <w:t>7.</w:t>
      </w:r>
      <w:r>
        <w:tab/>
      </w:r>
      <w:r>
        <w:rPr>
          <w:noProof/>
        </w:rPr>
        <w:t>Voor organisaties die in het kader van activiteiten als bedoeld in artikel 11 deelnemen, zijn de veiligheid en beveiliging van de vrijwilligers een prioriteit.</w:t>
      </w:r>
    </w:p>
    <w:p>
      <w:pPr>
        <w:pStyle w:val="Titrearticle"/>
        <w:spacing w:before="120"/>
        <w:rPr>
          <w:noProof/>
        </w:rPr>
      </w:pPr>
      <w:r>
        <w:rPr>
          <w:noProof/>
        </w:rPr>
        <w:t>Artikel 17</w:t>
      </w:r>
    </w:p>
    <w:p>
      <w:pPr>
        <w:pStyle w:val="Titrearticle"/>
        <w:spacing w:before="120"/>
        <w:rPr>
          <w:noProof/>
        </w:rPr>
      </w:pPr>
      <w:r>
        <w:rPr>
          <w:noProof/>
        </w:rPr>
        <w:t>Toegang tot financiering door het Europees Solidariteitskorps</w:t>
      </w:r>
    </w:p>
    <w:p>
      <w:pPr>
        <w:rPr>
          <w:noProof/>
        </w:rPr>
      </w:pPr>
      <w:r>
        <w:rPr>
          <w:noProof/>
        </w:rPr>
        <w:t>Publieke of private entiteiten die zijn gevestigd in een deelnemend land en internationale organisaties kunnen een aanvraag indienen voor financiering uit hoofde van het Europees Solidariteitskorps. In het geval van activiteiten als bedoeld in de artikelen 7, 8 en 11 moet de deelnemende organisatie eerst het kwaliteitskeurmerk behalen voor zij financiering uit hoofde van het Europees Solidariteitskorps kan verkrijgen. In het geval van solidariteitsprojecten als bedoeld in artikel 9 kunnen ook natuurlijke personen een aanvraag voor financiering indienen namens informele groepen van deelnemers aan het Europees Solidariteitskorps.</w:t>
      </w:r>
    </w:p>
    <w:p>
      <w:pPr>
        <w:pStyle w:val="Titrearticle"/>
        <w:spacing w:before="120"/>
        <w:rPr>
          <w:noProof/>
        </w:rPr>
      </w:pPr>
      <w:r>
        <w:rPr>
          <w:noProof/>
        </w:rPr>
        <w:t>HOOFDSTUK VII</w:t>
      </w:r>
    </w:p>
    <w:p>
      <w:pPr>
        <w:pStyle w:val="Titrearticle"/>
        <w:spacing w:before="120"/>
        <w:rPr>
          <w:noProof/>
        </w:rPr>
      </w:pPr>
      <w:r>
        <w:rPr>
          <w:noProof/>
        </w:rPr>
        <w:t>PROGRAMMERING, MONITORING EN EVALUATIE</w:t>
      </w:r>
    </w:p>
    <w:p>
      <w:pPr>
        <w:pStyle w:val="Titrearticle"/>
        <w:spacing w:before="120"/>
        <w:rPr>
          <w:noProof/>
        </w:rPr>
      </w:pPr>
      <w:r>
        <w:rPr>
          <w:noProof/>
        </w:rPr>
        <w:t>Artikel 18</w:t>
      </w:r>
    </w:p>
    <w:p>
      <w:pPr>
        <w:pStyle w:val="Titrearticle"/>
        <w:spacing w:before="120"/>
        <w:rPr>
          <w:iCs/>
          <w:noProof/>
          <w:u w:color="008000"/>
        </w:rPr>
      </w:pPr>
      <w:r>
        <w:rPr>
          <w:noProof/>
        </w:rPr>
        <w:t>Werkprogramma</w:t>
      </w:r>
    </w:p>
    <w:p>
      <w:pPr>
        <w:rPr>
          <w:noProof/>
        </w:rPr>
      </w:pPr>
      <w:r>
        <w:rPr>
          <w:noProof/>
        </w:rPr>
        <w:t>Het programma wordt uitgevoerd door middel van werkprogramma's als bedoeld in [artikel 110] van het Financieel Reglement. Bovendien bevat het werkprogramma een indicatie van het voor elke actie toegewezen bedrag en van de verdeling van de middelen tussen de lidstaten en met het programma geassocieerde derde landen voor de acties die worden beheerd door het nationale agentschap. Het werkprogramma wordt door de Commissie vastgesteld door middel van een uitvoeringshandeling. De desbetreffende uitvoeringshandelingen worden vastgesteld volgens de in artikel 30 bedoelde onderzoeksprocedure.</w:t>
      </w:r>
    </w:p>
    <w:p>
      <w:pPr>
        <w:pStyle w:val="Titrearticle"/>
        <w:rPr>
          <w:noProof/>
        </w:rPr>
      </w:pPr>
      <w:r>
        <w:rPr>
          <w:noProof/>
        </w:rPr>
        <w:t>Artikel 19</w:t>
      </w:r>
    </w:p>
    <w:p>
      <w:pPr>
        <w:pStyle w:val="Titrearticle"/>
        <w:spacing w:before="120"/>
        <w:rPr>
          <w:noProof/>
        </w:rPr>
      </w:pPr>
      <w:r>
        <w:rPr>
          <w:noProof/>
        </w:rPr>
        <w:t>Monitoring en verslaglegging</w:t>
      </w:r>
    </w:p>
    <w:p>
      <w:pPr>
        <w:pStyle w:val="ManualNumPar1"/>
        <w:rPr>
          <w:noProof/>
        </w:rPr>
      </w:pPr>
      <w:r>
        <w:t>1.</w:t>
      </w:r>
      <w:r>
        <w:tab/>
      </w:r>
      <w:r>
        <w:rPr>
          <w:noProof/>
        </w:rPr>
        <w:t>Indicatoren om verslag uit te brengen over de door het programma geboekte vooruitgang bij het verwezenlijken van de in artikel 3 vermelde algemene en specifieke doelstellingen zijn vastgesteld in de bijlage.</w:t>
      </w:r>
    </w:p>
    <w:p>
      <w:pPr>
        <w:pStyle w:val="ManualNumPar1"/>
        <w:rPr>
          <w:noProof/>
        </w:rPr>
      </w:pPr>
      <w:r>
        <w:t>2.</w:t>
      </w:r>
      <w:r>
        <w:tab/>
      </w:r>
      <w:r>
        <w:rPr>
          <w:noProof/>
        </w:rPr>
        <w:t>Om een doeltreffende beoordeling van de verwezenlijking van de doelstellingen van het programma te waarborgen, is de Commissie bevoegd om overeenkomstig artikel 29 gedelegeerde handelingen vast te stellen tot wijziging van de bijlage om indien nodig de indicatoren te herzien of aan te vullen, en tot aanvulling van deze verordening met bepalingen inzake de vaststelling van een kader voor monitoring en evaluatie.</w:t>
      </w:r>
    </w:p>
    <w:p>
      <w:pPr>
        <w:pStyle w:val="ManualNumPar1"/>
        <w:rPr>
          <w:noProof/>
        </w:rPr>
      </w:pPr>
      <w:r>
        <w:t>3.</w:t>
      </w:r>
      <w:r>
        <w:tab/>
      </w:r>
      <w:r>
        <w:rPr>
          <w:noProof/>
        </w:rPr>
        <w:t>Het prestatieverslagleggingssysteem waarborgt dat de gegevens voor het monitoren van de uitvoering en de evaluatie van het programma op efficiënte en doeltreffende wijze en tijdig en voldoende gedetailleerd worden verzameld door begunstigden van middelen van de Unie in de zin van artikel [2, lid 5,] van het Financieel Reglement. Daartoe worden evenredige verslagleggingsvereisten opgelegd aan de ontvangers van middelen van de Unie en aan de lidstaten.</w:t>
      </w:r>
    </w:p>
    <w:p>
      <w:pPr>
        <w:pStyle w:val="Titrearticle"/>
        <w:spacing w:before="120"/>
        <w:rPr>
          <w:noProof/>
        </w:rPr>
      </w:pPr>
      <w:r>
        <w:rPr>
          <w:noProof/>
        </w:rPr>
        <w:t>Artikel 20</w:t>
      </w:r>
    </w:p>
    <w:p>
      <w:pPr>
        <w:pStyle w:val="Titrearticle"/>
        <w:spacing w:before="120"/>
        <w:rPr>
          <w:noProof/>
        </w:rPr>
      </w:pPr>
      <w:r>
        <w:rPr>
          <w:noProof/>
        </w:rPr>
        <w:t>Evaluatie</w:t>
      </w:r>
    </w:p>
    <w:p>
      <w:pPr>
        <w:pStyle w:val="ManualNumPar1"/>
        <w:rPr>
          <w:noProof/>
        </w:rPr>
      </w:pPr>
      <w:r>
        <w:t>1.</w:t>
      </w:r>
      <w:r>
        <w:tab/>
      </w:r>
      <w:r>
        <w:rPr>
          <w:noProof/>
        </w:rPr>
        <w:t>Evaluaties worden tijdig uitgevoerd zodat zij in de besluitvorming kunnen worden meegenomen.</w:t>
      </w:r>
    </w:p>
    <w:p>
      <w:pPr>
        <w:pStyle w:val="ManualNumPar1"/>
        <w:rPr>
          <w:noProof/>
        </w:rPr>
      </w:pPr>
      <w:r>
        <w:t>2.</w:t>
      </w:r>
      <w:r>
        <w:tab/>
      </w:r>
      <w:r>
        <w:rPr>
          <w:noProof/>
        </w:rPr>
        <w:t>De tussentijdse evaluatie van het programma wordt uitgevoerd zodra voldoende informatie over de uitvoering van het programma beschikbaar is, doch uiterlijk vier jaar nadat met de uitvoering van het programma is begonnen. Deze gaat vergezeld van een eindevaluatie van het vorige programma.</w:t>
      </w:r>
    </w:p>
    <w:p>
      <w:pPr>
        <w:pStyle w:val="ManualNumPar1"/>
        <w:rPr>
          <w:noProof/>
        </w:rPr>
      </w:pPr>
      <w:r>
        <w:t>3.</w:t>
      </w:r>
      <w:r>
        <w:tab/>
      </w:r>
      <w:r>
        <w:rPr>
          <w:noProof/>
        </w:rPr>
        <w:t>Onverminderd de vereisten van hoofdstuk IX en de in artikel 23 bedoelde verplichtingen van de nationale agentschappen, wordt door de lidstaten uiterlijk op 30 april 2024 bij de Commissie een verslag ingediend over de uitvoering en de impact van het programma op hun respectieve grondgebied.</w:t>
      </w:r>
    </w:p>
    <w:p>
      <w:pPr>
        <w:pStyle w:val="ManualNumPar1"/>
        <w:rPr>
          <w:noProof/>
        </w:rPr>
      </w:pPr>
      <w:r>
        <w:t>4.</w:t>
      </w:r>
      <w:r>
        <w:tab/>
      </w:r>
      <w:r>
        <w:rPr>
          <w:noProof/>
        </w:rPr>
        <w:t>Aan het einde van de uitvoering van het programma, doch uiterlijk vier jaar na afloop van de in artikel 1 genoemde periode, voert de Commissie een eindevaluatie van het programma uit.</w:t>
      </w:r>
    </w:p>
    <w:p>
      <w:pPr>
        <w:pStyle w:val="ManualNumPar1"/>
        <w:rPr>
          <w:noProof/>
        </w:rPr>
      </w:pPr>
      <w:r>
        <w:t>5.</w:t>
      </w:r>
      <w:r>
        <w:tab/>
      </w:r>
      <w:r>
        <w:rPr>
          <w:noProof/>
        </w:rPr>
        <w:t>De Commissie deelt de conclusies van de evaluaties tezamen met haar opmerkingen mee aan het Europees Parlement, de Raad, het Europees Economisch en Sociaal Comité en het Comité van de Regio's.</w:t>
      </w:r>
    </w:p>
    <w:p>
      <w:pPr>
        <w:pStyle w:val="Titrearticle"/>
        <w:spacing w:before="120"/>
        <w:rPr>
          <w:noProof/>
        </w:rPr>
      </w:pPr>
      <w:r>
        <w:rPr>
          <w:noProof/>
        </w:rPr>
        <w:t>HOOFDSTUK VIII</w:t>
      </w:r>
    </w:p>
    <w:p>
      <w:pPr>
        <w:pStyle w:val="Titrearticle"/>
        <w:spacing w:before="120"/>
        <w:rPr>
          <w:noProof/>
        </w:rPr>
      </w:pPr>
      <w:r>
        <w:rPr>
          <w:noProof/>
        </w:rPr>
        <w:t>INFORMATIE, COMMUNICATIE EN VERSPREIDING</w:t>
      </w:r>
    </w:p>
    <w:p>
      <w:pPr>
        <w:pStyle w:val="Titrearticle"/>
        <w:spacing w:before="120"/>
        <w:rPr>
          <w:noProof/>
        </w:rPr>
      </w:pPr>
      <w:r>
        <w:rPr>
          <w:noProof/>
        </w:rPr>
        <w:t>Artikel 21</w:t>
      </w:r>
    </w:p>
    <w:p>
      <w:pPr>
        <w:pStyle w:val="Titrearticle"/>
        <w:spacing w:before="120"/>
        <w:rPr>
          <w:noProof/>
        </w:rPr>
      </w:pPr>
      <w:r>
        <w:rPr>
          <w:noProof/>
        </w:rPr>
        <w:t>Informatie, communicatie en verspreiding</w:t>
      </w:r>
    </w:p>
    <w:p>
      <w:pPr>
        <w:pStyle w:val="ManualNumPar1"/>
        <w:rPr>
          <w:noProof/>
        </w:rPr>
      </w:pPr>
      <w:r>
        <w:t>1.</w:t>
      </w:r>
      <w:r>
        <w:tab/>
      </w:r>
      <w:r>
        <w:rPr>
          <w:noProof/>
        </w:rPr>
        <w:t>De ontvangers van financiering van de Unie erkennen de oorsprong van en geven zichtbaarheid aan de financiering van de Unie (met name wanneer zij bekendheid geven aan de acties en de resultaten ervan) door meerdere doelgroepen, waaronder de media en het grote publiek, doelgericht en op samenhangende, doeltreffende en evenredige wijze te informeren.</w:t>
      </w:r>
    </w:p>
    <w:p>
      <w:pPr>
        <w:pStyle w:val="ManualNumPar1"/>
        <w:rPr>
          <w:noProof/>
        </w:rPr>
      </w:pPr>
      <w:r>
        <w:t>2.</w:t>
      </w:r>
      <w:r>
        <w:tab/>
      </w:r>
      <w:r>
        <w:rPr>
          <w:noProof/>
        </w:rPr>
        <w:t>De Commissie voert informatie- en communicatieacties uit met betrekking tot het programma, de acties en de resultaten ervan. De aan het programma toegewezen financiële middelen dragen tevens bij aan de institutionele communicatie over de politieke prioriteiten van de Unie, voor zover zij verband houden met de in artikel 3 bedoelde doelstellingen.</w:t>
      </w:r>
    </w:p>
    <w:p>
      <w:pPr>
        <w:pStyle w:val="ManualNumPar1"/>
        <w:rPr>
          <w:noProof/>
        </w:rPr>
      </w:pPr>
      <w:r>
        <w:t>3.</w:t>
      </w:r>
      <w:r>
        <w:tab/>
      </w:r>
      <w:r>
        <w:rPr>
          <w:noProof/>
        </w:rPr>
        <w:t>De in artikel 23 bedoelde nationale agentschappen ontwikkelen een consistente strategie voor een doeltreffende outreach en voor de verspreiding en benutting van de resultaten van activiteiten die worden gesteund in verband met de door hen in het kader van het programma beheerde acties, staan de Commissie bij in de uitvoering van haar algemene taak van voorlichting over het programma, met inbegrip van informatie over de op nationaal en Unieniveau beheerde acties en activiteiten en de resultaten ervan, en informeren relevante doelgroepen over de acties die in hun land zijn ondernomen.</w:t>
      </w:r>
    </w:p>
    <w:p>
      <w:pPr>
        <w:pStyle w:val="Titrearticle"/>
        <w:spacing w:before="120"/>
        <w:rPr>
          <w:noProof/>
        </w:rPr>
      </w:pPr>
      <w:r>
        <w:rPr>
          <w:noProof/>
        </w:rPr>
        <w:t>HOOFDSTUK IX</w:t>
      </w:r>
    </w:p>
    <w:p>
      <w:pPr>
        <w:pStyle w:val="Titrearticle"/>
        <w:spacing w:before="120"/>
        <w:rPr>
          <w:noProof/>
        </w:rPr>
      </w:pPr>
      <w:r>
        <w:rPr>
          <w:noProof/>
        </w:rPr>
        <w:t>BEHEERS- EN AUDITSYSTEEM</w:t>
      </w:r>
    </w:p>
    <w:p>
      <w:pPr>
        <w:pStyle w:val="Titrearticle"/>
        <w:spacing w:before="120"/>
        <w:rPr>
          <w:noProof/>
        </w:rPr>
      </w:pPr>
      <w:r>
        <w:rPr>
          <w:noProof/>
        </w:rPr>
        <w:t>Artikel 22</w:t>
      </w:r>
    </w:p>
    <w:p>
      <w:pPr>
        <w:pStyle w:val="Titrearticle"/>
        <w:spacing w:before="120"/>
        <w:rPr>
          <w:noProof/>
        </w:rPr>
      </w:pPr>
      <w:r>
        <w:rPr>
          <w:noProof/>
        </w:rPr>
        <w:t>Nationale autoriteit</w:t>
      </w:r>
    </w:p>
    <w:p>
      <w:pPr>
        <w:rPr>
          <w:noProof/>
        </w:rPr>
      </w:pPr>
      <w:r>
        <w:rPr>
          <w:noProof/>
        </w:rPr>
        <w:t>In elk land dat deelneemt aan het Europees Solidariteitskorps treden de nationale autoriteiten die zijn aangewezen voor het beheer van de acties als bedoeld in hoofdstuk III van [nieuwe Erasmusverordening] ook op als nationale autoriteiten in het kader van het Europees Solidariteitskorps. Artikel 23, leden 1, 2, 6, 7, 9, 10, 11, 12, 13 en 14, van [nieuwe Erasmusverordening] is naar analogie van toepassing op het Europees Solidariteitskorps.</w:t>
      </w:r>
    </w:p>
    <w:p>
      <w:pPr>
        <w:pStyle w:val="Titrearticle"/>
        <w:spacing w:before="120"/>
        <w:rPr>
          <w:noProof/>
        </w:rPr>
      </w:pPr>
      <w:r>
        <w:rPr>
          <w:noProof/>
        </w:rPr>
        <w:t>Artikel 23</w:t>
      </w:r>
    </w:p>
    <w:p>
      <w:pPr>
        <w:pStyle w:val="Titrearticle"/>
        <w:spacing w:before="120"/>
        <w:rPr>
          <w:noProof/>
        </w:rPr>
      </w:pPr>
      <w:r>
        <w:rPr>
          <w:noProof/>
        </w:rPr>
        <w:t>Nationaal agentschap</w:t>
      </w:r>
    </w:p>
    <w:p>
      <w:pPr>
        <w:pStyle w:val="ManualNumPar1"/>
        <w:rPr>
          <w:noProof/>
        </w:rPr>
      </w:pPr>
      <w:r>
        <w:t>1.</w:t>
      </w:r>
      <w:r>
        <w:tab/>
      </w:r>
      <w:r>
        <w:rPr>
          <w:noProof/>
        </w:rPr>
        <w:t>In elk land dat deelneemt aan het Europees Solidariteitskorps treden de nationale agentschappen die zijn aangewezen voor het beheer van de acties als bedoeld in hoofdstuk III van [nieuwe Erasmusverordening] in hun respectieve landen ook op als nationale agentschappen in het kader van het Europees Solidariteitskorps.</w:t>
      </w:r>
    </w:p>
    <w:p>
      <w:pPr>
        <w:pStyle w:val="Text1"/>
        <w:rPr>
          <w:noProof/>
        </w:rPr>
      </w:pPr>
      <w:r>
        <w:rPr>
          <w:noProof/>
        </w:rPr>
        <w:t>Artikel 24, leden 1, 2, 3, 4, 5 en 6, van [nieuwe Erasmusverordening] is naar analogie van toepassing op het Europees Solidariteitskorps.</w:t>
      </w:r>
    </w:p>
    <w:p>
      <w:pPr>
        <w:pStyle w:val="ManualNumPar1"/>
        <w:rPr>
          <w:noProof/>
        </w:rPr>
      </w:pPr>
      <w:r>
        <w:t>2.</w:t>
      </w:r>
      <w:r>
        <w:tab/>
      </w:r>
      <w:r>
        <w:rPr>
          <w:noProof/>
        </w:rPr>
        <w:t>Onverminderd artikel 24, lid 2, van [nieuwe Erasmusverordening] is het nationale agentschap, overeenkomstig artikel [62, lid 1, onder c), v) en vi),] van het Financieel Reglement ook verantwoordelijk voor alle fasen van de projectcyclus van de acties in het kader van het Europees Solidariteitskorps die zijn opgenomen in de in artikel 18 bedoelde uitvoeringshandelingen.</w:t>
      </w:r>
    </w:p>
    <w:p>
      <w:pPr>
        <w:pStyle w:val="ManualNumPar1"/>
        <w:rPr>
          <w:noProof/>
        </w:rPr>
      </w:pPr>
      <w:r>
        <w:t>3.</w:t>
      </w:r>
      <w:r>
        <w:tab/>
      </w:r>
      <w:r>
        <w:rPr>
          <w:noProof/>
        </w:rPr>
        <w:t>Voor landen zoals bedoeld in artikel 14, lid 2, van deze verordening waarvoor geen nationaal agentschap is aangewezen, wordt dit vastgesteld overeenkomstig artikel 24, leden 1, 3, 4, 5 en 6, van [nieuwe Erasmusverordening].</w:t>
      </w:r>
    </w:p>
    <w:p>
      <w:pPr>
        <w:pStyle w:val="Titrearticle"/>
        <w:spacing w:before="120"/>
        <w:rPr>
          <w:noProof/>
        </w:rPr>
      </w:pPr>
      <w:r>
        <w:rPr>
          <w:noProof/>
        </w:rPr>
        <w:t>Artikel 24</w:t>
      </w:r>
    </w:p>
    <w:p>
      <w:pPr>
        <w:pStyle w:val="Titrearticle"/>
        <w:spacing w:before="120"/>
        <w:rPr>
          <w:noProof/>
        </w:rPr>
      </w:pPr>
      <w:r>
        <w:rPr>
          <w:noProof/>
        </w:rPr>
        <w:t>Europese Commissie</w:t>
      </w:r>
    </w:p>
    <w:p>
      <w:pPr>
        <w:pStyle w:val="ManualNumPar1"/>
        <w:rPr>
          <w:noProof/>
        </w:rPr>
      </w:pPr>
      <w:r>
        <w:t>1.</w:t>
      </w:r>
      <w:r>
        <w:tab/>
      </w:r>
      <w:r>
        <w:rPr>
          <w:noProof/>
        </w:rPr>
        <w:t>De regels die van toepassing zijn op de betrekkingen tussen de Commissie en het nationale agentschap worden in overeenstemming met de regels in artikel 24 van [nieuwe Erasmusverordening] vastgelegd in een schriftelijk document dat de volgende elementen bevat:</w:t>
      </w:r>
    </w:p>
    <w:p>
      <w:pPr>
        <w:pStyle w:val="Point1"/>
        <w:rPr>
          <w:noProof/>
        </w:rPr>
      </w:pPr>
      <w:r>
        <w:rPr>
          <w:noProof/>
        </w:rPr>
        <w:t>a)</w:t>
      </w:r>
      <w:r>
        <w:rPr>
          <w:noProof/>
        </w:rPr>
        <w:tab/>
        <w:t>nadere bepalingen inzake de interne controlenormen voor het betrokken nationale agentschap en de voorschriften voor het beheer van financiële middelen van de Unie door nationale agentschappen voor het verlenen van subsidies;</w:t>
      </w:r>
    </w:p>
    <w:p>
      <w:pPr>
        <w:pStyle w:val="Point1"/>
        <w:rPr>
          <w:noProof/>
        </w:rPr>
      </w:pPr>
      <w:r>
        <w:rPr>
          <w:noProof/>
        </w:rPr>
        <w:t>b)</w:t>
      </w:r>
      <w:r>
        <w:rPr>
          <w:noProof/>
        </w:rPr>
        <w:tab/>
        <w:t>het werkprogramma van het nationale agentschap, waaronder een omschrijving van de beheerstaken van het nationale agentschap waaraan steun door de Unie wordt verstrekt;</w:t>
      </w:r>
    </w:p>
    <w:p>
      <w:pPr>
        <w:pStyle w:val="Point1"/>
        <w:rPr>
          <w:noProof/>
        </w:rPr>
      </w:pPr>
      <w:r>
        <w:rPr>
          <w:noProof/>
        </w:rPr>
        <w:t>c)</w:t>
      </w:r>
      <w:r>
        <w:rPr>
          <w:noProof/>
        </w:rPr>
        <w:tab/>
        <w:t>een specificatie van de verslagleggingsvereisten voor het nationale agentschap.</w:t>
      </w:r>
    </w:p>
    <w:p>
      <w:pPr>
        <w:pStyle w:val="ManualNumPar1"/>
        <w:rPr>
          <w:noProof/>
        </w:rPr>
      </w:pPr>
      <w:r>
        <w:t>2.</w:t>
      </w:r>
      <w:r>
        <w:tab/>
      </w:r>
      <w:r>
        <w:rPr>
          <w:noProof/>
        </w:rPr>
        <w:t>De Commissie stelt jaarlijks de volgende financiële middelen beschikbaar aan het nationale agentschap:</w:t>
      </w:r>
    </w:p>
    <w:p>
      <w:pPr>
        <w:pStyle w:val="Point1"/>
        <w:rPr>
          <w:noProof/>
        </w:rPr>
      </w:pPr>
      <w:r>
        <w:rPr>
          <w:noProof/>
        </w:rPr>
        <w:t>a)</w:t>
      </w:r>
      <w:r>
        <w:rPr>
          <w:noProof/>
        </w:rPr>
        <w:tab/>
        <w:t>middelen voor subsidieverlening in het deelnemende land voor acties van het Europees Solidariteitskorps waarvan het beheer is opgedragen aan het nationale agentschap;</w:t>
      </w:r>
    </w:p>
    <w:p>
      <w:pPr>
        <w:pStyle w:val="Point1"/>
        <w:rPr>
          <w:noProof/>
        </w:rPr>
      </w:pPr>
      <w:r>
        <w:rPr>
          <w:noProof/>
        </w:rPr>
        <w:t>b)</w:t>
      </w:r>
      <w:r>
        <w:rPr>
          <w:noProof/>
        </w:rPr>
        <w:tab/>
        <w:t>een financiële bijdrage ter ondersteuning van de beheerstaken van het nationale agentschap, die wordt bepaald volgens de in artikel 25, lid 3, onder b), van [nieuwe Erasmusverordening] beschreven modaliteiten.</w:t>
      </w:r>
    </w:p>
    <w:p>
      <w:pPr>
        <w:pStyle w:val="ManualNumPar1"/>
        <w:rPr>
          <w:noProof/>
        </w:rPr>
      </w:pPr>
      <w:r>
        <w:t>3.</w:t>
      </w:r>
      <w:r>
        <w:tab/>
      </w:r>
      <w:r>
        <w:rPr>
          <w:noProof/>
        </w:rPr>
        <w:t>De Commissie stelt de vereisten voor het werkprogramma van het nationale agentschap vast. De Commissie stelt geen financiële middelen van het Europees Solidariteitskorps beschikbaar aan het nationale agentschap voor zij het werkprogramma van het nationale agentschap formeel heeft goedgekeurd.</w:t>
      </w:r>
    </w:p>
    <w:p>
      <w:pPr>
        <w:pStyle w:val="ManualNumPar1"/>
        <w:rPr>
          <w:noProof/>
        </w:rPr>
      </w:pPr>
      <w:r>
        <w:t>4.</w:t>
      </w:r>
      <w:r>
        <w:tab/>
      </w:r>
      <w:r>
        <w:rPr>
          <w:noProof/>
        </w:rPr>
        <w:t>Op basis van de in artikel 23, lid 3, van [nieuwe Erasmusverordening] bedoelde nalevingsvoorschriften voor nationale agentschappen beoordeelt de Commissie de nationale beheers- en controlesystemen, de beheersverklaring van het nationale agentschap en de verklaring van het onafhankelijke auditorgaan daarover, naar behoren rekening houdend met de informatie die door de nationale autoriteit over zijn monitoring- en supervisieactiviteiten betreffende het Europees Solidariteitskorps is verstrekt.</w:t>
      </w:r>
    </w:p>
    <w:p>
      <w:pPr>
        <w:pStyle w:val="ManualNumPar1"/>
        <w:rPr>
          <w:noProof/>
        </w:rPr>
      </w:pPr>
      <w:r>
        <w:t>5.</w:t>
      </w:r>
      <w:r>
        <w:tab/>
      </w:r>
      <w:r>
        <w:rPr>
          <w:noProof/>
        </w:rPr>
        <w:t>Na de beoordeling van de jaarlijkse beheersverklaring en de verklaring van het onafhankelijke auditorgaan daarover verstrekt de Commissie haar advies en opmerkingen aan het nationale agentschap en de nationale autoriteit.</w:t>
      </w:r>
    </w:p>
    <w:p>
      <w:pPr>
        <w:pStyle w:val="Titrearticle"/>
        <w:spacing w:before="120"/>
        <w:rPr>
          <w:noProof/>
        </w:rPr>
      </w:pPr>
      <w:r>
        <w:rPr>
          <w:noProof/>
        </w:rPr>
        <w:t>Artikel 25</w:t>
      </w:r>
    </w:p>
    <w:p>
      <w:pPr>
        <w:pStyle w:val="Titrearticle"/>
        <w:spacing w:before="120"/>
        <w:rPr>
          <w:noProof/>
        </w:rPr>
      </w:pPr>
      <w:r>
        <w:rPr>
          <w:noProof/>
        </w:rPr>
        <w:t>Audits</w:t>
      </w:r>
    </w:p>
    <w:p>
      <w:pPr>
        <w:pStyle w:val="ManualNumPar1"/>
        <w:rPr>
          <w:noProof/>
        </w:rPr>
      </w:pPr>
      <w:r>
        <w:t>1.</w:t>
      </w:r>
      <w:r>
        <w:tab/>
      </w:r>
      <w:r>
        <w:rPr>
          <w:noProof/>
        </w:rPr>
        <w:t>Audits naar het gebruik van de bijdrage van de Unie uitgevoerd door personen of entiteiten, daaronder begrepen andere personen of entiteiten dan die welke door de instellingen of organen van de Unie zijn gemachtigd, vormen de basis van de algemene zekerheid in de zin van [artikel 127] van het Financieel Reglement.</w:t>
      </w:r>
    </w:p>
    <w:p>
      <w:pPr>
        <w:pStyle w:val="ManualNumPar1"/>
        <w:rPr>
          <w:noProof/>
        </w:rPr>
      </w:pPr>
      <w:r>
        <w:t>2.</w:t>
      </w:r>
      <w:r>
        <w:tab/>
      </w:r>
      <w:r>
        <w:rPr>
          <w:noProof/>
        </w:rPr>
        <w:t>De nationale autoriteit wijst een onafhankelijk auditorgaan aan. Het onafhankelijk auditorgaan geeft een auditverklaring af over de in artikel [155, lid 1,] van het Financieel Reglement bedoelde beheersverklaring.</w:t>
      </w:r>
    </w:p>
    <w:p>
      <w:pPr>
        <w:pStyle w:val="ManualNumPar1"/>
        <w:rPr>
          <w:noProof/>
        </w:rPr>
      </w:pPr>
      <w:r>
        <w:t>3.</w:t>
      </w:r>
      <w:r>
        <w:tab/>
      </w:r>
      <w:r>
        <w:rPr>
          <w:noProof/>
        </w:rPr>
        <w:t>Het onafhankelijk auditorgaan:</w:t>
      </w:r>
    </w:p>
    <w:p>
      <w:pPr>
        <w:pStyle w:val="Point1"/>
        <w:rPr>
          <w:noProof/>
        </w:rPr>
      </w:pPr>
      <w:r>
        <w:rPr>
          <w:noProof/>
        </w:rPr>
        <w:t>a)</w:t>
      </w:r>
      <w:r>
        <w:rPr>
          <w:noProof/>
        </w:rPr>
        <w:tab/>
        <w:t>beschikt over de noodzakelijke beroepsbekwaamheid om audits in de publieke sector te verrichten;</w:t>
      </w:r>
    </w:p>
    <w:p>
      <w:pPr>
        <w:pStyle w:val="Point1"/>
        <w:rPr>
          <w:noProof/>
        </w:rPr>
      </w:pPr>
      <w:r>
        <w:rPr>
          <w:noProof/>
        </w:rPr>
        <w:t>b)</w:t>
      </w:r>
      <w:r>
        <w:rPr>
          <w:noProof/>
        </w:rPr>
        <w:tab/>
        <w:t>zorgt ervoor dat bij de auditwerkzaamheden internationaal aanvaarde auditnormen in acht worden genomen; en</w:t>
      </w:r>
    </w:p>
    <w:p>
      <w:pPr>
        <w:pStyle w:val="Point1"/>
        <w:rPr>
          <w:noProof/>
        </w:rPr>
      </w:pPr>
      <w:r>
        <w:rPr>
          <w:noProof/>
        </w:rPr>
        <w:t>c)</w:t>
      </w:r>
      <w:r>
        <w:rPr>
          <w:noProof/>
        </w:rPr>
        <w:tab/>
        <w:t>verkeert niet in een belangenconflict met betrekking tot de juridische entiteit waarvan het nationale agentschap als bedoeld in artikel 23 deel uitmaakt en is, wat zijn functies betreft, onafhankelijk van de juridische entiteit waarvan het nationale agentschap deel uitmaakt.</w:t>
      </w:r>
    </w:p>
    <w:p>
      <w:pPr>
        <w:pStyle w:val="ManualNumPar1"/>
        <w:rPr>
          <w:noProof/>
        </w:rPr>
      </w:pPr>
      <w:r>
        <w:t>4.</w:t>
      </w:r>
      <w:r>
        <w:tab/>
      </w:r>
      <w:r>
        <w:rPr>
          <w:noProof/>
        </w:rPr>
        <w:t>Het onafhankelijk auditorgaan verschaft de Commissie en haar vertegenwoordigers alsmede de Rekenkamer volledige toegang tot alle documenten en rapporten ter staving van de auditverklaring die het afgeeft over de beheersverklaring van het nationaal agentschap.</w:t>
      </w:r>
    </w:p>
    <w:p>
      <w:pPr>
        <w:pStyle w:val="Titrearticle"/>
        <w:spacing w:before="120"/>
        <w:rPr>
          <w:noProof/>
        </w:rPr>
      </w:pPr>
      <w:r>
        <w:rPr>
          <w:noProof/>
        </w:rPr>
        <w:t>HOOFDSTUK X</w:t>
      </w:r>
    </w:p>
    <w:p>
      <w:pPr>
        <w:pStyle w:val="Titrearticle"/>
        <w:spacing w:before="120"/>
        <w:rPr>
          <w:noProof/>
        </w:rPr>
      </w:pPr>
      <w:r>
        <w:rPr>
          <w:i w:val="0"/>
          <w:noProof/>
        </w:rPr>
        <w:t xml:space="preserve"> </w:t>
      </w:r>
      <w:r>
        <w:rPr>
          <w:noProof/>
        </w:rPr>
        <w:t>CONTROLESYSTEEM</w:t>
      </w:r>
    </w:p>
    <w:p>
      <w:pPr>
        <w:pStyle w:val="Titrearticle"/>
        <w:spacing w:before="120"/>
        <w:rPr>
          <w:noProof/>
        </w:rPr>
      </w:pPr>
      <w:r>
        <w:rPr>
          <w:noProof/>
        </w:rPr>
        <w:t>Artikel 26</w:t>
      </w:r>
    </w:p>
    <w:p>
      <w:pPr>
        <w:pStyle w:val="Titrearticle"/>
        <w:spacing w:before="120"/>
        <w:rPr>
          <w:noProof/>
        </w:rPr>
      </w:pPr>
      <w:r>
        <w:rPr>
          <w:noProof/>
        </w:rPr>
        <w:t>Beginselen van het controlesysteem</w:t>
      </w:r>
    </w:p>
    <w:p>
      <w:pPr>
        <w:pStyle w:val="ManualNumPar1"/>
        <w:rPr>
          <w:noProof/>
        </w:rPr>
      </w:pPr>
      <w:r>
        <w:t>1.</w:t>
      </w:r>
      <w:r>
        <w:tab/>
      </w:r>
      <w:r>
        <w:rPr>
          <w:noProof/>
        </w:rPr>
        <w:t>De Commissie is verantwoordelijk voor de uitoefening van toezichthoudende controles met betrekking tot de acties van het Europees Solidariteitskorps die door de nationale agentschappen worden beheerd. Zij stelt minimumeisen vast voor de controles door het nationale agentschap en het onafhankelijke auditorgaan.</w:t>
      </w:r>
    </w:p>
    <w:p>
      <w:pPr>
        <w:pStyle w:val="ManualNumPar1"/>
        <w:rPr>
          <w:noProof/>
        </w:rPr>
      </w:pPr>
      <w:r>
        <w:t>2.</w:t>
      </w:r>
      <w:r>
        <w:tab/>
      </w:r>
      <w:r>
        <w:rPr>
          <w:noProof/>
        </w:rPr>
        <w:t>Het nationale agentschap is verantwoordelijk voor de primaire controle van de begunstigden van subsidies voor de acties van het Europees Solidariteitskorps die aan hen worden toevertrouwd. Die controles bieden een redelijke zekerheid dat de verleende subsidies worden besteed voor de doeleinden waarvoor zij bestemd zijn en in overeenstemming met de toepasselijke voorschriften van de Unie.</w:t>
      </w:r>
    </w:p>
    <w:p>
      <w:pPr>
        <w:pStyle w:val="ManualNumPar1"/>
        <w:rPr>
          <w:noProof/>
        </w:rPr>
      </w:pPr>
      <w:r>
        <w:t>3.</w:t>
      </w:r>
      <w:r>
        <w:tab/>
      </w:r>
      <w:r>
        <w:rPr>
          <w:noProof/>
        </w:rPr>
        <w:t>Met betrekking tot de financiële middelen die aan de nationale agentschappen worden overgemaakt, zorgt de Commissie voor een goede coördinatie van haar controles met de nationale autoriteiten en de nationale agentschappen, op basis van het beginsel van één enkele audit en volgens een op risico gebaseerde analyse. Deze bepaling is niet van toepassing op onderzoeken door het Europees Bureau voor fraudebestrijding ("OLAF").</w:t>
      </w:r>
    </w:p>
    <w:p>
      <w:pPr>
        <w:pStyle w:val="Titrearticle"/>
        <w:spacing w:before="120"/>
        <w:rPr>
          <w:noProof/>
        </w:rPr>
      </w:pPr>
      <w:r>
        <w:rPr>
          <w:noProof/>
        </w:rPr>
        <w:t>Artikel 27</w:t>
      </w:r>
    </w:p>
    <w:p>
      <w:pPr>
        <w:pStyle w:val="Titrearticle"/>
        <w:spacing w:before="120"/>
        <w:rPr>
          <w:noProof/>
        </w:rPr>
      </w:pPr>
      <w:r>
        <w:rPr>
          <w:noProof/>
        </w:rPr>
        <w:t>Bescherming van de financiële belangen van de Unie</w:t>
      </w:r>
    </w:p>
    <w:p>
      <w:pPr>
        <w:rPr>
          <w:noProof/>
        </w:rPr>
      </w:pPr>
      <w:r>
        <w:rPr>
          <w:noProof/>
        </w:rPr>
        <w:t>Wanneer een derde land aan het programma deelneemt op grond van een besluit in het kader van een internationale overeenkomst of op grond van enig ander rechtsinstrument, verleent het derde land de nodige rechten en toegang aan de verantwoordelijke ordonnateur, het Europees Bureau voor fraudebestrijding (OLAF) en de Europese Rekenkamer, zodat deze hun respectieve bevoegdheden ten volle kunnen uitoefenen. In het geval van OLAF omvatten die rechten het recht onderzoeken uit te voeren, waaronder controles en verificaties ter plaatse, overeenkomstig Verordening (EU, Euratom) nr. 883/2013 van het Europees Parlement en de Raad betreffende onderzoeken door het Europees Bureau voor fraudebestrijding (OLAF).</w:t>
      </w:r>
    </w:p>
    <w:p>
      <w:pPr>
        <w:pStyle w:val="Titrearticle"/>
        <w:spacing w:before="120"/>
        <w:rPr>
          <w:noProof/>
        </w:rPr>
      </w:pPr>
      <w:r>
        <w:rPr>
          <w:noProof/>
        </w:rPr>
        <w:t>HOOFDSTUK XI</w:t>
      </w:r>
    </w:p>
    <w:p>
      <w:pPr>
        <w:pStyle w:val="Titrearticle"/>
        <w:spacing w:before="120"/>
        <w:rPr>
          <w:noProof/>
        </w:rPr>
      </w:pPr>
      <w:r>
        <w:rPr>
          <w:noProof/>
        </w:rPr>
        <w:t>COMPLEMENTARITEIT</w:t>
      </w:r>
    </w:p>
    <w:p>
      <w:pPr>
        <w:pStyle w:val="Titrearticle"/>
        <w:spacing w:before="120"/>
        <w:rPr>
          <w:noProof/>
        </w:rPr>
      </w:pPr>
      <w:r>
        <w:rPr>
          <w:noProof/>
        </w:rPr>
        <w:t>Artikel 28</w:t>
      </w:r>
    </w:p>
    <w:p>
      <w:pPr>
        <w:pStyle w:val="Titrearticle"/>
        <w:spacing w:before="120"/>
        <w:rPr>
          <w:noProof/>
        </w:rPr>
      </w:pPr>
      <w:r>
        <w:rPr>
          <w:noProof/>
        </w:rPr>
        <w:t>Complementariteit met het optreden van de Unie</w:t>
      </w:r>
    </w:p>
    <w:p>
      <w:pPr>
        <w:pStyle w:val="ManualNumPar1"/>
        <w:rPr>
          <w:noProof/>
        </w:rPr>
      </w:pPr>
      <w:r>
        <w:t>1.</w:t>
      </w:r>
      <w:r>
        <w:tab/>
      </w:r>
      <w:r>
        <w:rPr>
          <w:noProof/>
        </w:rPr>
        <w:t>De acties van het Europees Solidariteitskorps zijn consistent en complementair met de relevante beleidslijnen, instrumenten en programma's op het niveau van de Unie, in het bijzonder het Erasmusprogramma, en met bestaande netwerken op het niveau van de Unie die relevant zijn voor de activiteiten van het Europees Solidariteitskorps.</w:t>
      </w:r>
    </w:p>
    <w:p>
      <w:pPr>
        <w:pStyle w:val="ManualNumPar1"/>
        <w:rPr>
          <w:noProof/>
        </w:rPr>
      </w:pPr>
      <w:r>
        <w:t>2.</w:t>
      </w:r>
      <w:r>
        <w:tab/>
      </w:r>
      <w:r>
        <w:rPr>
          <w:noProof/>
        </w:rPr>
        <w:t>De acties van het Europees Solidariteitskorps zijn tevens consistent en complementair met de relevante beleidslijnen, programma's en instrumenten op nationaal niveau in de deelnemende landen. Daartoe wisselen de Commissie, de nationale autoriteiten en de nationale agentschappen informatie uit over bestaande regelingen en prioriteiten in verband met solidariteit en jeugd enerzijds en acties in het kader van het Europees Solidariteitskorps anderzijds, teneinde voort te bouwen op relevante goede praktijken en efficiëntie en doeltreffendheid te verwezenlijken.</w:t>
      </w:r>
    </w:p>
    <w:p>
      <w:pPr>
        <w:pStyle w:val="ManualNumPar1"/>
        <w:rPr>
          <w:noProof/>
        </w:rPr>
      </w:pPr>
      <w:r>
        <w:t>3.</w:t>
      </w:r>
      <w:r>
        <w:tab/>
      </w:r>
      <w:r>
        <w:rPr>
          <w:noProof/>
        </w:rPr>
        <w:t>De acties van het Europees Solidariteitskorps in derde landen als bedoeld in artikel 11 zijn met name consistent en complementair met andere gebieden van het extern optreden van de Unie, in het bijzonder het beleid voor humanitaire hulp, het ontwikkelingssamenwerkingsbeleid, het uitbreidingsbeleid, het nabuurschapsbeleid en het Uniemechanisme voor civiele bescherming.</w:t>
      </w:r>
    </w:p>
    <w:p>
      <w:pPr>
        <w:pStyle w:val="ManualNumPar1"/>
        <w:rPr>
          <w:noProof/>
        </w:rPr>
      </w:pPr>
      <w:r>
        <w:t>4.</w:t>
      </w:r>
      <w:r>
        <w:tab/>
      </w:r>
      <w:r>
        <w:rPr>
          <w:noProof/>
        </w:rPr>
        <w:t>Aan een actie waaraan door het programma een bijdrage is toegekend, kan ook een bijdrage worden toegekend uit enig ander programma van de Unie, op voorwaarde dat de bijdragen niet dezelfde kosten dekken. Op elke bijdrage aan de actie zijn de regels van het respectieve bijdragende programma van de Unie van toepassing. De cumulatieve financiering mag niet hoger zijn dan de totale subsidiabele kosten van de actie en de steun afkomstig van de verschillende programma's van de Unie kan pro rata worden berekend overeenkomstig de documenten waarin de voorwaarden voor de steun worden uiteengezet.</w:t>
      </w:r>
    </w:p>
    <w:p>
      <w:pPr>
        <w:pStyle w:val="ManualNumPar1"/>
        <w:rPr>
          <w:noProof/>
        </w:rPr>
      </w:pPr>
      <w:r>
        <w:t>5.</w:t>
      </w:r>
      <w:r>
        <w:tab/>
      </w:r>
      <w:r>
        <w:rPr>
          <w:noProof/>
        </w:rPr>
        <w:t>Wanneer het programma en de Europese structuur- en investeringsfondsen (ESI-fondsen) als bedoeld in artikel 1 van [Verordening (EU)XX (GB-verordening)] gezamenlijk financiële steun verlenen voor een enkele actie, wordt die actie uitgevoerd in overeenstemming met de voorschriften van deze verordening, met inbegrip van de voorschriften inzake de invordering van onverschuldigd betaalde bedragen.</w:t>
      </w:r>
    </w:p>
    <w:p>
      <w:pPr>
        <w:pStyle w:val="ManualNumPar1"/>
        <w:rPr>
          <w:noProof/>
        </w:rPr>
      </w:pPr>
      <w:r>
        <w:t>6.</w:t>
      </w:r>
      <w:r>
        <w:tab/>
      </w:r>
      <w:r>
        <w:rPr>
          <w:noProof/>
        </w:rPr>
        <w:t>Acties die in aanmerking komen voor steun in het kader van het programma, die zijn beoordeeld in het kader van een oproep tot het indienen van voorstellen uit hoofde van dit programma en die voldoen aan de minimale kwaliteitseisen van die oproep, maar die vanwege budgettaire beperkingen niet worden gefinancierd, kunnen in overeenstemming met artikel [65], lid 7, van Verordening (EU) XX [verordening gemeenschappelijke bepalingen] en artikel [8] van Verordening (EU) XX [financiering, beheer en monitoring van het gemeenschappelijk landbouwbeleid] steun ontvangen uit het Europees Fonds voor regionale ontwikkeling, het Cohesiefonds, het Europees Sociaal Fonds+ of het Europees Landbouwfonds voor plattelandsontwikkeling, op voorwaarde dat de desbetreffende acties in overeenstemming zijn met de doelstellingen van het desbetreffende programma. De regels van het steun verlenende fonds zijn van toepassing.</w:t>
      </w:r>
    </w:p>
    <w:p>
      <w:pPr>
        <w:pStyle w:val="Titrearticle"/>
        <w:spacing w:before="120"/>
        <w:rPr>
          <w:noProof/>
        </w:rPr>
      </w:pPr>
      <w:r>
        <w:rPr>
          <w:noProof/>
        </w:rPr>
        <w:t>HOOFDSTUK XII</w:t>
      </w:r>
    </w:p>
    <w:p>
      <w:pPr>
        <w:pStyle w:val="Titrearticle"/>
        <w:spacing w:before="120"/>
        <w:rPr>
          <w:noProof/>
        </w:rPr>
      </w:pPr>
      <w:r>
        <w:rPr>
          <w:noProof/>
        </w:rPr>
        <w:t>OVERGANGS- EN SLOTBEPALINGEN</w:t>
      </w:r>
    </w:p>
    <w:p>
      <w:pPr>
        <w:pStyle w:val="Titrearticle"/>
        <w:spacing w:before="120"/>
        <w:rPr>
          <w:noProof/>
        </w:rPr>
      </w:pPr>
      <w:r>
        <w:rPr>
          <w:noProof/>
        </w:rPr>
        <w:t>Artikel 29</w:t>
      </w:r>
    </w:p>
    <w:p>
      <w:pPr>
        <w:pStyle w:val="Titrearticle"/>
        <w:spacing w:before="120"/>
        <w:rPr>
          <w:noProof/>
        </w:rPr>
      </w:pPr>
      <w:r>
        <w:rPr>
          <w:noProof/>
        </w:rPr>
        <w:t>Uitoefening van de bevoegdheidsdelegatie</w:t>
      </w:r>
    </w:p>
    <w:p>
      <w:pPr>
        <w:pStyle w:val="ManualNumPar1"/>
        <w:rPr>
          <w:noProof/>
        </w:rPr>
      </w:pPr>
      <w:r>
        <w:t>1.</w:t>
      </w:r>
      <w:r>
        <w:tab/>
      </w:r>
      <w:r>
        <w:rPr>
          <w:noProof/>
        </w:rPr>
        <w:t>De bevoegdheid om gedelegeerde handelingen vast te stellen, wordt aan de Commissie toegekend onder de in dit artikel neergelegde voorwaarden.</w:t>
      </w:r>
    </w:p>
    <w:p>
      <w:pPr>
        <w:pStyle w:val="ManualNumPar1"/>
        <w:rPr>
          <w:noProof/>
        </w:rPr>
      </w:pPr>
      <w:r>
        <w:t>2.</w:t>
      </w:r>
      <w:r>
        <w:tab/>
      </w:r>
      <w:r>
        <w:rPr>
          <w:noProof/>
        </w:rPr>
        <w:t>De in artikel 19 bedoelde bevoegdheid om gedelegeerde handelingen vast te stellen, wordt aan de Commissie toegekend voor de duur van het programma.</w:t>
      </w:r>
    </w:p>
    <w:p>
      <w:pPr>
        <w:pStyle w:val="ManualNumPar1"/>
        <w:rPr>
          <w:noProof/>
        </w:rPr>
      </w:pPr>
      <w:r>
        <w:t>3.</w:t>
      </w:r>
      <w:r>
        <w:tab/>
      </w:r>
      <w:r>
        <w:rPr>
          <w:noProof/>
        </w:rPr>
        <w:t>Het Europees Parlement of de Raad kan de in artikel 19 bedoelde bevoegdheidsdelegatie te allen tijde intrekken. Het besluit tot intrekking beëindigt de delegatie van de in dat besluit genoemde bevoegdheid. Het wordt van kracht op de dag na die van de bekendmaking ervan in het Publicatieblad van de Europese Unie of op een daarin genoemde latere datum. Het besluit laat de geldigheid van de reeds van kracht zijnde gedelegeerde handelingen onverlet.</w:t>
      </w:r>
    </w:p>
    <w:p>
      <w:pPr>
        <w:pStyle w:val="ManualNumPar1"/>
        <w:rPr>
          <w:noProof/>
        </w:rPr>
      </w:pPr>
      <w:r>
        <w:t>4.</w:t>
      </w:r>
      <w:r>
        <w:tab/>
      </w:r>
      <w:r>
        <w:rPr>
          <w:noProof/>
        </w:rPr>
        <w:t>Vóór de vaststelling van een gedelegeerde handeling raadpleegt de Commissie de door elke lidstaat aangewezen deskundigen overeenkomstig de beginselen die zijn neergelegd in het Interinstitutioneel Akkoord over beter wetgeven van 13 april 2016.</w:t>
      </w:r>
    </w:p>
    <w:p>
      <w:pPr>
        <w:pStyle w:val="ManualNumPar1"/>
        <w:rPr>
          <w:noProof/>
        </w:rPr>
      </w:pPr>
      <w:r>
        <w:t>5.</w:t>
      </w:r>
      <w:r>
        <w:tab/>
      </w:r>
      <w:r>
        <w:rPr>
          <w:noProof/>
        </w:rPr>
        <w:t>Zodra de Commissie een gedelegeerde handeling heeft vastgesteld, doet zij daarvan gelijktijdig kennisgeving aan het Europees Parlement en de Raad.</w:t>
      </w:r>
    </w:p>
    <w:p>
      <w:pPr>
        <w:pStyle w:val="ManualNumPar1"/>
        <w:rPr>
          <w:noProof/>
        </w:rPr>
      </w:pPr>
      <w:r>
        <w:t>6.</w:t>
      </w:r>
      <w:r>
        <w:tab/>
      </w:r>
      <w:r>
        <w:rPr>
          <w:noProof/>
        </w:rPr>
        <w:t>Een overeenkomstig artikel 19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die termijn de Commissie hebben medegedeeld dat zij daartegen geen bezwaar zullen maken. Die termijn wordt op initiatief van het Europees Parlement of de Raad met twee maanden verlengd.</w:t>
      </w:r>
    </w:p>
    <w:p>
      <w:pPr>
        <w:pStyle w:val="Titrearticle"/>
        <w:spacing w:before="120"/>
        <w:rPr>
          <w:noProof/>
        </w:rPr>
      </w:pPr>
      <w:r>
        <w:rPr>
          <w:noProof/>
        </w:rPr>
        <w:t>Artikel 30</w:t>
      </w:r>
    </w:p>
    <w:p>
      <w:pPr>
        <w:pStyle w:val="Titrearticle"/>
        <w:spacing w:before="120"/>
        <w:rPr>
          <w:noProof/>
        </w:rPr>
      </w:pPr>
      <w:r>
        <w:rPr>
          <w:noProof/>
        </w:rPr>
        <w:t>Comitéprocedure</w:t>
      </w:r>
    </w:p>
    <w:p>
      <w:pPr>
        <w:pStyle w:val="ManualNumPar1"/>
        <w:rPr>
          <w:noProof/>
        </w:rPr>
      </w:pPr>
      <w:r>
        <w:t>1.</w:t>
      </w:r>
      <w:r>
        <w:tab/>
      </w:r>
      <w:r>
        <w:rPr>
          <w:noProof/>
        </w:rPr>
        <w:t>De Commissie wordt bijgestaan door een comité in de zin van Verordening (EU) nr. 182/2011.</w:t>
      </w:r>
    </w:p>
    <w:p>
      <w:pPr>
        <w:pStyle w:val="ManualNumPar1"/>
        <w:rPr>
          <w:noProof/>
        </w:rPr>
      </w:pPr>
      <w:r>
        <w:t>2.</w:t>
      </w:r>
      <w:r>
        <w:tab/>
      </w:r>
      <w:r>
        <w:rPr>
          <w:noProof/>
        </w:rPr>
        <w:t>Wanneer naar dit lid wordt verwezen, is artikel 5 van Verordening (EU) nr. 182/2011 van toepassing.</w:t>
      </w:r>
    </w:p>
    <w:p>
      <w:pPr>
        <w:pStyle w:val="Titrearticle"/>
        <w:spacing w:before="120"/>
        <w:rPr>
          <w:noProof/>
        </w:rPr>
      </w:pPr>
      <w:r>
        <w:rPr>
          <w:noProof/>
        </w:rPr>
        <w:t>Artikel 31</w:t>
      </w:r>
    </w:p>
    <w:p>
      <w:pPr>
        <w:pStyle w:val="Titrearticle"/>
        <w:spacing w:before="120"/>
        <w:rPr>
          <w:noProof/>
        </w:rPr>
      </w:pPr>
      <w:r>
        <w:rPr>
          <w:noProof/>
        </w:rPr>
        <w:t>Intrekking</w:t>
      </w:r>
    </w:p>
    <w:p>
      <w:pPr>
        <w:rPr>
          <w:noProof/>
        </w:rPr>
      </w:pPr>
      <w:r>
        <w:rPr>
          <w:noProof/>
        </w:rPr>
        <w:t>Verordening (EU) [verordening inzake het Europees Solidariteitskorps] en Verordening (EU) nr. 375/2014 worden ingetrokken met ingang van 1 januari 2021.</w:t>
      </w:r>
    </w:p>
    <w:p>
      <w:pPr>
        <w:pStyle w:val="Titrearticle"/>
        <w:spacing w:before="120"/>
        <w:rPr>
          <w:noProof/>
        </w:rPr>
      </w:pPr>
      <w:r>
        <w:rPr>
          <w:noProof/>
        </w:rPr>
        <w:t>Artikel 32</w:t>
      </w:r>
    </w:p>
    <w:p>
      <w:pPr>
        <w:pStyle w:val="Titrearticle"/>
        <w:spacing w:before="120"/>
        <w:rPr>
          <w:noProof/>
        </w:rPr>
      </w:pPr>
      <w:r>
        <w:rPr>
          <w:noProof/>
        </w:rPr>
        <w:t>Overgangsbepalingen</w:t>
      </w:r>
    </w:p>
    <w:p>
      <w:pPr>
        <w:pStyle w:val="ManualNumPar1"/>
        <w:rPr>
          <w:noProof/>
        </w:rPr>
      </w:pPr>
      <w:r>
        <w:t>1.</w:t>
      </w:r>
      <w:r>
        <w:tab/>
      </w:r>
      <w:r>
        <w:rPr>
          <w:noProof/>
        </w:rPr>
        <w:t>Deze verordening heeft geen invloed op de voortzetting of wijziging van de betrokken acties in het kader van [verordening inzake het Europees Solidariteitskorps] of Verordening (EU) nr. 375/2014 totdat die acties worden afgesloten. Die verordeningen blijven op de desbetreffende acties van toepassing totdat zij worden afgesloten.</w:t>
      </w:r>
    </w:p>
    <w:p>
      <w:pPr>
        <w:pStyle w:val="ManualNumPar1"/>
        <w:rPr>
          <w:noProof/>
        </w:rPr>
      </w:pPr>
      <w:r>
        <w:t>2.</w:t>
      </w:r>
      <w:r>
        <w:tab/>
      </w:r>
      <w:r>
        <w:rPr>
          <w:noProof/>
        </w:rPr>
        <w:t>De financiële middelen voor het programma kunnen eveneens de uitgaven dekken voor noodzakelijke technische en administratieve bijstand om de overgang te waarborgen tussen het programma en de maatregelen die zijn vastgesteld in het kader van [verordening inzake het Europees Solidariteitskorps] of Verordening (EU) nr. 375/2014.</w:t>
      </w:r>
    </w:p>
    <w:p>
      <w:pPr>
        <w:pStyle w:val="ManualNumPar1"/>
        <w:rPr>
          <w:noProof/>
        </w:rPr>
      </w:pPr>
      <w:r>
        <w:t>3.</w:t>
      </w:r>
      <w:r>
        <w:tab/>
      </w:r>
      <w:r>
        <w:rPr>
          <w:noProof/>
        </w:rPr>
        <w:t>Zo nodig kunnen voor het beheer van acties en activiteiten die op 31 december 2027 nog niet zijn voltooid, ook na 2027 kredieten in de begroting worden opgenomen ter dekking van de in artikel 12, lid 2, bedoelde uitgaven.</w:t>
      </w:r>
    </w:p>
    <w:p>
      <w:pPr>
        <w:pStyle w:val="ManualNumPar1"/>
        <w:rPr>
          <w:i/>
          <w:iCs/>
          <w:noProof/>
        </w:rPr>
      </w:pPr>
      <w:r>
        <w:t>4.</w:t>
      </w:r>
      <w:r>
        <w:tab/>
      </w:r>
      <w:r>
        <w:rPr>
          <w:noProof/>
        </w:rPr>
        <w:t>De lidstaten zorgen op nationaal niveau voor een soepele overgang tussen de in het kader van het Europees Solidariteitskorps (2018-2020) uitgevoerde acties en de acties die uit hoofde van dit programma zullen worden uitgevoerd.</w:t>
      </w:r>
    </w:p>
    <w:p>
      <w:pPr>
        <w:pStyle w:val="Titrearticle"/>
        <w:spacing w:before="120"/>
        <w:rPr>
          <w:i w:val="0"/>
          <w:iCs/>
          <w:noProof/>
          <w:u w:color="0000FF"/>
        </w:rPr>
      </w:pPr>
      <w:r>
        <w:rPr>
          <w:noProof/>
        </w:rPr>
        <w:t>Artikel 33</w:t>
      </w:r>
    </w:p>
    <w:p>
      <w:pPr>
        <w:pStyle w:val="Titrearticle"/>
        <w:spacing w:before="120"/>
        <w:rPr>
          <w:noProof/>
        </w:rPr>
      </w:pPr>
      <w:r>
        <w:rPr>
          <w:noProof/>
        </w:rPr>
        <w:t>Inwerkingtreding</w:t>
      </w:r>
    </w:p>
    <w:p>
      <w:pPr>
        <w:rPr>
          <w:noProof/>
        </w:rPr>
      </w:pPr>
      <w:r>
        <w:rPr>
          <w:noProof/>
        </w:rPr>
        <w:t xml:space="preserve">Deze verordening treedt in werking op de [twintigste] dag na die van de bekendmaking ervan in het </w:t>
      </w:r>
      <w:r>
        <w:rPr>
          <w:i/>
          <w:noProof/>
        </w:rPr>
        <w:t>Publicatieblad van de Europese Unie</w:t>
      </w:r>
      <w:r>
        <w:rPr>
          <w:noProof/>
        </w:rPr>
        <w:t>.</w:t>
      </w:r>
    </w:p>
    <w:p>
      <w:pPr>
        <w:pStyle w:val="Applicationdirecte"/>
        <w:keepNext/>
        <w:keepLines/>
        <w:spacing w:before="120"/>
        <w:rPr>
          <w:noProof/>
        </w:rPr>
      </w:pPr>
      <w:r>
        <w:rPr>
          <w:noProof/>
        </w:rPr>
        <w:t>Deze verordening is verbindend in al haar onderdelen en is rechtstreeks toepasselijk in elke lidstaat.</w:t>
      </w:r>
    </w:p>
    <w:p>
      <w:pPr>
        <w:pStyle w:val="Fait"/>
        <w:rPr>
          <w:noProof/>
        </w:rPr>
      </w:pPr>
      <w:r>
        <w:t>Gedaan te Brussel,</w:t>
      </w:r>
    </w:p>
    <w:p>
      <w:pPr>
        <w:pStyle w:val="Institutionquisigne"/>
        <w:tabs>
          <w:tab w:val="clear" w:pos="4252"/>
          <w:tab w:val="left" w:pos="5387"/>
        </w:tabs>
        <w:spacing w:before="120" w:after="120"/>
        <w:rPr>
          <w:noProof/>
        </w:rPr>
      </w:pPr>
      <w:r>
        <w:rPr>
          <w:noProof/>
        </w:rPr>
        <w:t>Voor het Europees Parlement</w:t>
      </w:r>
      <w:r>
        <w:rPr>
          <w:noProof/>
        </w:rPr>
        <w:tab/>
        <w:t>Voor de Raad</w:t>
      </w:r>
    </w:p>
    <w:p>
      <w:pPr>
        <w:pStyle w:val="Personnequisigne"/>
        <w:tabs>
          <w:tab w:val="clear" w:pos="4252"/>
          <w:tab w:val="left" w:pos="5387"/>
        </w:tabs>
        <w:spacing w:before="120" w:after="120"/>
        <w:rPr>
          <w:noProof/>
        </w:rPr>
      </w:pPr>
      <w:r>
        <w:rPr>
          <w:noProof/>
        </w:rPr>
        <w:t>De voorzitter</w:t>
      </w:r>
      <w:r>
        <w:rPr>
          <w:noProof/>
        </w:rPr>
        <w:tab/>
        <w:t>De voorzitter</w:t>
      </w:r>
    </w:p>
    <w:p>
      <w:pPr>
        <w:rPr>
          <w:noProof/>
        </w:rPr>
      </w:pPr>
      <w:r>
        <w:rPr>
          <w:noProof/>
        </w:rPr>
        <w:br w:type="page"/>
      </w:r>
    </w:p>
    <w:p>
      <w:pPr>
        <w:pStyle w:val="Fichefinanciretitre"/>
        <w:rPr>
          <w:noProof/>
        </w:rPr>
      </w:pPr>
      <w:r>
        <w:rPr>
          <w:noProof/>
        </w:rPr>
        <w:t>FINANCIEEL MEMORANDUM</w:t>
      </w:r>
    </w:p>
    <w:p>
      <w:pPr>
        <w:pStyle w:val="ManualHeading1"/>
        <w:spacing w:before="120"/>
        <w:rPr>
          <w:noProof/>
        </w:rPr>
      </w:pPr>
      <w:r>
        <w:rPr>
          <w:noProof/>
        </w:rPr>
        <w:t>1.</w:t>
      </w:r>
      <w:r>
        <w:rPr>
          <w:noProof/>
        </w:rPr>
        <w:tab/>
        <w:t>KADER VAN HET VOORSTEL/INITIATIEF</w:t>
      </w:r>
    </w:p>
    <w:p>
      <w:pPr>
        <w:pStyle w:val="ManualHeading2"/>
        <w:rPr>
          <w:b w:val="0"/>
          <w:bCs/>
          <w:noProof/>
        </w:rPr>
      </w:pPr>
      <w:r>
        <w:rPr>
          <w:noProof/>
        </w:rPr>
        <w:tab/>
      </w:r>
      <w:r>
        <w:rPr>
          <w:b w:val="0"/>
          <w:noProof/>
        </w:rPr>
        <w:t>1.1.</w:t>
      </w:r>
      <w:r>
        <w:rPr>
          <w:noProof/>
        </w:rPr>
        <w:tab/>
      </w:r>
      <w:r>
        <w:rPr>
          <w:b w:val="0"/>
          <w:noProof/>
        </w:rPr>
        <w:t>Benaming van het voorstel/initiatief</w:t>
      </w:r>
    </w:p>
    <w:p>
      <w:pPr>
        <w:pStyle w:val="ManualHeading2"/>
        <w:rPr>
          <w:b w:val="0"/>
          <w:bCs/>
          <w:noProof/>
        </w:rPr>
      </w:pPr>
      <w:r>
        <w:rPr>
          <w:noProof/>
        </w:rPr>
        <w:tab/>
      </w:r>
      <w:r>
        <w:rPr>
          <w:b w:val="0"/>
          <w:noProof/>
        </w:rPr>
        <w:t>1.2.</w:t>
      </w:r>
      <w:r>
        <w:rPr>
          <w:noProof/>
        </w:rPr>
        <w:tab/>
      </w:r>
      <w:r>
        <w:rPr>
          <w:b w:val="0"/>
          <w:noProof/>
        </w:rPr>
        <w:t xml:space="preserve">Betrokken beleidsterrein(en) </w:t>
      </w:r>
      <w:r>
        <w:rPr>
          <w:b w:val="0"/>
          <w:i/>
          <w:noProof/>
        </w:rPr>
        <w:t>(programmacluster)</w:t>
      </w:r>
    </w:p>
    <w:p>
      <w:pPr>
        <w:pStyle w:val="ManualHeading2"/>
        <w:rPr>
          <w:b w:val="0"/>
          <w:bCs/>
          <w:noProof/>
        </w:rPr>
      </w:pPr>
      <w:r>
        <w:rPr>
          <w:noProof/>
        </w:rPr>
        <w:tab/>
      </w:r>
      <w:r>
        <w:rPr>
          <w:b w:val="0"/>
          <w:noProof/>
        </w:rPr>
        <w:t>1.3.</w:t>
      </w:r>
      <w:r>
        <w:rPr>
          <w:noProof/>
        </w:rPr>
        <w:tab/>
      </w:r>
      <w:r>
        <w:rPr>
          <w:b w:val="0"/>
          <w:noProof/>
        </w:rPr>
        <w:t>Aard van het voorstel/initiatief</w:t>
      </w:r>
    </w:p>
    <w:p>
      <w:pPr>
        <w:pStyle w:val="ManualHeading2"/>
        <w:rPr>
          <w:b w:val="0"/>
          <w:bCs/>
          <w:noProof/>
        </w:rPr>
      </w:pPr>
      <w:r>
        <w:rPr>
          <w:noProof/>
        </w:rPr>
        <w:tab/>
      </w:r>
      <w:r>
        <w:rPr>
          <w:b w:val="0"/>
          <w:noProof/>
        </w:rPr>
        <w:t>1.4.</w:t>
      </w:r>
      <w:r>
        <w:rPr>
          <w:noProof/>
        </w:rPr>
        <w:tab/>
      </w:r>
      <w:r>
        <w:rPr>
          <w:b w:val="0"/>
          <w:noProof/>
        </w:rPr>
        <w:t>Motivering van het voorstel/initiatief</w:t>
      </w:r>
    </w:p>
    <w:p>
      <w:pPr>
        <w:pStyle w:val="ManualHeading2"/>
        <w:rPr>
          <w:b w:val="0"/>
          <w:bCs/>
          <w:noProof/>
        </w:rPr>
      </w:pPr>
      <w:r>
        <w:rPr>
          <w:noProof/>
        </w:rPr>
        <w:tab/>
      </w:r>
      <w:r>
        <w:rPr>
          <w:b w:val="0"/>
          <w:noProof/>
        </w:rPr>
        <w:t>1.5.</w:t>
      </w:r>
      <w:r>
        <w:rPr>
          <w:noProof/>
        </w:rPr>
        <w:tab/>
      </w:r>
      <w:r>
        <w:rPr>
          <w:b w:val="0"/>
          <w:noProof/>
        </w:rPr>
        <w:t>Duur en financiële gevolgen</w:t>
      </w:r>
    </w:p>
    <w:p>
      <w:pPr>
        <w:pStyle w:val="ManualHeading2"/>
        <w:rPr>
          <w:b w:val="0"/>
          <w:bCs/>
          <w:noProof/>
        </w:rPr>
      </w:pPr>
      <w:r>
        <w:rPr>
          <w:noProof/>
        </w:rPr>
        <w:tab/>
      </w:r>
      <w:r>
        <w:rPr>
          <w:b w:val="0"/>
          <w:noProof/>
        </w:rPr>
        <w:t>1.6.</w:t>
      </w:r>
      <w:r>
        <w:rPr>
          <w:noProof/>
        </w:rPr>
        <w:tab/>
      </w:r>
      <w:r>
        <w:rPr>
          <w:b w:val="0"/>
          <w:noProof/>
        </w:rPr>
        <w:t>Beheersvorm(en)</w:t>
      </w:r>
    </w:p>
    <w:p>
      <w:pPr>
        <w:pStyle w:val="ManualHeading1"/>
        <w:spacing w:before="120"/>
        <w:rPr>
          <w:noProof/>
        </w:rPr>
      </w:pPr>
      <w:r>
        <w:rPr>
          <w:noProof/>
        </w:rPr>
        <w:t>2.</w:t>
      </w:r>
      <w:r>
        <w:rPr>
          <w:noProof/>
        </w:rPr>
        <w:tab/>
        <w:t>BEHEERSMAATREGELEN</w:t>
      </w:r>
    </w:p>
    <w:p>
      <w:pPr>
        <w:pStyle w:val="ManualHeading2"/>
        <w:rPr>
          <w:b w:val="0"/>
          <w:bCs/>
          <w:noProof/>
        </w:rPr>
      </w:pPr>
      <w:r>
        <w:rPr>
          <w:noProof/>
        </w:rPr>
        <w:tab/>
      </w:r>
      <w:r>
        <w:rPr>
          <w:b w:val="0"/>
          <w:noProof/>
        </w:rPr>
        <w:t>2.1.</w:t>
      </w:r>
      <w:r>
        <w:rPr>
          <w:noProof/>
        </w:rPr>
        <w:tab/>
      </w:r>
      <w:r>
        <w:rPr>
          <w:b w:val="0"/>
          <w:noProof/>
        </w:rPr>
        <w:t>Regels inzake het toezicht en de verslagen</w:t>
      </w:r>
    </w:p>
    <w:p>
      <w:pPr>
        <w:pStyle w:val="ManualHeading2"/>
        <w:rPr>
          <w:b w:val="0"/>
          <w:bCs/>
          <w:noProof/>
        </w:rPr>
      </w:pPr>
      <w:r>
        <w:rPr>
          <w:noProof/>
        </w:rPr>
        <w:tab/>
      </w:r>
      <w:r>
        <w:rPr>
          <w:b w:val="0"/>
          <w:noProof/>
        </w:rPr>
        <w:t>2.2.</w:t>
      </w:r>
      <w:r>
        <w:rPr>
          <w:noProof/>
        </w:rPr>
        <w:tab/>
      </w:r>
      <w:r>
        <w:rPr>
          <w:b w:val="0"/>
          <w:noProof/>
        </w:rPr>
        <w:t>Beheers- en controlesysteem</w:t>
      </w:r>
    </w:p>
    <w:p>
      <w:pPr>
        <w:pStyle w:val="ManualHeading2"/>
        <w:rPr>
          <w:b w:val="0"/>
          <w:bCs/>
          <w:noProof/>
        </w:rPr>
      </w:pPr>
      <w:r>
        <w:rPr>
          <w:noProof/>
        </w:rPr>
        <w:tab/>
      </w:r>
      <w:r>
        <w:rPr>
          <w:b w:val="0"/>
          <w:noProof/>
        </w:rPr>
        <w:t>2.3.</w:t>
      </w:r>
      <w:r>
        <w:rPr>
          <w:noProof/>
        </w:rPr>
        <w:tab/>
      </w:r>
      <w:r>
        <w:rPr>
          <w:b w:val="0"/>
          <w:noProof/>
        </w:rPr>
        <w:t>Maatregelen ter voorkoming van fraude en onregelmatigheden</w:t>
      </w:r>
    </w:p>
    <w:p>
      <w:pPr>
        <w:pStyle w:val="ManualHeading1"/>
        <w:spacing w:before="120"/>
        <w:rPr>
          <w:noProof/>
        </w:rPr>
      </w:pPr>
      <w:r>
        <w:rPr>
          <w:noProof/>
        </w:rPr>
        <w:t>3.</w:t>
      </w:r>
      <w:r>
        <w:rPr>
          <w:noProof/>
        </w:rPr>
        <w:tab/>
        <w:t>GERAAMDE FINANCIËLE GEVOLGEN VAN HET VOORSTEL/INITIATIEF</w:t>
      </w:r>
    </w:p>
    <w:p>
      <w:pPr>
        <w:pStyle w:val="ManualHeading2"/>
        <w:rPr>
          <w:b w:val="0"/>
          <w:bCs/>
          <w:noProof/>
        </w:rPr>
      </w:pPr>
      <w:r>
        <w:rPr>
          <w:noProof/>
        </w:rPr>
        <w:tab/>
      </w:r>
      <w:r>
        <w:rPr>
          <w:b w:val="0"/>
          <w:noProof/>
        </w:rPr>
        <w:t>3.1.</w:t>
      </w:r>
      <w:r>
        <w:rPr>
          <w:noProof/>
        </w:rPr>
        <w:tab/>
      </w:r>
      <w:r>
        <w:rPr>
          <w:b w:val="0"/>
          <w:noProof/>
        </w:rPr>
        <w:t>Rubriek(en) van het meerjarige financiële kader en betrokken begrotingsonderde(e)l(en) voor uitgaven</w:t>
      </w:r>
    </w:p>
    <w:p>
      <w:pPr>
        <w:pStyle w:val="ManualHeading2"/>
        <w:rPr>
          <w:noProof/>
        </w:rPr>
      </w:pPr>
      <w:r>
        <w:rPr>
          <w:noProof/>
        </w:rPr>
        <w:tab/>
      </w:r>
      <w:r>
        <w:rPr>
          <w:b w:val="0"/>
          <w:noProof/>
        </w:rPr>
        <w:t>3.2.</w:t>
      </w:r>
      <w:r>
        <w:rPr>
          <w:noProof/>
        </w:rPr>
        <w:tab/>
      </w:r>
      <w:r>
        <w:rPr>
          <w:b w:val="0"/>
          <w:noProof/>
        </w:rPr>
        <w:t>Geraamde gevolgen voor de uitgaven</w:t>
      </w:r>
    </w:p>
    <w:p>
      <w:pPr>
        <w:pStyle w:val="ManualHeading3"/>
        <w:rPr>
          <w:noProof/>
        </w:rPr>
      </w:pPr>
      <w:r>
        <w:rPr>
          <w:noProof/>
        </w:rPr>
        <w:tab/>
        <w:t>3.2.1.</w:t>
      </w:r>
      <w:r>
        <w:rPr>
          <w:noProof/>
        </w:rPr>
        <w:tab/>
        <w:t>Samenvatting van de geraamde gevolgen voor de uitgaven</w:t>
      </w:r>
    </w:p>
    <w:p>
      <w:pPr>
        <w:pStyle w:val="ManualHeading3"/>
        <w:rPr>
          <w:noProof/>
        </w:rPr>
      </w:pPr>
      <w:r>
        <w:rPr>
          <w:noProof/>
        </w:rPr>
        <w:tab/>
        <w:t>3.2.2.</w:t>
      </w:r>
      <w:r>
        <w:rPr>
          <w:noProof/>
        </w:rPr>
        <w:tab/>
        <w:t>Geraamde gevolgen voor de administratieve kredieten</w:t>
      </w:r>
    </w:p>
    <w:p>
      <w:pPr>
        <w:pStyle w:val="ManualHeading3"/>
        <w:rPr>
          <w:noProof/>
        </w:rPr>
      </w:pPr>
      <w:r>
        <w:rPr>
          <w:noProof/>
        </w:rPr>
        <w:tab/>
        <w:t>3.2.3.</w:t>
      </w:r>
      <w:r>
        <w:rPr>
          <w:noProof/>
        </w:rPr>
        <w:tab/>
        <w:t>Bijdragen van derden</w:t>
      </w:r>
    </w:p>
    <w:p>
      <w:pPr>
        <w:pStyle w:val="ManualHeading2"/>
        <w:jc w:val="left"/>
        <w:rPr>
          <w:noProof/>
        </w:rPr>
        <w:sectPr>
          <w:headerReference w:type="default" r:id="rId16"/>
          <w:footerReference w:type="default" r:id="rId17"/>
          <w:headerReference w:type="first" r:id="rId18"/>
          <w:footerReference w:type="first" r:id="rId19"/>
          <w:pgSz w:w="11900" w:h="16840"/>
          <w:pgMar w:top="709" w:right="992" w:bottom="851" w:left="993" w:header="709" w:footer="709" w:gutter="0"/>
          <w:pgNumType w:start="1"/>
          <w:cols w:space="720"/>
          <w:docGrid w:linePitch="326"/>
        </w:sectPr>
      </w:pPr>
      <w:r>
        <w:rPr>
          <w:noProof/>
        </w:rPr>
        <w:tab/>
      </w:r>
      <w:r>
        <w:rPr>
          <w:b w:val="0"/>
          <w:noProof/>
        </w:rPr>
        <w:t>3.3.</w:t>
      </w:r>
      <w:r>
        <w:rPr>
          <w:noProof/>
        </w:rPr>
        <w:tab/>
      </w:r>
      <w:r>
        <w:rPr>
          <w:b w:val="0"/>
          <w:noProof/>
        </w:rPr>
        <w:t>Geraamde gevolgen voor de ontvangsten</w:t>
      </w:r>
    </w:p>
    <w:p>
      <w:pPr>
        <w:pStyle w:val="Text"/>
        <w:jc w:val="center"/>
        <w:rPr>
          <w:b/>
          <w:bCs/>
          <w:noProof/>
          <w:color w:val="auto"/>
          <w:u w:val="single"/>
        </w:rPr>
      </w:pPr>
      <w:r>
        <w:rPr>
          <w:b/>
          <w:noProof/>
          <w:color w:val="auto"/>
          <w:u w:val="single"/>
        </w:rPr>
        <w:t>FINANCIEEL MEMORANDUM</w:t>
      </w:r>
    </w:p>
    <w:p>
      <w:pPr>
        <w:pStyle w:val="ManualHeading1"/>
        <w:rPr>
          <w:noProof/>
        </w:rPr>
      </w:pPr>
      <w:r>
        <w:t>1.</w:t>
      </w:r>
      <w:r>
        <w:tab/>
      </w:r>
      <w:r>
        <w:rPr>
          <w:noProof/>
        </w:rPr>
        <w:t>KADER VAN HET VOORSTEL/INITIATIEF</w:t>
      </w:r>
    </w:p>
    <w:p>
      <w:pPr>
        <w:pStyle w:val="ManualHeading2"/>
        <w:rPr>
          <w:noProof/>
        </w:rPr>
      </w:pPr>
      <w:r>
        <w:t>1.1.</w:t>
      </w:r>
      <w:r>
        <w:tab/>
      </w:r>
      <w:r>
        <w:rPr>
          <w:noProof/>
        </w:rPr>
        <w:t>Benaming van het voorstel/initiatief</w:t>
      </w:r>
    </w:p>
    <w:p>
      <w:pPr>
        <w:pStyle w:val="Text1"/>
        <w:pBdr>
          <w:top w:val="single" w:sz="4" w:space="0" w:color="000000"/>
          <w:left w:val="single" w:sz="4" w:space="0" w:color="000000"/>
          <w:bottom w:val="single" w:sz="4" w:space="0" w:color="000000"/>
          <w:right w:val="single" w:sz="4" w:space="0" w:color="000000"/>
        </w:pBdr>
        <w:rPr>
          <w:noProof/>
        </w:rPr>
      </w:pPr>
      <w:r>
        <w:rPr>
          <w:noProof/>
        </w:rPr>
        <w:t>Voorstel voor een verordening van het Europees Parlement en de Raad tot vaststelling van het programma "Europees Solidariteitskorps".</w:t>
      </w:r>
    </w:p>
    <w:p>
      <w:pPr>
        <w:pStyle w:val="ManualHeading2"/>
        <w:rPr>
          <w:noProof/>
        </w:rPr>
      </w:pPr>
      <w:r>
        <w:t>1.2.</w:t>
      </w:r>
      <w:r>
        <w:tab/>
      </w:r>
      <w:r>
        <w:rPr>
          <w:noProof/>
        </w:rPr>
        <w:t>Betrokken beleidsterrein(en) (programmacluster)</w:t>
      </w:r>
    </w:p>
    <w:p>
      <w:pPr>
        <w:pStyle w:val="Text1"/>
        <w:pBdr>
          <w:top w:val="single" w:sz="4" w:space="0" w:color="000000"/>
          <w:left w:val="single" w:sz="4" w:space="0" w:color="000000"/>
          <w:bottom w:val="single" w:sz="4" w:space="0" w:color="000000"/>
          <w:right w:val="single" w:sz="4" w:space="0" w:color="000000"/>
        </w:pBdr>
        <w:rPr>
          <w:noProof/>
        </w:rPr>
      </w:pPr>
      <w:r>
        <w:rPr>
          <w:noProof/>
        </w:rPr>
        <w:t>7. Investeren in mensen, sociale cohesie en waarden</w:t>
      </w:r>
    </w:p>
    <w:p>
      <w:pPr>
        <w:pStyle w:val="ManualHeading2"/>
        <w:rPr>
          <w:noProof/>
        </w:rPr>
      </w:pPr>
      <w:r>
        <w:t>1.3.</w:t>
      </w:r>
      <w:r>
        <w:tab/>
      </w:r>
      <w:r>
        <w:rPr>
          <w:noProof/>
        </w:rPr>
        <w:t>Het voorstel/initiatief betreft:</w:t>
      </w:r>
    </w:p>
    <w:p>
      <w:pPr>
        <w:pStyle w:val="Text1"/>
        <w:rPr>
          <w:b/>
          <w:noProof/>
          <w:sz w:val="22"/>
        </w:rPr>
      </w:pPr>
      <w:r>
        <w:rPr>
          <w:noProof/>
          <w:sz w:val="22"/>
        </w:rPr>
        <w:sym w:font="Wingdings" w:char="F0FE"/>
      </w:r>
      <w:r>
        <w:rPr>
          <w:noProof/>
          <w:sz w:val="22"/>
        </w:rPr>
        <w:t xml:space="preserve"> </w:t>
      </w:r>
      <w:r>
        <w:rPr>
          <w:b/>
          <w:noProof/>
          <w:sz w:val="22"/>
        </w:rPr>
        <w:t>een nieuwe actie;</w:t>
      </w:r>
    </w:p>
    <w:p>
      <w:pPr>
        <w:pStyle w:val="Text1"/>
        <w:rPr>
          <w:b/>
          <w:noProof/>
          <w:sz w:val="22"/>
        </w:rPr>
      </w:pPr>
      <w:r>
        <w:rPr>
          <w:noProof/>
          <w:sz w:val="22"/>
        </w:rPr>
        <w:sym w:font="Wingdings" w:char="F0A8"/>
      </w:r>
      <w:r>
        <w:rPr>
          <w:noProof/>
          <w:sz w:val="22"/>
        </w:rPr>
        <w:t xml:space="preserve"> </w:t>
      </w:r>
      <w:r>
        <w:rPr>
          <w:b/>
          <w:noProof/>
          <w:sz w:val="22"/>
        </w:rPr>
        <w:t>een nieuwe actie na een proefproject/een voorbereidende actie;</w:t>
      </w:r>
      <w:r>
        <w:rPr>
          <w:rStyle w:val="FootnoteReference"/>
          <w:noProof/>
        </w:rPr>
        <w:footnoteReference w:id="36"/>
      </w:r>
    </w:p>
    <w:p>
      <w:pPr>
        <w:pStyle w:val="Text1"/>
        <w:rPr>
          <w:b/>
          <w:noProof/>
          <w:sz w:val="22"/>
        </w:rPr>
      </w:pPr>
      <w:r>
        <w:rPr>
          <w:noProof/>
          <w:sz w:val="22"/>
        </w:rPr>
        <w:sym w:font="Wingdings" w:char="F0A8"/>
      </w:r>
      <w:r>
        <w:rPr>
          <w:noProof/>
          <w:sz w:val="22"/>
        </w:rPr>
        <w:t xml:space="preserve"> </w:t>
      </w:r>
      <w:r>
        <w:rPr>
          <w:b/>
          <w:noProof/>
          <w:sz w:val="22"/>
        </w:rPr>
        <w:t>de verlenging van een bestaande actie;</w:t>
      </w:r>
    </w:p>
    <w:p>
      <w:pPr>
        <w:pStyle w:val="Text1"/>
        <w:rPr>
          <w:b/>
          <w:noProof/>
          <w:sz w:val="22"/>
        </w:rPr>
      </w:pPr>
      <w:r>
        <w:rPr>
          <w:noProof/>
          <w:sz w:val="22"/>
        </w:rPr>
        <w:sym w:font="Wingdings" w:char="F0A8"/>
      </w:r>
      <w:r>
        <w:rPr>
          <w:noProof/>
          <w:sz w:val="22"/>
        </w:rPr>
        <w:t xml:space="preserve"> </w:t>
      </w:r>
      <w:r>
        <w:rPr>
          <w:b/>
          <w:noProof/>
          <w:sz w:val="22"/>
        </w:rPr>
        <w:t>de samenvoeging of ombuiging van een of meer acties naar een andere/een nieuwe actie.</w:t>
      </w:r>
    </w:p>
    <w:p>
      <w:pPr>
        <w:pStyle w:val="ManualHeading2"/>
        <w:rPr>
          <w:noProof/>
        </w:rPr>
      </w:pPr>
      <w:r>
        <w:t>1.4.</w:t>
      </w:r>
      <w:r>
        <w:tab/>
      </w:r>
      <w:r>
        <w:rPr>
          <w:noProof/>
        </w:rPr>
        <w:t>Motivering van het voorstel/initiatief</w:t>
      </w:r>
    </w:p>
    <w:p>
      <w:pPr>
        <w:pStyle w:val="ManualHeading3"/>
        <w:rPr>
          <w:noProof/>
        </w:rPr>
      </w:pPr>
      <w:r>
        <w:t>1.4.1.</w:t>
      </w:r>
      <w:r>
        <w:tab/>
      </w:r>
      <w:r>
        <w:rPr>
          <w:noProof/>
        </w:rPr>
        <w:t>Behoefte(n) waarin op korte of lange termijn moet worden voorzien, met een gedetailleerd tijdschema voor de uitrol van het initiatief</w:t>
      </w:r>
    </w:p>
    <w:p>
      <w:pPr>
        <w:pStyle w:val="Text1"/>
        <w:pBdr>
          <w:top w:val="single" w:sz="4" w:space="0" w:color="000000"/>
          <w:left w:val="single" w:sz="4" w:space="0" w:color="000000"/>
          <w:bottom w:val="single" w:sz="4" w:space="0" w:color="000000"/>
          <w:right w:val="single" w:sz="4" w:space="0" w:color="000000"/>
        </w:pBdr>
        <w:rPr>
          <w:noProof/>
        </w:rPr>
      </w:pPr>
      <w:r>
        <w:rPr>
          <w:noProof/>
        </w:rPr>
        <w:t>Een korps van gemotiveerde Europese jongeren oprichten die bereid zijn om – in eigen land of in het buitenland – vrijwilligerswerk te doen, stage te lopen of te werken op solidariteitsgerelateerde gebieden.</w:t>
      </w:r>
    </w:p>
    <w:p>
      <w:pPr>
        <w:pStyle w:val="Text1"/>
        <w:pBdr>
          <w:top w:val="single" w:sz="4" w:space="0" w:color="000000"/>
          <w:left w:val="single" w:sz="4" w:space="0" w:color="000000"/>
          <w:bottom w:val="single" w:sz="4" w:space="0" w:color="000000"/>
          <w:right w:val="single" w:sz="4" w:space="0" w:color="000000"/>
        </w:pBdr>
        <w:rPr>
          <w:noProof/>
        </w:rPr>
      </w:pPr>
      <w:r>
        <w:rPr>
          <w:noProof/>
        </w:rPr>
        <w:t>Tegen 2027 zal het programma naar verwachting kansen hebben geboden aan 350 000 jonge Europeanen.</w:t>
      </w:r>
    </w:p>
    <w:p>
      <w:pPr>
        <w:pStyle w:val="Text1"/>
        <w:pBdr>
          <w:top w:val="single" w:sz="4" w:space="0" w:color="000000"/>
          <w:left w:val="single" w:sz="4" w:space="0" w:color="000000"/>
          <w:bottom w:val="single" w:sz="4" w:space="0" w:color="000000"/>
          <w:right w:val="single" w:sz="4" w:space="0" w:color="000000"/>
        </w:pBdr>
        <w:rPr>
          <w:noProof/>
        </w:rPr>
      </w:pPr>
      <w:r>
        <w:rPr>
          <w:noProof/>
        </w:rPr>
        <w:t>Organisaties ondersteunen bij de uitvoering van toegankelijke solidariteitsacties van hoge kwaliteit waarvan wordt verwacht dat zij zullen bijdragen tot het aanpakken van onvervulde maatschappelijke behoeften en tegelijkertijd de persoonlijke, educatieve, sociale en professionele ontwikkeling van jongeren en hun ontwikkeling als burger zullen stimuleren.</w:t>
      </w:r>
    </w:p>
    <w:p>
      <w:pPr>
        <w:pStyle w:val="ManualHeading3"/>
        <w:rPr>
          <w:noProof/>
        </w:rPr>
      </w:pPr>
      <w:r>
        <w:t>1.4.2.</w:t>
      </w:r>
      <w:r>
        <w:tab/>
      </w:r>
      <w:r>
        <w:rPr>
          <w:noProof/>
        </w:rPr>
        <w:t>Toegevoegde waarde van de betrokkenheid van de Unie (deze kan het resultaat zijn van verschillende factoren, o.a. coördinatiewinst, rechtszekerheid, een grotere doeltreffendheid en complementariteit). Voor de toepassing van dit punt wordt onder "toegevoegde waarde van de betrokkenheid van de Unie" verstaan de waarde die een optreden van de Unie oplevert bovenop de waarde die zou zijn gecreëerd indien alleen de lidstaat een maatregel had getroffen.</w:t>
      </w:r>
    </w:p>
    <w:p>
      <w:pPr>
        <w:pStyle w:val="Text1"/>
        <w:pBdr>
          <w:top w:val="single" w:sz="4" w:space="0" w:color="000000"/>
          <w:left w:val="single" w:sz="4" w:space="0" w:color="000000"/>
          <w:bottom w:val="single" w:sz="4" w:space="0" w:color="000000"/>
          <w:right w:val="single" w:sz="4" w:space="0" w:color="000000"/>
        </w:pBdr>
        <w:rPr>
          <w:noProof/>
        </w:rPr>
      </w:pPr>
      <w:r>
        <w:rPr>
          <w:noProof/>
        </w:rPr>
        <w:t>Het Europees Solidariteitskorps vergroot de Europese dimensie van solidariteit. Het zal een aanvulling vormen op de bestaande openbare en particuliere beleidsmaatregelen, programma's en activiteiten en dit zal geen concurrentie of substitutie-effecten opleveren. Dit complementaire effect zal worden gewaarborgd aangezien het korps onvervulde maatschappelijke behoeften zal aanpakken, namelijk situaties waarin de behoeften van gemeenschappen en burgers – bijvoorbeeld wegens een gebrek aan middelen – niet worden vervuld door de arbeidsmarkt of door bestaande programma's voor vrijwilligerswerk of andere vormen van solidariteit.</w:t>
      </w:r>
    </w:p>
    <w:p>
      <w:pPr>
        <w:pStyle w:val="Text1"/>
        <w:pBdr>
          <w:top w:val="single" w:sz="4" w:space="0" w:color="000000"/>
          <w:left w:val="single" w:sz="4" w:space="0" w:color="000000"/>
          <w:bottom w:val="single" w:sz="4" w:space="0" w:color="000000"/>
          <w:right w:val="single" w:sz="4" w:space="0" w:color="000000"/>
        </w:pBdr>
        <w:rPr>
          <w:noProof/>
        </w:rPr>
      </w:pPr>
      <w:r>
        <w:rPr>
          <w:noProof/>
        </w:rPr>
        <w:t>Bovendien komt de Europese meerwaarde van het voorstel, zoals uiteengezet in de evaluatie vooraf, voort uit een gemeenschappelijke kwaliteitsnorm in de aangeboden mogelijkheden; uit solidariteit, beschouwd als een gemeenschappelijke Europese waarde; uit schaal- en synergievoordelen, door de integratie van beide programma's; en uit samenhang, door de integratie binnen één programma van alle mogelijkheden voor jongeren op het gebied van solidariteit.</w:t>
      </w:r>
    </w:p>
    <w:p>
      <w:pPr>
        <w:pStyle w:val="ManualHeading3"/>
        <w:rPr>
          <w:noProof/>
        </w:rPr>
      </w:pPr>
      <w:r>
        <w:t>1.4.3.</w:t>
      </w:r>
      <w:r>
        <w:tab/>
      </w:r>
      <w:r>
        <w:rPr>
          <w:noProof/>
        </w:rPr>
        <w:t>Nuttige ervaring die bij soortgelijke activiteiten in het verleden is opgedaan</w:t>
      </w:r>
    </w:p>
    <w:p>
      <w:pPr>
        <w:pStyle w:val="Text1"/>
        <w:pBdr>
          <w:top w:val="single" w:sz="4" w:space="0" w:color="000000"/>
          <w:left w:val="single" w:sz="4" w:space="0" w:color="000000"/>
          <w:bottom w:val="single" w:sz="4" w:space="0" w:color="000000"/>
          <w:right w:val="single" w:sz="4" w:space="0" w:color="000000"/>
        </w:pBdr>
        <w:rPr>
          <w:noProof/>
        </w:rPr>
      </w:pPr>
      <w:r>
        <w:rPr>
          <w:noProof/>
        </w:rPr>
        <w:t>Het Europees Solidariteitskorps bouwt voort op de rijke en lange traditie en ervaring van de lidstaten op het vlak van activiteiten ten dienste van het algemeen belang, bijvoorbeeld via vrijwilligerswerk. Sommige lidstaten hebben burgerdienstprogramma's die jongeren de mogelijkheid bieden om zich voor het algemeen belang in te zetten; andere lidstaten ondersteunen activiteiten van het maatschappelijk middenveld.</w:t>
      </w:r>
    </w:p>
    <w:p>
      <w:pPr>
        <w:pStyle w:val="Text1"/>
        <w:pBdr>
          <w:top w:val="single" w:sz="4" w:space="0" w:color="000000"/>
          <w:left w:val="single" w:sz="4" w:space="0" w:color="000000"/>
          <w:bottom w:val="single" w:sz="4" w:space="0" w:color="000000"/>
          <w:right w:val="single" w:sz="4" w:space="0" w:color="000000"/>
        </w:pBdr>
        <w:rPr>
          <w:noProof/>
        </w:rPr>
      </w:pPr>
      <w:r>
        <w:rPr>
          <w:noProof/>
        </w:rPr>
        <w:t>Op EU-niveau heeft het Europees vrijwilligerswerk (EVS) jongeren 20 jaar lang vrijwilligersmogelijkheden geboden, terwijl programma's zoals de jongerengarantie en de regeling "Je eerste Eures-baan" jongeren aan stages en banen helpen. Het EU-vrijwilligersinitiatief voor humanitaire hulp, dat in 2014 is gestart, biedt burgers van de EU de mogelijkheid in een derde land als vrijwilliger aan de slag te gaan en steun te bieden en een bijdrage te leveren aan humanitaire hulp waar dat het meest nodig is.</w:t>
      </w:r>
    </w:p>
    <w:p>
      <w:pPr>
        <w:pStyle w:val="Text1"/>
        <w:pBdr>
          <w:top w:val="single" w:sz="4" w:space="0" w:color="000000"/>
          <w:left w:val="single" w:sz="4" w:space="0" w:color="000000"/>
          <w:bottom w:val="single" w:sz="4" w:space="0" w:color="000000"/>
          <w:right w:val="single" w:sz="4" w:space="0" w:color="000000"/>
        </w:pBdr>
        <w:rPr>
          <w:noProof/>
        </w:rPr>
      </w:pPr>
      <w:r>
        <w:rPr>
          <w:noProof/>
        </w:rPr>
        <w:t>Het Europees Solidariteitskorps bouwt voort op de sterke punten van deze initiatieven en de ervaring die ermee is opgedaan, zodat het programma kan steunen op een solide, bestaand fundament, dat tegelijkertijd verder wordt uitgebreid om nieuwe kansen, meer zichtbaarheid en een grotere impact te kunnen bieden. Het Europees Solidariteitskorps zal nieuwe mogelijkheden bieden op het gebied van humanitaire hulp — een gebied dat niet langer zal worden ondersteund door het EU-vrijwilligersinitiatief voor humanitaire hulp, dat na 2020 niet zal worden voortgezet — en tegelijkertijd de toegang voor jongeren en organisaties makkelijker maken. Het Europees Solidariteitskorps zal via zijn portaalsite een centraal, laagdrempelig toegangspunt blijven bieden en ernaar streven zo veel mogelijk deelnemende organisaties en betrokken jongeren te bereiken. Daarnaast zal het de beschikbaarheid van opleidingen voorafgaand aan een activiteit ontwikkelen en bevorderen, evenals relevante ondersteuning en de validering van leerresultaten na afloop van een activiteit.</w:t>
      </w:r>
    </w:p>
    <w:p>
      <w:pPr>
        <w:pStyle w:val="Text1"/>
        <w:pBdr>
          <w:top w:val="single" w:sz="4" w:space="0" w:color="000000"/>
          <w:left w:val="single" w:sz="4" w:space="0" w:color="000000"/>
          <w:bottom w:val="single" w:sz="4" w:space="0" w:color="000000"/>
          <w:right w:val="single" w:sz="4" w:space="0" w:color="000000"/>
        </w:pBdr>
        <w:rPr>
          <w:noProof/>
        </w:rPr>
      </w:pPr>
      <w:r>
        <w:rPr>
          <w:noProof/>
        </w:rPr>
        <w:t>Om een efficiënte en doeltreffende uitvoering te waarborgen, zal het Europees Solidariteitskorps maximaal gebruikmaken van de bestaande beheersregelingen. Hierdoor kan de nadruk worden gelegd op het behalen van maximale resultaten en prestaties en kunnen tegelijkertijd de administratieve lasten zoveel mogelijk worden beperkt. Daarom zal de uitvoering van het Europees Solidariteitskorps worden toevertrouwd aan bestaande structuren, namelijk de Europese Commissie, mede via haar Uitvoerend Agentschap onderwijs, audiovisuele media en cultuur (EACEA), en de nationale agentschappen die zijn aangewezen voor het beheer van de acties als bedoeld in het hoofdstuk "Jeugd" van [nieuwe Erasmusverordening] tot vaststelling van het Erasmusprogramma.</w:t>
      </w:r>
    </w:p>
    <w:p>
      <w:pPr>
        <w:pStyle w:val="ManualHeading3"/>
        <w:rPr>
          <w:noProof/>
        </w:rPr>
      </w:pPr>
      <w:r>
        <w:t>1.4.4.</w:t>
      </w:r>
      <w:r>
        <w:tab/>
      </w:r>
      <w:r>
        <w:rPr>
          <w:noProof/>
        </w:rPr>
        <w:t>Verenigbaarheid en eventuele synergie met andere passende instrumenten</w:t>
      </w:r>
    </w:p>
    <w:p>
      <w:pPr>
        <w:pStyle w:val="Text1"/>
        <w:pBdr>
          <w:top w:val="single" w:sz="4" w:space="0" w:color="000000"/>
          <w:left w:val="single" w:sz="4" w:space="0" w:color="000000"/>
          <w:bottom w:val="single" w:sz="4" w:space="0" w:color="000000"/>
          <w:right w:val="single" w:sz="4" w:space="0" w:color="000000"/>
        </w:pBdr>
        <w:rPr>
          <w:noProof/>
        </w:rPr>
      </w:pPr>
      <w:r>
        <w:rPr>
          <w:noProof/>
        </w:rPr>
        <w:t>De acties van het Europees Solidariteitskorps zijn consistent met een reeks relevante beleidslijnen en programma's van de EU en vullen deze aan, in het bijzonder (maar niet beperkt tot) die welke verband houden met onderwijs en opleiding, werkgelegenheid, gendergelijkheid, ondernemerschap (in het bijzonder sociaal ondernemerschap), burgerschap en democratische participatie, milieu en natuurbescherming, klimaatactie, rampenpreventie, -paraatheid en hersteloperaties, landbouw en plattelandsontwikkeling, het verstrekken van levensmiddelen en non-foodartikelen, gezondheid en welzijn, creativiteit en cultuur, lichamelijke opvoeding en sport, sociale bijstand en welzijnszorg, de opvang en integratie van onderdanen van derde landen, territoriale samenwerking en cohesie, grensoverschrijdende samenwerking en humanitaire hulp.</w:t>
      </w:r>
    </w:p>
    <w:p>
      <w:pPr>
        <w:pStyle w:val="Text1"/>
        <w:pBdr>
          <w:top w:val="single" w:sz="4" w:space="0" w:color="000000"/>
          <w:left w:val="single" w:sz="4" w:space="0" w:color="000000"/>
          <w:bottom w:val="single" w:sz="4" w:space="0" w:color="000000"/>
          <w:right w:val="single" w:sz="4" w:space="0" w:color="000000"/>
        </w:pBdr>
        <w:rPr>
          <w:noProof/>
        </w:rPr>
      </w:pPr>
      <w:r>
        <w:rPr>
          <w:noProof/>
        </w:rPr>
        <w:t>In de eerste fase van het Europees Solidariteitskorps, die in december 2016 van start ging, werden acht verschillende EU-programma's ingeschakeld om jongeren in de hele EU mogelijkheden te bieden voor vrijwilligerswerk, stages of banen. Voor die activiteiten golden de regels en voorwaarden van de EU-programma's die de activiteiten tijdens de eerste fase van het Europees Solidariteitskorps financierden, ongeacht of de activiteiten voor of na de datum van inwerkingtreding van de voorgestelde verordening werden uitgevoerd.</w:t>
      </w:r>
    </w:p>
    <w:p>
      <w:pPr>
        <w:pStyle w:val="Text1"/>
        <w:pBdr>
          <w:top w:val="single" w:sz="4" w:space="0" w:color="000000"/>
          <w:left w:val="single" w:sz="4" w:space="0" w:color="000000"/>
          <w:bottom w:val="single" w:sz="4" w:space="0" w:color="000000"/>
          <w:right w:val="single" w:sz="4" w:space="0" w:color="000000"/>
        </w:pBdr>
        <w:rPr>
          <w:noProof/>
        </w:rPr>
      </w:pPr>
      <w:r>
        <w:rPr>
          <w:noProof/>
        </w:rPr>
        <w:t>Voor de tweede fase, die van start gaat bij de inwerkingtreding van [verordening inzake het Europees Solidariteitskorps], zullen verschillende EU-programma's een bijdrage hebben geleverd aan het Europees Solidariteitskorps: sommige daarvan via bijdragen aan de financiële middelen van het Europees Solidariteitskorps, andere via steun aan activiteiten die binnen de eigen werkingssfeer vallen. Die bijdragen worden gefinancierd in overeenstemming met de respectieve basisbesluiten van de betrokken programma's.</w:t>
      </w:r>
    </w:p>
    <w:p>
      <w:pPr>
        <w:pStyle w:val="Text1"/>
        <w:pBdr>
          <w:top w:val="single" w:sz="4" w:space="0" w:color="000000"/>
          <w:left w:val="single" w:sz="4" w:space="0" w:color="000000"/>
          <w:bottom w:val="single" w:sz="4" w:space="0" w:color="000000"/>
          <w:right w:val="single" w:sz="4" w:space="0" w:color="000000"/>
        </w:pBdr>
        <w:rPr>
          <w:noProof/>
        </w:rPr>
      </w:pPr>
      <w:r>
        <w:rPr>
          <w:noProof/>
        </w:rPr>
        <w:t>Dit voorstel vormt de achtergrond van een derde fase van het Europees Solidariteitskorps. Aangezien het nieuwe, uitgebreide toepassingsgebied activiteiten omvat ter ondersteuning van humanitaire operaties, zal het Europees Solidariteitskorps profiteren van extra bijdragen ter ondersteuning van de nieuwe activiteiten. Die activiteiten zullen in nauwe samenwerking met de betrokken diensten van de Commissie worden uitgevoerd.</w:t>
      </w:r>
    </w:p>
    <w:p>
      <w:pPr>
        <w:pStyle w:val="berschrift2"/>
        <w:rPr>
          <w:rFonts w:cs="Times New Roman"/>
          <w:noProof/>
          <w:color w:val="auto"/>
        </w:rPr>
      </w:pPr>
      <w:r>
        <w:rPr>
          <w:noProof/>
        </w:rPr>
        <w:br w:type="page"/>
      </w:r>
    </w:p>
    <w:p>
      <w:pPr>
        <w:pStyle w:val="ManualHeading2"/>
        <w:rPr>
          <w:noProof/>
        </w:rPr>
      </w:pPr>
      <w:r>
        <w:t>1.5.</w:t>
      </w:r>
      <w:r>
        <w:tab/>
      </w:r>
      <w:r>
        <w:rPr>
          <w:noProof/>
        </w:rPr>
        <w:t>Duur en financiële gevolgen</w:t>
      </w:r>
    </w:p>
    <w:p>
      <w:pPr>
        <w:pStyle w:val="Text1"/>
        <w:rPr>
          <w:noProof/>
        </w:rPr>
      </w:pPr>
      <w:r>
        <w:rPr>
          <w:noProof/>
          <w:sz w:val="22"/>
        </w:rPr>
        <w:sym w:font="Wingdings" w:char="F0FE"/>
      </w:r>
      <w:r>
        <w:rPr>
          <w:b/>
          <w:i/>
          <w:noProof/>
        </w:rPr>
        <w:t xml:space="preserve"> </w:t>
      </w:r>
      <w:r>
        <w:rPr>
          <w:b/>
          <w:noProof/>
        </w:rPr>
        <w:t>beperkte geldigheidsduur</w:t>
      </w:r>
    </w:p>
    <w:p>
      <w:pPr>
        <w:pStyle w:val="ListDash2"/>
        <w:rPr>
          <w:noProof/>
        </w:rPr>
      </w:pPr>
      <w:r>
        <w:rPr>
          <w:noProof/>
          <w:sz w:val="22"/>
        </w:rPr>
        <w:sym w:font="Wingdings" w:char="F0FE"/>
      </w:r>
      <w:r>
        <w:rPr>
          <w:noProof/>
        </w:rPr>
        <w:tab/>
        <w:t>van kracht vanaf 1.1.2021 tot en met 31.12.2027</w:t>
      </w:r>
    </w:p>
    <w:p>
      <w:pPr>
        <w:pStyle w:val="ListDash2"/>
        <w:rPr>
          <w:noProof/>
        </w:rPr>
      </w:pPr>
      <w:r>
        <w:rPr>
          <w:noProof/>
          <w:sz w:val="22"/>
        </w:rPr>
        <w:sym w:font="Wingdings" w:char="F0FE"/>
      </w:r>
      <w:r>
        <w:rPr>
          <w:noProof/>
        </w:rPr>
        <w:tab/>
        <w:t>financiële gevolgen vanaf 2021 tot en met 2027 voor vastleggingskredieten en vanaf 2021 tot en met 2032 voor betalingskredieten.</w:t>
      </w:r>
    </w:p>
    <w:p>
      <w:pPr>
        <w:pStyle w:val="Text1"/>
        <w:rPr>
          <w:b/>
          <w:noProof/>
          <w:sz w:val="22"/>
        </w:rPr>
      </w:pPr>
      <w:r>
        <w:rPr>
          <w:b/>
          <w:noProof/>
          <w:sz w:val="22"/>
        </w:rPr>
        <w:sym w:font="Wingdings" w:char="F0A8"/>
      </w:r>
      <w:r>
        <w:rPr>
          <w:b/>
          <w:noProof/>
          <w:sz w:val="22"/>
        </w:rPr>
        <w:t xml:space="preserve"> onbeperkte geldigheidsduur</w:t>
      </w:r>
    </w:p>
    <w:p>
      <w:pPr>
        <w:pStyle w:val="ListDash1"/>
        <w:numPr>
          <w:ilvl w:val="0"/>
          <w:numId w:val="47"/>
        </w:numPr>
        <w:pBdr>
          <w:top w:val="nil"/>
          <w:left w:val="nil"/>
          <w:bottom w:val="nil"/>
          <w:right w:val="nil"/>
          <w:between w:val="nil"/>
          <w:bar w:val="nil"/>
        </w:pBdr>
        <w:tabs>
          <w:tab w:val="left" w:pos="1134"/>
        </w:tabs>
        <w:rPr>
          <w:noProof/>
        </w:rPr>
      </w:pPr>
      <w:r>
        <w:rPr>
          <w:noProof/>
        </w:rPr>
        <w:t>Uitvoering met een opstartperiode vanaf JJJJ tot en met JJJJ, gevolgd door een volledige uitvoering.</w:t>
      </w:r>
    </w:p>
    <w:p>
      <w:pPr>
        <w:pStyle w:val="ManualHeading2"/>
        <w:rPr>
          <w:noProof/>
        </w:rPr>
      </w:pPr>
      <w:r>
        <w:t>1.6.</w:t>
      </w:r>
      <w:r>
        <w:tab/>
      </w:r>
      <w:r>
        <w:rPr>
          <w:noProof/>
        </w:rPr>
        <w:t>Beheersvorm(en)</w:t>
      </w:r>
      <w:r>
        <w:rPr>
          <w:rStyle w:val="FootnoteReference"/>
          <w:noProof/>
        </w:rPr>
        <w:footnoteReference w:id="37"/>
      </w:r>
    </w:p>
    <w:p>
      <w:pPr>
        <w:pStyle w:val="Text1"/>
        <w:rPr>
          <w:noProof/>
        </w:rPr>
      </w:pPr>
      <w:r>
        <w:rPr>
          <w:noProof/>
          <w:sz w:val="22"/>
        </w:rPr>
        <w:sym w:font="Wingdings" w:char="F0FE"/>
      </w:r>
      <w:r>
        <w:rPr>
          <w:i/>
          <w:noProof/>
        </w:rPr>
        <w:t xml:space="preserve"> </w:t>
      </w:r>
      <w:r>
        <w:rPr>
          <w:b/>
          <w:noProof/>
        </w:rPr>
        <w:t>Direct beheer</w:t>
      </w:r>
      <w:r>
        <w:rPr>
          <w:noProof/>
        </w:rPr>
        <w:t xml:space="preserve"> door de Commissie</w:t>
      </w:r>
    </w:p>
    <w:p>
      <w:pPr>
        <w:pStyle w:val="ListDash2"/>
        <w:rPr>
          <w:noProof/>
        </w:rPr>
      </w:pPr>
      <w:r>
        <w:rPr>
          <w:noProof/>
          <w:sz w:val="22"/>
        </w:rPr>
        <w:sym w:font="Wingdings" w:char="F0FE"/>
      </w:r>
      <w:r>
        <w:rPr>
          <w:noProof/>
        </w:rPr>
        <w:t xml:space="preserve"> door haar diensten, waaronder het personeel in de delegaties van de Unie;</w:t>
      </w:r>
    </w:p>
    <w:p>
      <w:pPr>
        <w:pStyle w:val="ListDash2"/>
        <w:rPr>
          <w:noProof/>
        </w:rPr>
      </w:pPr>
      <w:r>
        <w:rPr>
          <w:noProof/>
          <w:sz w:val="22"/>
        </w:rPr>
        <w:sym w:font="Wingdings" w:char="F0FE"/>
      </w:r>
      <w:r>
        <w:rPr>
          <w:noProof/>
        </w:rPr>
        <w:tab/>
        <w:t>door de uitvoerende agentschappen;</w:t>
      </w:r>
    </w:p>
    <w:p>
      <w:pPr>
        <w:pStyle w:val="Text1"/>
        <w:rPr>
          <w:noProof/>
        </w:rPr>
      </w:pPr>
      <w:r>
        <w:rPr>
          <w:noProof/>
        </w:rPr>
        <w:sym w:font="Wingdings" w:char="F0A8"/>
      </w:r>
      <w:r>
        <w:rPr>
          <w:b/>
          <w:i/>
          <w:noProof/>
        </w:rPr>
        <w:t xml:space="preserve"> </w:t>
      </w:r>
      <w:r>
        <w:rPr>
          <w:b/>
          <w:noProof/>
        </w:rPr>
        <w:t>Gedeeld beheer</w:t>
      </w:r>
      <w:r>
        <w:rPr>
          <w:noProof/>
        </w:rPr>
        <w:t xml:space="preserve"> met lidstaten</w:t>
      </w:r>
    </w:p>
    <w:p>
      <w:pPr>
        <w:pStyle w:val="Text1"/>
        <w:rPr>
          <w:noProof/>
        </w:rPr>
      </w:pPr>
      <w:r>
        <w:rPr>
          <w:noProof/>
          <w:sz w:val="22"/>
        </w:rPr>
        <w:sym w:font="Wingdings" w:char="F0FE"/>
      </w:r>
      <w:r>
        <w:rPr>
          <w:i/>
          <w:noProof/>
        </w:rPr>
        <w:t xml:space="preserve"> </w:t>
      </w:r>
      <w:r>
        <w:rPr>
          <w:b/>
          <w:noProof/>
        </w:rPr>
        <w:t>Indirect beheer</w:t>
      </w:r>
      <w:r>
        <w:rPr>
          <w:noProof/>
        </w:rPr>
        <w:t xml:space="preserve"> door begrotingsuitvoeringstaken te delegeren aan:</w:t>
      </w:r>
    </w:p>
    <w:p>
      <w:pPr>
        <w:pStyle w:val="ListDash2"/>
        <w:rPr>
          <w:noProof/>
        </w:rPr>
      </w:pPr>
      <w:r>
        <w:rPr>
          <w:noProof/>
        </w:rPr>
        <w:sym w:font="Wingdings" w:char="F0A8"/>
      </w:r>
      <w:r>
        <w:rPr>
          <w:noProof/>
        </w:rPr>
        <w:t xml:space="preserve"> derde landen of de door hen aangewezen organen;</w:t>
      </w:r>
    </w:p>
    <w:p>
      <w:pPr>
        <w:pStyle w:val="ListDash2"/>
        <w:rPr>
          <w:noProof/>
        </w:rPr>
      </w:pPr>
      <w:r>
        <w:rPr>
          <w:noProof/>
        </w:rPr>
        <w:sym w:font="Wingdings" w:char="F0A8"/>
      </w:r>
      <w:r>
        <w:rPr>
          <w:noProof/>
        </w:rPr>
        <w:t xml:space="preserve"> internationale organisaties en hun agentschappen (geef aan welke);</w:t>
      </w:r>
    </w:p>
    <w:p>
      <w:pPr>
        <w:pStyle w:val="ListDash2"/>
        <w:rPr>
          <w:noProof/>
        </w:rPr>
      </w:pPr>
      <w:r>
        <w:rPr>
          <w:noProof/>
        </w:rPr>
        <w:sym w:font="Wingdings" w:char="F0A8"/>
      </w:r>
      <w:r>
        <w:rPr>
          <w:noProof/>
        </w:rPr>
        <w:t xml:space="preserve"> de EIB en het Europees Investeringsfonds;</w:t>
      </w:r>
    </w:p>
    <w:p>
      <w:pPr>
        <w:pStyle w:val="ListDash2"/>
        <w:rPr>
          <w:noProof/>
        </w:rPr>
      </w:pPr>
      <w:r>
        <w:rPr>
          <w:noProof/>
        </w:rPr>
        <w:sym w:font="Wingdings" w:char="F0A8"/>
      </w:r>
      <w:r>
        <w:rPr>
          <w:noProof/>
        </w:rPr>
        <w:t xml:space="preserve"> de in de artikelen 70 en 71 van het Financieel Reglement bedoelde organen;</w:t>
      </w:r>
    </w:p>
    <w:p>
      <w:pPr>
        <w:pStyle w:val="ListDash2"/>
        <w:rPr>
          <w:noProof/>
        </w:rPr>
      </w:pPr>
      <w:r>
        <w:rPr>
          <w:noProof/>
        </w:rPr>
        <w:sym w:font="Wingdings" w:char="F0A8"/>
      </w:r>
      <w:r>
        <w:rPr>
          <w:noProof/>
        </w:rPr>
        <w:t xml:space="preserve"> publiekrechtelijke organen;</w:t>
      </w:r>
    </w:p>
    <w:p>
      <w:pPr>
        <w:pStyle w:val="ListDash2"/>
        <w:rPr>
          <w:noProof/>
        </w:rPr>
      </w:pPr>
      <w:r>
        <w:rPr>
          <w:noProof/>
        </w:rPr>
        <w:sym w:font="Wingdings" w:char="F0A8"/>
      </w:r>
      <w:r>
        <w:rPr>
          <w:noProof/>
        </w:rPr>
        <w:t xml:space="preserve"> privaatrechtelijke organen met een openbaredienstverleningstaak, voor zover zij voldoende financiële garanties bieden;</w:t>
      </w:r>
    </w:p>
    <w:p>
      <w:pPr>
        <w:pStyle w:val="ListDash2"/>
        <w:rPr>
          <w:noProof/>
        </w:rPr>
      </w:pPr>
      <w:r>
        <w:rPr>
          <w:noProof/>
          <w:sz w:val="22"/>
        </w:rPr>
        <w:sym w:font="Wingdings" w:char="F0FE"/>
      </w:r>
      <w:r>
        <w:rPr>
          <w:noProof/>
        </w:rPr>
        <w:t xml:space="preserve"> privaatrechtelijke organen van een lidstaat, waaraan de uitvoering van een publiek-privaat partnerschap is toevertrouwd en die voldoende financiële garanties bieden;</w:t>
      </w:r>
    </w:p>
    <w:p>
      <w:pPr>
        <w:pStyle w:val="ListDash2"/>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pPr>
        <w:pStyle w:val="ListDash2"/>
        <w:rPr>
          <w:i/>
          <w:noProof/>
          <w:sz w:val="18"/>
          <w:u w:val="single"/>
        </w:rPr>
      </w:pPr>
      <w:r>
        <w:rPr>
          <w:i/>
          <w:noProof/>
          <w:sz w:val="18"/>
        </w:rPr>
        <w:t>Verstrek, indien meer dan een beheersvorm is aangekruist, extra informatie onder "Opmerkingen".</w:t>
      </w:r>
    </w:p>
    <w:p>
      <w:pPr>
        <w:rPr>
          <w:noProof/>
        </w:rPr>
      </w:pPr>
      <w:r>
        <w:rPr>
          <w:noProof/>
        </w:rPr>
        <w:t>Opmerkingen</w:t>
      </w:r>
    </w:p>
    <w:p>
      <w:pPr>
        <w:pStyle w:val="Text"/>
        <w:pBdr>
          <w:top w:val="single" w:sz="4" w:space="0" w:color="000000"/>
          <w:left w:val="single" w:sz="4" w:space="0" w:color="000000"/>
          <w:bottom w:val="single" w:sz="4" w:space="0" w:color="000000"/>
          <w:right w:val="single" w:sz="4" w:space="0" w:color="000000"/>
        </w:pBdr>
        <w:rPr>
          <w:noProof/>
          <w:color w:val="auto"/>
        </w:rPr>
      </w:pPr>
      <w:r>
        <w:rPr>
          <w:noProof/>
          <w:color w:val="auto"/>
        </w:rPr>
        <w:t>Het beheer van de belangrijkste acties van het Europees Solidariteitskorps zal worden overgedragen aan de nationale agentschappen die verantwoordelijk zijn voor de uitvoering van de gedecentraliseerde acties in het kader van het Erasmus+-programma. Deze organen zullen verantwoordelijk zijn voor acties zoals: kwaliteitskeurmerk en opleiding, vrijwilligerswerk, stages en banen, solidariteitsprojecten, netwerkactiviteiten en kenniscentra.</w:t>
      </w:r>
    </w:p>
    <w:p>
      <w:pPr>
        <w:pStyle w:val="Text"/>
        <w:pBdr>
          <w:top w:val="single" w:sz="4" w:space="0" w:color="000000"/>
          <w:left w:val="single" w:sz="4" w:space="0" w:color="000000"/>
          <w:bottom w:val="single" w:sz="4" w:space="0" w:color="000000"/>
          <w:right w:val="single" w:sz="4" w:space="0" w:color="000000"/>
        </w:pBdr>
        <w:rPr>
          <w:noProof/>
          <w:color w:val="auto"/>
        </w:rPr>
      </w:pPr>
      <w:r>
        <w:rPr>
          <w:noProof/>
          <w:color w:val="auto"/>
        </w:rPr>
        <w:t>De Europese Commissie zal, deels ook via het Uitvoerend Agentschap onderwijs, audiovisuele media en cultuur, acties beheren om horizontale diensten te verlenen aan de deelnemers van het Europees Solidariteitskorps (d.w.z. de portaalsite, online opleiding, online taalkundige ondersteuning, verzekering), alsook een deel van de acties, zoals het kwaliteitskeurmerk, solidariteitsactiviteiten (voor bepaalde organisatieprofielen of soorten activiteiten) en netwerkactiviteiten (voor activiteiten op Europees niveau).</w:t>
      </w:r>
    </w:p>
    <w:p>
      <w:pPr>
        <w:pStyle w:val="ManualHeading1"/>
        <w:rPr>
          <w:noProof/>
        </w:rPr>
      </w:pPr>
      <w:r>
        <w:t>2.</w:t>
      </w:r>
      <w:r>
        <w:tab/>
      </w:r>
      <w:r>
        <w:rPr>
          <w:noProof/>
        </w:rPr>
        <w:t>BEHEERSMAATREGELEN</w:t>
      </w:r>
    </w:p>
    <w:p>
      <w:pPr>
        <w:pStyle w:val="ManualHeading2"/>
        <w:rPr>
          <w:noProof/>
        </w:rPr>
      </w:pPr>
      <w:r>
        <w:t>2.1.</w:t>
      </w:r>
      <w:r>
        <w:tab/>
      </w:r>
      <w:r>
        <w:rPr>
          <w:noProof/>
        </w:rPr>
        <w:t>Regels inzake het toezicht en de verslagen</w:t>
      </w:r>
    </w:p>
    <w:p>
      <w:pPr>
        <w:pStyle w:val="Text1"/>
        <w:rPr>
          <w:i/>
          <w:iCs/>
          <w:noProof/>
          <w:sz w:val="20"/>
          <w:szCs w:val="20"/>
          <w:u w:val="single"/>
        </w:rPr>
      </w:pPr>
      <w:r>
        <w:rPr>
          <w:i/>
          <w:noProof/>
          <w:sz w:val="20"/>
        </w:rPr>
        <w:t>Vermeld frequentie en voorwaarden.</w:t>
      </w:r>
    </w:p>
    <w:p>
      <w:pPr>
        <w:pStyle w:val="Text1"/>
        <w:pBdr>
          <w:top w:val="single" w:sz="4" w:space="0" w:color="000000"/>
          <w:left w:val="single" w:sz="4" w:space="0" w:color="000000"/>
          <w:bottom w:val="single" w:sz="4" w:space="0" w:color="000000"/>
          <w:right w:val="single" w:sz="4" w:space="0" w:color="000000"/>
        </w:pBdr>
        <w:rPr>
          <w:noProof/>
        </w:rPr>
      </w:pPr>
      <w:r>
        <w:rPr>
          <w:noProof/>
        </w:rPr>
        <w:t>De regelingen voor de monitoring en evaluatie van het Europees Solidariteitskorps zullen bestaan uit permanente monitoring om de voortgang te beoordelen en een evaluatie om het bestaande bewijs omtrent de effectiviteit van de behaalde resultaten te beoordelen.</w:t>
      </w:r>
    </w:p>
    <w:p>
      <w:pPr>
        <w:pStyle w:val="Text1"/>
        <w:pBdr>
          <w:top w:val="single" w:sz="4" w:space="0" w:color="000000"/>
          <w:left w:val="single" w:sz="4" w:space="0" w:color="000000"/>
          <w:bottom w:val="single" w:sz="4" w:space="0" w:color="000000"/>
          <w:right w:val="single" w:sz="4" w:space="0" w:color="000000"/>
        </w:pBdr>
        <w:rPr>
          <w:noProof/>
        </w:rPr>
      </w:pPr>
      <w:r>
        <w:rPr>
          <w:noProof/>
        </w:rPr>
        <w:t>De regeling op het vlak van monitoring zal gebaseerd zijn op een uitgebreide analyse van de kwantitatieve outputs en de kwalitatieve resultaten van het Europees Solidariteitskorps. De kwantitatieve outputs zullen systematisch worden verzameld via de IT-systemen voor het beheer van de acties van het Europees Solidariteitskorps. De kwalitatieve resultaten zullen worden gemonitord aan de hand van periodieke onderzoeken die zowel gericht zullen zijn op personen als op deelnemende organisaties. Dankzij de rapportage- en beoordelingsregelingen door alle uitvoeringsorganen zal de uitvoering van het voorstel uitgebreid worden gemonitord.</w:t>
      </w:r>
    </w:p>
    <w:p>
      <w:pPr>
        <w:pStyle w:val="Text1"/>
        <w:pBdr>
          <w:top w:val="single" w:sz="4" w:space="0" w:color="000000"/>
          <w:left w:val="single" w:sz="4" w:space="0" w:color="000000"/>
          <w:bottom w:val="single" w:sz="4" w:space="0" w:color="000000"/>
          <w:right w:val="single" w:sz="4" w:space="0" w:color="000000"/>
        </w:pBdr>
        <w:rPr>
          <w:noProof/>
        </w:rPr>
      </w:pPr>
      <w:r>
        <w:rPr>
          <w:noProof/>
        </w:rPr>
        <w:t>Daarnaast zal het programma vier jaar na de datum van de vaststelling ervan aan een onafhankelijke evaluatie worden onderworpen, waarbij de kwalitatieve resultaten van de ondersteunde acties worden beoordeeld (met inbegrip van de impact op jongeren en organisaties) evenals de toename in efficiëntie tijdens de eerste vier jaar. In de evaluatie moet rekening worden gehouden met het beschikbare bewijs over de doeltreffendheid en de gevolgen van de resultaten van het Europees Solidariteitskorps. Als bronnen voor de verificaties zullen onder meer de monitoringgegevens, de informatie in de werkplannen en verslagen van de uitvoeringsorganen, de resultaten die voortkomen uit de verspreiding, empirisch onderbouwde studies, enquêtes enz. worden gebruikt.</w:t>
      </w:r>
    </w:p>
    <w:p>
      <w:pPr>
        <w:pStyle w:val="ManualHeading2"/>
        <w:rPr>
          <w:noProof/>
        </w:rPr>
      </w:pPr>
      <w:r>
        <w:t>2.2.</w:t>
      </w:r>
      <w:r>
        <w:tab/>
      </w:r>
      <w:r>
        <w:rPr>
          <w:noProof/>
        </w:rPr>
        <w:t>Beheers- en controlesyste(e)m(en)</w:t>
      </w:r>
    </w:p>
    <w:p>
      <w:pPr>
        <w:pStyle w:val="ManualHeading3"/>
        <w:rPr>
          <w:noProof/>
        </w:rPr>
      </w:pPr>
      <w:r>
        <w:t>2.2.1.</w:t>
      </w:r>
      <w:r>
        <w:tab/>
      </w:r>
      <w:r>
        <w:rPr>
          <w:noProof/>
        </w:rPr>
        <w:t>Rechtvaardiging van de voorgestelde beheersvorm(en), uitvoeringsmechanisme(n) voor financiering, betalingsvoorwaarden en controlestrategie</w:t>
      </w:r>
    </w:p>
    <w:p>
      <w:pPr>
        <w:pStyle w:val="Text1"/>
        <w:pBdr>
          <w:top w:val="single" w:sz="4" w:space="0" w:color="000000"/>
          <w:left w:val="single" w:sz="4" w:space="0" w:color="000000"/>
          <w:bottom w:val="single" w:sz="4" w:space="0" w:color="000000"/>
          <w:right w:val="single" w:sz="4" w:space="0" w:color="000000"/>
        </w:pBdr>
        <w:rPr>
          <w:noProof/>
        </w:rPr>
      </w:pPr>
      <w:r>
        <w:rPr>
          <w:noProof/>
        </w:rPr>
        <w:t>In overeenstemming met de in het kader van de evaluatie vooraf uitgevoerde analyse bij dit voorstel, en om te zorgen voor een efficiënte en doeltreffende uitvoering en synergieën en om de administratieve lasten zoveel mogelijk te beperken, zal het Europees Solidariteitskorps gebruikmaken van de bestaande beheers- en uitvoeringsregelingen in het kader van Erasmus+. Op basis van de positieve ervaring met de uitvoering van dit programma en voortbouwend op de structuren ervan, voorziet het voorstel in een duidelijke taakverdeling op het vlak van programmabeheer tussen de Commissie, de nationale agentschappen die in het kader van het Erasmus+-programma zijn opgericht, en het Uitvoerend Agentschap onderwijs, audiovisuele media en cultuur (EACEA). Sinds zijn oprichting in 2006 heeft het EACEA delen van het Erasmus+-programma en de programma's Creatief Europa, Europa van de burger en EU-vrijwilligers voor humanitaire hulp (en de programma's die eraan voorafgingen) uitgevoerd, zoals blijkt uit een aantal onafhankelijke externe evaluaties. Het EACEA is momenteel bezig zijn procedures te verbeteren op basis van aanbevelingen van de dienst Interne Audit. Tegelijkertijd heeft het succesvolle model van de nationale agentschappen in het kader van Erasmus+ aantoonbare prestaties en efficiëntie opgeleverd, gekoppeld aan een hoge mate van zekerheid en goed financieel beheer.</w:t>
      </w:r>
    </w:p>
    <w:p>
      <w:pPr>
        <w:pStyle w:val="ManualHeading3"/>
        <w:rPr>
          <w:noProof/>
        </w:rPr>
      </w:pPr>
      <w:r>
        <w:t>2.2.2.</w:t>
      </w:r>
      <w:r>
        <w:tab/>
      </w:r>
      <w:r>
        <w:rPr>
          <w:noProof/>
        </w:rPr>
        <w:t>Informatie over de geïdentificeerde risico's en het (de) syste(e)(men) voor interne controle dat is (die zijn) opgezet om die risico's te beperken</w:t>
      </w:r>
    </w:p>
    <w:p>
      <w:pPr>
        <w:pStyle w:val="Text1"/>
        <w:pBdr>
          <w:top w:val="single" w:sz="4" w:space="0" w:color="000000"/>
          <w:left w:val="single" w:sz="4" w:space="0" w:color="000000"/>
          <w:bottom w:val="single" w:sz="4" w:space="0" w:color="000000"/>
          <w:right w:val="single" w:sz="4" w:space="0" w:color="000000"/>
        </w:pBdr>
        <w:rPr>
          <w:noProof/>
        </w:rPr>
      </w:pPr>
      <w:r>
        <w:rPr>
          <w:noProof/>
        </w:rPr>
        <w:t>Volgens de evaluatie vooraf moeten zes potentiële risico's in het oog worden gehouden:</w:t>
      </w:r>
    </w:p>
    <w:p>
      <w:pPr>
        <w:pStyle w:val="Text1"/>
        <w:pBdr>
          <w:top w:val="single" w:sz="4" w:space="0" w:color="000000"/>
          <w:left w:val="single" w:sz="4" w:space="0" w:color="000000"/>
          <w:bottom w:val="single" w:sz="4" w:space="0" w:color="000000"/>
          <w:right w:val="single" w:sz="4" w:space="0" w:color="000000"/>
        </w:pBdr>
        <w:rPr>
          <w:noProof/>
        </w:rPr>
      </w:pPr>
      <w:r>
        <w:rPr>
          <w:noProof/>
        </w:rPr>
        <w:t>- Er zijn niet genoeg jongeren met de vereiste motivatie voor solidariteitsactiviteiten ingeschreven in de databank.</w:t>
      </w:r>
    </w:p>
    <w:p>
      <w:pPr>
        <w:pStyle w:val="Text1"/>
        <w:pBdr>
          <w:top w:val="single" w:sz="4" w:space="0" w:color="000000"/>
          <w:left w:val="single" w:sz="4" w:space="0" w:color="000000"/>
          <w:bottom w:val="single" w:sz="4" w:space="0" w:color="000000"/>
          <w:right w:val="single" w:sz="4" w:space="0" w:color="000000"/>
        </w:pBdr>
        <w:rPr>
          <w:noProof/>
        </w:rPr>
      </w:pPr>
      <w:r>
        <w:rPr>
          <w:noProof/>
        </w:rPr>
        <w:t>- Er zijn niet genoeg aanbiedingen van organisaties, of aanbiedingen die niet aansluiten bij de interessegebieden van de jonge deelnemers aan het Europees Solidariteitskorps.</w:t>
      </w:r>
    </w:p>
    <w:p>
      <w:pPr>
        <w:pStyle w:val="Text1"/>
        <w:pBdr>
          <w:top w:val="single" w:sz="4" w:space="0" w:color="000000"/>
          <w:left w:val="single" w:sz="4" w:space="0" w:color="000000"/>
          <w:bottom w:val="single" w:sz="4" w:space="0" w:color="000000"/>
          <w:right w:val="single" w:sz="4" w:space="0" w:color="000000"/>
        </w:pBdr>
        <w:rPr>
          <w:noProof/>
        </w:rPr>
      </w:pPr>
      <w:r>
        <w:rPr>
          <w:noProof/>
        </w:rPr>
        <w:t>- Betrokken organisaties kunnen fraude plegen of onregelmatigheden veroorzaken met ontvangen bedragen.</w:t>
      </w:r>
    </w:p>
    <w:p>
      <w:pPr>
        <w:pStyle w:val="Text1"/>
        <w:pBdr>
          <w:top w:val="single" w:sz="4" w:space="0" w:color="000000"/>
          <w:left w:val="single" w:sz="4" w:space="0" w:color="000000"/>
          <w:bottom w:val="single" w:sz="4" w:space="0" w:color="000000"/>
          <w:right w:val="single" w:sz="4" w:space="0" w:color="000000"/>
        </w:pBdr>
        <w:rPr>
          <w:noProof/>
        </w:rPr>
      </w:pPr>
      <w:r>
        <w:rPr>
          <w:noProof/>
        </w:rPr>
        <w:t>- Fraude gepleegd door deelnemers leidt tot een algemene stijging van de verzekeringskosten.</w:t>
      </w:r>
    </w:p>
    <w:p>
      <w:pPr>
        <w:pStyle w:val="Text1"/>
        <w:pBdr>
          <w:top w:val="single" w:sz="4" w:space="0" w:color="000000"/>
          <w:left w:val="single" w:sz="4" w:space="0" w:color="000000"/>
          <w:bottom w:val="single" w:sz="4" w:space="0" w:color="000000"/>
          <w:right w:val="single" w:sz="4" w:space="0" w:color="000000"/>
        </w:pBdr>
        <w:rPr>
          <w:noProof/>
        </w:rPr>
      </w:pPr>
      <w:r>
        <w:rPr>
          <w:noProof/>
        </w:rPr>
        <w:t>- De snel veranderende situatie in een derde land maakt het gevaarlijk een vrijwilliger in te zetten.</w:t>
      </w:r>
    </w:p>
    <w:p>
      <w:pPr>
        <w:pStyle w:val="Text1"/>
        <w:pBdr>
          <w:top w:val="single" w:sz="4" w:space="0" w:color="000000"/>
          <w:left w:val="single" w:sz="4" w:space="0" w:color="000000"/>
          <w:bottom w:val="single" w:sz="4" w:space="0" w:color="000000"/>
          <w:right w:val="single" w:sz="4" w:space="0" w:color="000000"/>
        </w:pBdr>
        <w:rPr>
          <w:noProof/>
        </w:rPr>
      </w:pPr>
      <w:r>
        <w:rPr>
          <w:noProof/>
        </w:rPr>
        <w:t>- Verwatering van de humanitaire hulpactiviteiten binnen de andere activiteiten van het Europees Solidariteitskorps.</w:t>
      </w:r>
    </w:p>
    <w:p>
      <w:pPr>
        <w:pStyle w:val="Text1"/>
        <w:pBdr>
          <w:top w:val="single" w:sz="4" w:space="0" w:color="000000"/>
          <w:left w:val="single" w:sz="4" w:space="0" w:color="000000"/>
          <w:bottom w:val="single" w:sz="4" w:space="0" w:color="000000"/>
          <w:right w:val="single" w:sz="4" w:space="0" w:color="000000"/>
        </w:pBdr>
        <w:rPr>
          <w:noProof/>
        </w:rPr>
      </w:pPr>
      <w:r>
        <w:rPr>
          <w:noProof/>
        </w:rPr>
        <w:t>Voor elk van deze risico's is een analyse uitgevoerd om de waarschijnlijkheid ervan te beoordelen en het effect op het programma als dat risico werkelijkheid zou worden. Daarnaast zijn in de evaluatie vooraf voor elk risico risicobeperkende maatregelen voorgesteld.</w:t>
      </w:r>
    </w:p>
    <w:p>
      <w:pPr>
        <w:pStyle w:val="Text1"/>
        <w:pBdr>
          <w:top w:val="single" w:sz="4" w:space="0" w:color="000000"/>
          <w:left w:val="single" w:sz="4" w:space="0" w:color="000000"/>
          <w:bottom w:val="single" w:sz="4" w:space="0" w:color="000000"/>
          <w:right w:val="single" w:sz="4" w:space="0" w:color="000000"/>
        </w:pBdr>
        <w:rPr>
          <w:noProof/>
        </w:rPr>
      </w:pPr>
      <w:r>
        <w:rPr>
          <w:noProof/>
        </w:rPr>
        <w:t>Het controlesysteem voor het initiatief wordt zodanig opgezet dat efficiënte en kosteneffectieve controles worden gewaarborgd. Het toezicht door de Commissie en de prestatiekaders zullen zorgen voor een hoog niveau van toezicht op en feedback over de beleidsaanpak.</w:t>
      </w:r>
    </w:p>
    <w:p>
      <w:pPr>
        <w:pStyle w:val="ManualHeading3"/>
        <w:rPr>
          <w:noProof/>
        </w:rPr>
      </w:pPr>
      <w:r>
        <w:t>2.2.3.</w:t>
      </w:r>
      <w:r>
        <w:tab/>
      </w:r>
      <w:r>
        <w:rPr>
          <w:noProof/>
        </w:rPr>
        <w:t>Raming en motivering van de kosteneffectiviteit van de controles (verhouding van de controlekosten tot de waarde van de desbetreffende financiële middelen) en evaluatie van het verwachte foutenrisico (bij betaling en bij afsluiting).</w:t>
      </w:r>
    </w:p>
    <w:p>
      <w:pPr>
        <w:pStyle w:val="Text1"/>
        <w:pBdr>
          <w:top w:val="single" w:sz="4" w:space="0" w:color="000000"/>
          <w:left w:val="single" w:sz="4" w:space="0" w:color="000000"/>
          <w:bottom w:val="single" w:sz="4" w:space="0" w:color="000000"/>
          <w:right w:val="single" w:sz="4" w:space="0" w:color="000000"/>
        </w:pBdr>
        <w:rPr>
          <w:noProof/>
        </w:rPr>
      </w:pPr>
      <w:r>
        <w:rPr>
          <w:noProof/>
        </w:rPr>
        <w:t>De Commissie schat dat de totale kosten van de controles laag zijn – tussen 1 % en 2 % – afhankelijk van de gehanteerde maatstaf en de beheerde begroting (uitgezonderd de begroting van het Uitvoerend Agentschap onderwijs, audiovisuele media en cultuur). Deze kosten zijn evenredig en kosteneffectief gezien het aanzienlijke risico op fouten indien deze controles niet zouden worden uitgevoerd, en de verplichting om het foutenpercentage onder 2 % te houden. Op basis van de ervaringen met het huidige Europees Solidariteitskorps en de voorganger daarvan, het Europees vrijwilligerswerk, ligt het verwachte foutenpercentage onder de 2 %.</w:t>
      </w:r>
    </w:p>
    <w:p>
      <w:pPr>
        <w:pStyle w:val="ManualHeading2"/>
        <w:rPr>
          <w:noProof/>
        </w:rPr>
      </w:pPr>
      <w:r>
        <w:t>2.3.</w:t>
      </w:r>
      <w:r>
        <w:tab/>
      </w:r>
      <w:r>
        <w:rPr>
          <w:noProof/>
        </w:rPr>
        <w:t>Maatregelen ter voorkoming van fraude en onregelmatigheden</w:t>
      </w:r>
    </w:p>
    <w:p>
      <w:pPr>
        <w:pStyle w:val="Text1"/>
        <w:keepNext/>
        <w:rPr>
          <w:i/>
          <w:iCs/>
          <w:noProof/>
          <w:sz w:val="20"/>
          <w:szCs w:val="20"/>
        </w:rPr>
      </w:pPr>
      <w:r>
        <w:rPr>
          <w:i/>
          <w:noProof/>
          <w:sz w:val="20"/>
        </w:rPr>
        <w:t>Vermeld de bestaande en geplande preventie- en beschermingsmaatregelen, bijvoorbeeld in het kader van de fraudebestrijdingsstrategie.</w:t>
      </w:r>
    </w:p>
    <w:p>
      <w:pPr>
        <w:pStyle w:val="Text1"/>
        <w:pBdr>
          <w:top w:val="single" w:sz="4" w:space="0" w:color="000000"/>
          <w:left w:val="single" w:sz="4" w:space="0" w:color="000000"/>
          <w:bottom w:val="single" w:sz="4" w:space="0" w:color="000000"/>
          <w:right w:val="single" w:sz="4" w:space="0" w:color="000000"/>
        </w:pBdr>
        <w:rPr>
          <w:noProof/>
        </w:rPr>
      </w:pPr>
      <w:r>
        <w:rPr>
          <w:noProof/>
        </w:rPr>
        <w:t>De controles met het oog op de preventie en opsporing van fraude verschillen niet van de controles op de wettigheid en regelmatigheid van de verrichtingen (de onopzettelijke fouten). Elk jaar onderzoekt de Commissie alle verslagen van de nationale agentschappen op gevallen van mogelijke fraude of onregelmatigheden. De follow-up van deze gevallen vindt meestal plaats op nationaal niveau, waar de nationale agentschappen rechtstreeks een beroep kunnen doen op rechtsmiddelen en doorverwijzing van fraudegevallen.</w:t>
      </w:r>
    </w:p>
    <w:p>
      <w:pPr>
        <w:pStyle w:val="Text1"/>
        <w:pBdr>
          <w:top w:val="single" w:sz="4" w:space="0" w:color="000000"/>
          <w:left w:val="single" w:sz="4" w:space="0" w:color="000000"/>
          <w:bottom w:val="single" w:sz="4" w:space="0" w:color="000000"/>
          <w:right w:val="single" w:sz="4" w:space="0" w:color="000000"/>
        </w:pBdr>
        <w:rPr>
          <w:noProof/>
        </w:rPr>
      </w:pPr>
      <w:r>
        <w:rPr>
          <w:noProof/>
        </w:rPr>
        <w:t>De diensten van de Commissie dragen bij aan de lopende onderzoeken van OLAF en geven vervolg aan afgeronde OLAF-onderzoeken. De financiële schade voor de EU-begroting als gevolg van fraude in eindverslagen in OLAF-zaken met betrekking tot programma's met soortgelijke regels en belanghebbenden is laag. Zaken worden waar passend doorverwezen naar OLAF en IDOC, maar een groot aantal zaken wordt in de loop van het jaar rechtstreeks opgevolgd bij de nationale agentschappen en de nationale autoriteiten, die rechtstreeks toegang hebben tot de bevoegde rechterlijke instanties en instanties voor fraudebestrijding.</w:t>
      </w:r>
    </w:p>
    <w:p>
      <w:pPr>
        <w:pStyle w:val="Text1"/>
        <w:pBdr>
          <w:top w:val="single" w:sz="4" w:space="0" w:color="000000"/>
          <w:left w:val="single" w:sz="4" w:space="0" w:color="000000"/>
          <w:bottom w:val="single" w:sz="4" w:space="0" w:color="000000"/>
          <w:right w:val="single" w:sz="4" w:space="0" w:color="000000"/>
        </w:pBdr>
        <w:rPr>
          <w:noProof/>
        </w:rPr>
      </w:pPr>
      <w:r>
        <w:rPr>
          <w:noProof/>
        </w:rPr>
        <w:t>De diensten van de Commissie die de actie uitvoeren, hebben sinds 2014 hun eigen fraudebestrijdingsstrategie ontwikkeld en uitgevoerd, die is opgesteld op basis van de methodologie van OLAF. Deze wordt regelmatig bijgewerkt en zo nodig (meest recentelijk in 2017) aangevuld met procedurestukken van lager niveau waarin wordt beschreven hoe zaken worden doorverwezen en opgevolgd.</w:t>
      </w:r>
    </w:p>
    <w:p>
      <w:pPr>
        <w:pStyle w:val="Text1"/>
        <w:pBdr>
          <w:top w:val="single" w:sz="4" w:space="0" w:color="000000"/>
          <w:left w:val="single" w:sz="4" w:space="0" w:color="000000"/>
          <w:bottom w:val="single" w:sz="4" w:space="0" w:color="000000"/>
          <w:right w:val="single" w:sz="4" w:space="0" w:color="000000"/>
        </w:pBdr>
        <w:rPr>
          <w:noProof/>
        </w:rPr>
      </w:pPr>
      <w:r>
        <w:rPr>
          <w:noProof/>
        </w:rPr>
        <w:t>Zoals in de tussentijdse evaluatie van het Erasmus+-programma is geconcludeerd, worden de bestaande maatregelen, gezien het feit dat de omvang van de fraude in het programma uiterst beperkt is en grotendeels beperkt blijft tot gevallen van meervoudige projectaanvraag of van projectleiders die hun verplichtingen niet nakomen, zowel geschikt als evenredig geacht. Gezien de omvang van de gevolgen van fraude voor het voorgestelde programma, met name de financiële schade die wordt geregistreerd door het Europees Bureau voor fraudebestrijding, vormt het restrisico van fraude geen rechtvaardiging voor extra maatregelen. De diensten van de Commissie onderhouden een nauwe samenwerking met OLAF en volgen de lopende zaken op de voet. Daarom is het mogelijk tot een positieve conclusie te komen over zekerheid ten aanzien van het risico op fraude.</w:t>
      </w:r>
    </w:p>
    <w:p>
      <w:pPr>
        <w:pStyle w:val="ManualHeading1"/>
        <w:rPr>
          <w:noProof/>
        </w:rPr>
      </w:pPr>
      <w:r>
        <w:t>3.</w:t>
      </w:r>
      <w:r>
        <w:tab/>
      </w:r>
      <w:r>
        <w:rPr>
          <w:noProof/>
        </w:rPr>
        <w:t>GERAAMDE FINANCIËLE GEVOLGEN VAN HET VOORSTEL/INITIATIEF</w:t>
      </w:r>
      <w:r>
        <w:rPr>
          <w:rStyle w:val="FootnoteReference"/>
          <w:noProof/>
        </w:rPr>
        <w:footnoteReference w:id="38"/>
      </w:r>
    </w:p>
    <w:p>
      <w:pPr>
        <w:pStyle w:val="ManualHeading2"/>
        <w:rPr>
          <w:noProof/>
        </w:rPr>
      </w:pPr>
      <w:r>
        <w:t>3.1.</w:t>
      </w:r>
      <w:r>
        <w:tab/>
      </w:r>
      <w:r>
        <w:rPr>
          <w:noProof/>
        </w:rPr>
        <w:t>Rubriek van het meerjarige financiële kader en nieuwe voorgestelde begrotingsonderde(e)l(en) voor uitgaven</w:t>
      </w:r>
    </w:p>
    <w:tbl>
      <w:tblPr>
        <w:tblW w:w="10560" w:type="dxa"/>
        <w:tblInd w:w="-6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0"/>
        <w:gridCol w:w="3960"/>
        <w:gridCol w:w="1080"/>
        <w:gridCol w:w="956"/>
        <w:gridCol w:w="1080"/>
        <w:gridCol w:w="956"/>
        <w:gridCol w:w="1448"/>
      </w:tblGrid>
      <w:tr>
        <w:trPr>
          <w:trHeight w:val="642"/>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keepNext/>
              <w:jc w:val="center"/>
              <w:rPr>
                <w:noProof/>
                <w:color w:val="auto"/>
              </w:rPr>
            </w:pPr>
            <w:r>
              <w:rPr>
                <w:noProof/>
                <w:color w:val="auto"/>
                <w:sz w:val="18"/>
              </w:rPr>
              <w:t>Rubriek van het meerjarige financiële kader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0"/>
              </w:rPr>
              <w:t>Begrotingsonderdeel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Soort</w:t>
            </w:r>
            <w:r>
              <w:rPr>
                <w:rFonts w:eastAsia="Arial Unicode MS"/>
                <w:noProof/>
                <w:color w:val="auto"/>
                <w:sz w:val="22"/>
                <w:szCs w:val="22"/>
              </w:rPr>
              <w:br/>
            </w:r>
            <w:r>
              <w:rPr>
                <w:noProof/>
                <w:color w:val="auto"/>
                <w:sz w:val="18"/>
              </w:rPr>
              <w:t>krediet</w:t>
            </w:r>
          </w:p>
        </w:tc>
        <w:tc>
          <w:tcPr>
            <w:tcW w:w="44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0"/>
              </w:rPr>
              <w:t xml:space="preserve">Bijdrage </w:t>
            </w:r>
          </w:p>
        </w:tc>
      </w:tr>
      <w:tr>
        <w:trPr>
          <w:trHeight w:val="1122"/>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Pr>
          <w:p>
            <w:pPr>
              <w:rPr>
                <w:noProof/>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rPr>
                <w:noProof/>
                <w:color w:val="auto"/>
              </w:rPr>
            </w:pPr>
            <w:r>
              <w:rPr>
                <w:noProof/>
                <w:color w:val="auto"/>
                <w:sz w:val="20"/>
              </w:rPr>
              <w:t xml:space="preserve">Nummer </w:t>
            </w:r>
            <w:r>
              <w:rPr>
                <w:rFonts w:eastAsia="Arial Unicode MS"/>
                <w:noProof/>
                <w:color w:val="auto"/>
                <w:sz w:val="22"/>
                <w:szCs w:val="22"/>
              </w:rPr>
              <w:br/>
            </w:r>
            <w:r>
              <w:rPr>
                <w:noProof/>
                <w:color w:val="auto"/>
                <w:sz w:val="22"/>
              </w:rPr>
              <w:t>[…]</w:t>
            </w:r>
            <w:r>
              <w:rPr>
                <w:noProof/>
                <w:color w:val="auto"/>
                <w:sz w:val="20"/>
              </w:rPr>
              <w:t>[Omschrijving………………………...……………]</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GK/ NGK</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van EVA-landen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van kandidaat-lidstaten</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van derde landen</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6"/>
              </w:rPr>
              <w:t xml:space="preserve">in de zin van artikel [21, lid 2, onder b),] van het Financieel Reglement </w:t>
            </w:r>
          </w:p>
        </w:tc>
      </w:tr>
      <w:tr>
        <w:trPr>
          <w:trHeight w:val="90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u w:color="0000FF"/>
              </w:rPr>
              <w:t>2</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rPr>
                <w:noProof/>
                <w:color w:val="auto"/>
              </w:rPr>
            </w:pPr>
            <w:r>
              <w:rPr>
                <w:noProof/>
                <w:color w:val="auto"/>
              </w:rPr>
              <w:t xml:space="preserve">07 01 XX XX – </w:t>
            </w:r>
            <w:r>
              <w:rPr>
                <w:i/>
                <w:noProof/>
                <w:color w:val="auto"/>
              </w:rPr>
              <w:t>Administratieve ondersteuning van het Europees Solidariteitskorps</w:t>
            </w:r>
            <w:r>
              <w:rPr>
                <w:noProof/>
                <w:color w:val="auto"/>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NGK</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JA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JA</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JA/NEE</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JA/NEE</w:t>
            </w:r>
          </w:p>
        </w:tc>
      </w:tr>
      <w:tr>
        <w:trPr>
          <w:trHeight w:val="60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u w:color="0000FF"/>
              </w:rPr>
              <w:t>2</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rPr>
                <w:noProof/>
                <w:color w:val="auto"/>
              </w:rPr>
            </w:pPr>
            <w:r>
              <w:rPr>
                <w:noProof/>
                <w:color w:val="auto"/>
              </w:rPr>
              <w:t xml:space="preserve">07 04 01 </w:t>
            </w:r>
            <w:r>
              <w:rPr>
                <w:i/>
                <w:noProof/>
                <w:color w:val="auto"/>
              </w:rPr>
              <w:t>– Europees Solidariteitskorps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Gespl.</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JA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JA</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JA/NEE</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JA/NEE</w:t>
            </w:r>
          </w:p>
        </w:tc>
      </w:tr>
    </w:tbl>
    <w:p>
      <w:pPr>
        <w:rPr>
          <w:noProof/>
        </w:rPr>
      </w:pPr>
    </w:p>
    <w:p>
      <w:pPr>
        <w:pStyle w:val="Text"/>
        <w:rPr>
          <w:noProof/>
          <w:color w:val="auto"/>
        </w:rPr>
        <w:sectPr>
          <w:headerReference w:type="default" r:id="rId20"/>
          <w:footerReference w:type="default" r:id="rId21"/>
          <w:headerReference w:type="first" r:id="rId22"/>
          <w:footerReference w:type="first" r:id="rId23"/>
          <w:pgSz w:w="11900" w:h="16840"/>
          <w:pgMar w:top="1134" w:right="1418" w:bottom="1134" w:left="1418" w:header="709" w:footer="709" w:gutter="0"/>
          <w:cols w:space="720"/>
          <w:docGrid w:linePitch="326"/>
        </w:sectPr>
      </w:pPr>
    </w:p>
    <w:p>
      <w:pPr>
        <w:pStyle w:val="ManualHeading2"/>
        <w:rPr>
          <w:noProof/>
        </w:rPr>
      </w:pPr>
      <w:r>
        <w:t>3.2.</w:t>
      </w:r>
      <w:r>
        <w:tab/>
      </w:r>
      <w:r>
        <w:rPr>
          <w:noProof/>
        </w:rPr>
        <w:t>Geraamde gevolgen voor de uitgaven</w:t>
      </w:r>
    </w:p>
    <w:p>
      <w:pPr>
        <w:pStyle w:val="ManualHeading3"/>
        <w:rPr>
          <w:noProof/>
          <w:u w:val="single"/>
        </w:rPr>
      </w:pPr>
      <w:r>
        <w:t>3.2.1.</w:t>
      </w:r>
      <w:r>
        <w:tab/>
      </w:r>
      <w:r>
        <w:rPr>
          <w:noProof/>
        </w:rPr>
        <w:t>Samenvatting van de geraamde gevolgen voor de uitgaven</w:t>
      </w:r>
    </w:p>
    <w:p>
      <w:pPr>
        <w:pStyle w:val="Text"/>
        <w:jc w:val="right"/>
        <w:rPr>
          <w:noProof/>
          <w:color w:val="auto"/>
          <w:sz w:val="20"/>
          <w:szCs w:val="20"/>
        </w:rPr>
      </w:pPr>
      <w:r>
        <w:rPr>
          <w:noProof/>
          <w:color w:val="auto"/>
          <w:sz w:val="20"/>
        </w:rPr>
        <w:t>in miljoen EUR (tot op 3 decimalen)</w:t>
      </w: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5"/>
        <w:gridCol w:w="635"/>
        <w:gridCol w:w="793"/>
        <w:gridCol w:w="280"/>
        <w:gridCol w:w="370"/>
        <w:gridCol w:w="862"/>
        <w:gridCol w:w="862"/>
        <w:gridCol w:w="862"/>
        <w:gridCol w:w="862"/>
        <w:gridCol w:w="862"/>
        <w:gridCol w:w="862"/>
        <w:gridCol w:w="862"/>
        <w:gridCol w:w="903"/>
        <w:gridCol w:w="456"/>
        <w:gridCol w:w="823"/>
        <w:gridCol w:w="112"/>
      </w:tblGrid>
      <w:tr>
        <w:trPr>
          <w:gridAfter w:val="2"/>
          <w:wAfter w:w="830" w:type="dxa"/>
          <w:jc w:val="center"/>
        </w:trPr>
        <w:tc>
          <w:tcPr>
            <w:tcW w:w="4744" w:type="dxa"/>
            <w:gridSpan w:val="2"/>
            <w:shd w:val="thinDiagStripe" w:color="C0C0C0" w:fill="auto"/>
            <w:vAlign w:val="center"/>
          </w:tcPr>
          <w:p>
            <w:pPr>
              <w:jc w:val="center"/>
              <w:rPr>
                <w:b/>
                <w:noProof/>
              </w:rPr>
            </w:pPr>
            <w:r>
              <w:rPr>
                <w:b/>
                <w:noProof/>
                <w:sz w:val="22"/>
              </w:rPr>
              <w:t>Rubriek van het meerjarige financiële</w:t>
            </w:r>
            <w:r>
              <w:rPr>
                <w:noProof/>
                <w:sz w:val="22"/>
              </w:rPr>
              <w:br/>
            </w:r>
            <w:r>
              <w:rPr>
                <w:b/>
                <w:noProof/>
                <w:sz w:val="22"/>
              </w:rPr>
              <w:t xml:space="preserve">kader </w:t>
            </w:r>
          </w:p>
        </w:tc>
        <w:tc>
          <w:tcPr>
            <w:tcW w:w="1080" w:type="dxa"/>
            <w:gridSpan w:val="2"/>
            <w:vAlign w:val="center"/>
          </w:tcPr>
          <w:p>
            <w:pPr>
              <w:jc w:val="center"/>
              <w:rPr>
                <w:noProof/>
              </w:rPr>
            </w:pPr>
            <w:r>
              <w:rPr>
                <w:noProof/>
              </w:rPr>
              <w:t>2</w:t>
            </w:r>
          </w:p>
        </w:tc>
        <w:tc>
          <w:tcPr>
            <w:tcW w:w="7817" w:type="dxa"/>
            <w:gridSpan w:val="10"/>
            <w:vAlign w:val="center"/>
          </w:tcPr>
          <w:p>
            <w:pPr>
              <w:rPr>
                <w:noProof/>
              </w:rPr>
            </w:pPr>
            <w:r>
              <w:rPr>
                <w:noProof/>
              </w:rPr>
              <w:t>Cohesie en waarden</w:t>
            </w:r>
          </w:p>
        </w:tc>
      </w:tr>
      <w:tr>
        <w:trPr>
          <w:jc w:val="center"/>
        </w:trPr>
        <w:tc>
          <w:tcPr>
            <w:tcW w:w="6197" w:type="dxa"/>
            <w:gridSpan w:val="5"/>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Na 2027</w:t>
            </w:r>
          </w:p>
        </w:tc>
        <w:tc>
          <w:tcPr>
            <w:tcW w:w="1289" w:type="dxa"/>
            <w:gridSpan w:val="3"/>
            <w:vAlign w:val="center"/>
          </w:tcPr>
          <w:p>
            <w:pPr>
              <w:jc w:val="center"/>
              <w:rPr>
                <w:b/>
                <w:noProof/>
                <w:sz w:val="20"/>
              </w:rPr>
            </w:pPr>
            <w:r>
              <w:rPr>
                <w:b/>
                <w:noProof/>
                <w:sz w:val="20"/>
              </w:rPr>
              <w:t>TOTAAL</w:t>
            </w:r>
          </w:p>
        </w:tc>
      </w:tr>
      <w:tr>
        <w:trPr>
          <w:trHeight w:val="433"/>
          <w:jc w:val="center"/>
        </w:trPr>
        <w:tc>
          <w:tcPr>
            <w:tcW w:w="14471" w:type="dxa"/>
            <w:gridSpan w:val="16"/>
            <w:vAlign w:val="center"/>
          </w:tcPr>
          <w:p>
            <w:pPr>
              <w:rPr>
                <w:b/>
                <w:noProof/>
                <w:sz w:val="20"/>
              </w:rPr>
            </w:pPr>
            <w:r>
              <w:rPr>
                <w:b/>
                <w:noProof/>
                <w:sz w:val="20"/>
              </w:rPr>
              <w:t>Beleidskredieten</w:t>
            </w:r>
          </w:p>
        </w:tc>
      </w:tr>
      <w:tr>
        <w:trPr>
          <w:trHeight w:val="433"/>
          <w:jc w:val="center"/>
        </w:trPr>
        <w:tc>
          <w:tcPr>
            <w:tcW w:w="4103" w:type="dxa"/>
            <w:vMerge w:val="restart"/>
            <w:vAlign w:val="center"/>
          </w:tcPr>
          <w:p>
            <w:pPr>
              <w:rPr>
                <w:noProof/>
              </w:rPr>
            </w:pPr>
            <w:r>
              <w:rPr>
                <w:noProof/>
              </w:rPr>
              <w:t xml:space="preserve">07 04 01 </w:t>
            </w:r>
            <w:r>
              <w:rPr>
                <w:i/>
                <w:noProof/>
              </w:rPr>
              <w:t>– Europees Solidariteitskorps</w:t>
            </w:r>
          </w:p>
        </w:tc>
        <w:tc>
          <w:tcPr>
            <w:tcW w:w="1440" w:type="dxa"/>
            <w:gridSpan w:val="2"/>
            <w:vAlign w:val="center"/>
          </w:tcPr>
          <w:p>
            <w:pPr>
              <w:rPr>
                <w:noProof/>
                <w:sz w:val="18"/>
              </w:rPr>
            </w:pPr>
            <w:r>
              <w:rPr>
                <w:noProof/>
                <w:sz w:val="18"/>
              </w:rPr>
              <w:t>Vastleggingen</w:t>
            </w:r>
          </w:p>
        </w:tc>
        <w:tc>
          <w:tcPr>
            <w:tcW w:w="654" w:type="dxa"/>
            <w:gridSpan w:val="2"/>
            <w:vAlign w:val="center"/>
          </w:tcPr>
          <w:p>
            <w:pPr>
              <w:jc w:val="center"/>
              <w:rPr>
                <w:noProof/>
                <w:sz w:val="14"/>
              </w:rPr>
            </w:pPr>
            <w:r>
              <w:rPr>
                <w:noProof/>
                <w:sz w:val="14"/>
              </w:rPr>
              <w:t>1)</w:t>
            </w:r>
          </w:p>
        </w:tc>
        <w:tc>
          <w:tcPr>
            <w:tcW w:w="868" w:type="dxa"/>
            <w:vAlign w:val="center"/>
          </w:tcPr>
          <w:p>
            <w:pPr>
              <w:jc w:val="right"/>
              <w:rPr>
                <w:noProof/>
                <w:sz w:val="18"/>
                <w:szCs w:val="18"/>
              </w:rPr>
            </w:pPr>
            <w:r>
              <w:rPr>
                <w:noProof/>
                <w:sz w:val="18"/>
              </w:rPr>
              <w:t>141,595</w:t>
            </w:r>
          </w:p>
        </w:tc>
        <w:tc>
          <w:tcPr>
            <w:tcW w:w="868" w:type="dxa"/>
            <w:vAlign w:val="center"/>
          </w:tcPr>
          <w:p>
            <w:pPr>
              <w:jc w:val="right"/>
              <w:rPr>
                <w:noProof/>
                <w:sz w:val="18"/>
                <w:szCs w:val="18"/>
              </w:rPr>
            </w:pPr>
            <w:r>
              <w:rPr>
                <w:noProof/>
                <w:sz w:val="18"/>
              </w:rPr>
              <w:t>146,347</w:t>
            </w:r>
          </w:p>
        </w:tc>
        <w:tc>
          <w:tcPr>
            <w:tcW w:w="868" w:type="dxa"/>
            <w:vAlign w:val="center"/>
          </w:tcPr>
          <w:p>
            <w:pPr>
              <w:jc w:val="right"/>
              <w:rPr>
                <w:noProof/>
                <w:sz w:val="18"/>
                <w:szCs w:val="18"/>
              </w:rPr>
            </w:pPr>
            <w:r>
              <w:rPr>
                <w:noProof/>
                <w:sz w:val="18"/>
              </w:rPr>
              <w:t>153,799</w:t>
            </w:r>
          </w:p>
        </w:tc>
        <w:tc>
          <w:tcPr>
            <w:tcW w:w="868" w:type="dxa"/>
            <w:vAlign w:val="center"/>
          </w:tcPr>
          <w:p>
            <w:pPr>
              <w:jc w:val="right"/>
              <w:rPr>
                <w:noProof/>
                <w:sz w:val="18"/>
                <w:szCs w:val="18"/>
              </w:rPr>
            </w:pPr>
            <w:r>
              <w:rPr>
                <w:noProof/>
                <w:sz w:val="18"/>
              </w:rPr>
              <w:t>164,372</w:t>
            </w:r>
          </w:p>
        </w:tc>
        <w:tc>
          <w:tcPr>
            <w:tcW w:w="868" w:type="dxa"/>
            <w:vAlign w:val="center"/>
          </w:tcPr>
          <w:p>
            <w:pPr>
              <w:jc w:val="right"/>
              <w:rPr>
                <w:noProof/>
                <w:sz w:val="18"/>
                <w:szCs w:val="18"/>
              </w:rPr>
            </w:pPr>
            <w:r>
              <w:rPr>
                <w:noProof/>
                <w:sz w:val="18"/>
              </w:rPr>
              <w:t>178,692</w:t>
            </w:r>
          </w:p>
        </w:tc>
        <w:tc>
          <w:tcPr>
            <w:tcW w:w="868" w:type="dxa"/>
            <w:vAlign w:val="center"/>
          </w:tcPr>
          <w:p>
            <w:pPr>
              <w:jc w:val="right"/>
              <w:rPr>
                <w:noProof/>
                <w:sz w:val="18"/>
                <w:szCs w:val="18"/>
              </w:rPr>
            </w:pPr>
            <w:r>
              <w:rPr>
                <w:noProof/>
                <w:sz w:val="18"/>
              </w:rPr>
              <w:t>197,648</w:t>
            </w:r>
          </w:p>
        </w:tc>
        <w:tc>
          <w:tcPr>
            <w:tcW w:w="868" w:type="dxa"/>
            <w:vAlign w:val="center"/>
          </w:tcPr>
          <w:p>
            <w:pPr>
              <w:jc w:val="right"/>
              <w:rPr>
                <w:noProof/>
                <w:sz w:val="18"/>
                <w:szCs w:val="18"/>
              </w:rPr>
            </w:pPr>
            <w:r>
              <w:rPr>
                <w:noProof/>
                <w:sz w:val="18"/>
              </w:rPr>
              <w:t>221,547</w:t>
            </w:r>
          </w:p>
        </w:tc>
        <w:tc>
          <w:tcPr>
            <w:tcW w:w="909" w:type="dxa"/>
            <w:shd w:val="clear" w:color="auto" w:fill="A6A6A6" w:themeFill="background1" w:themeFillShade="A6"/>
          </w:tcPr>
          <w:p>
            <w:pPr>
              <w:jc w:val="right"/>
              <w:rPr>
                <w:b/>
                <w:noProof/>
                <w:sz w:val="20"/>
              </w:rPr>
            </w:pPr>
          </w:p>
        </w:tc>
        <w:tc>
          <w:tcPr>
            <w:tcW w:w="1289" w:type="dxa"/>
            <w:gridSpan w:val="3"/>
            <w:vAlign w:val="center"/>
          </w:tcPr>
          <w:p>
            <w:pPr>
              <w:jc w:val="center"/>
              <w:rPr>
                <w:b/>
                <w:noProof/>
                <w:sz w:val="20"/>
              </w:rPr>
            </w:pPr>
            <w:r>
              <w:rPr>
                <w:b/>
                <w:noProof/>
                <w:sz w:val="18"/>
              </w:rPr>
              <w:t>1 204,000</w:t>
            </w:r>
          </w:p>
        </w:tc>
      </w:tr>
      <w:tr>
        <w:trPr>
          <w:trHeight w:val="411"/>
          <w:jc w:val="center"/>
        </w:trPr>
        <w:tc>
          <w:tcPr>
            <w:tcW w:w="4103" w:type="dxa"/>
            <w:vMerge/>
          </w:tcPr>
          <w:p>
            <w:pPr>
              <w:rPr>
                <w:noProof/>
              </w:rPr>
            </w:pPr>
          </w:p>
        </w:tc>
        <w:tc>
          <w:tcPr>
            <w:tcW w:w="1440" w:type="dxa"/>
            <w:gridSpan w:val="2"/>
            <w:vAlign w:val="center"/>
          </w:tcPr>
          <w:p>
            <w:pPr>
              <w:rPr>
                <w:noProof/>
                <w:sz w:val="18"/>
              </w:rPr>
            </w:pPr>
            <w:r>
              <w:rPr>
                <w:noProof/>
                <w:sz w:val="18"/>
              </w:rPr>
              <w:t>Betalingen</w:t>
            </w:r>
          </w:p>
        </w:tc>
        <w:tc>
          <w:tcPr>
            <w:tcW w:w="654" w:type="dxa"/>
            <w:gridSpan w:val="2"/>
            <w:vAlign w:val="center"/>
          </w:tcPr>
          <w:p>
            <w:pPr>
              <w:jc w:val="center"/>
              <w:rPr>
                <w:noProof/>
                <w:sz w:val="14"/>
              </w:rPr>
            </w:pPr>
            <w:r>
              <w:rPr>
                <w:noProof/>
                <w:sz w:val="14"/>
              </w:rPr>
              <w:t>2)</w:t>
            </w:r>
          </w:p>
        </w:tc>
        <w:tc>
          <w:tcPr>
            <w:tcW w:w="868" w:type="dxa"/>
            <w:vAlign w:val="center"/>
          </w:tcPr>
          <w:p>
            <w:pPr>
              <w:jc w:val="right"/>
              <w:rPr>
                <w:noProof/>
                <w:sz w:val="18"/>
                <w:szCs w:val="18"/>
              </w:rPr>
            </w:pPr>
            <w:r>
              <w:rPr>
                <w:noProof/>
                <w:sz w:val="18"/>
              </w:rPr>
              <w:t>103,858</w:t>
            </w:r>
          </w:p>
        </w:tc>
        <w:tc>
          <w:tcPr>
            <w:tcW w:w="868" w:type="dxa"/>
            <w:vAlign w:val="center"/>
          </w:tcPr>
          <w:p>
            <w:pPr>
              <w:jc w:val="right"/>
              <w:rPr>
                <w:noProof/>
                <w:sz w:val="18"/>
                <w:szCs w:val="18"/>
              </w:rPr>
            </w:pPr>
            <w:r>
              <w:rPr>
                <w:noProof/>
                <w:sz w:val="18"/>
              </w:rPr>
              <w:t>133,016</w:t>
            </w:r>
          </w:p>
        </w:tc>
        <w:tc>
          <w:tcPr>
            <w:tcW w:w="868" w:type="dxa"/>
            <w:vAlign w:val="center"/>
          </w:tcPr>
          <w:p>
            <w:pPr>
              <w:jc w:val="right"/>
              <w:rPr>
                <w:noProof/>
                <w:sz w:val="18"/>
                <w:szCs w:val="18"/>
              </w:rPr>
            </w:pPr>
            <w:r>
              <w:rPr>
                <w:noProof/>
                <w:sz w:val="18"/>
              </w:rPr>
              <w:t>145,078</w:t>
            </w:r>
          </w:p>
        </w:tc>
        <w:tc>
          <w:tcPr>
            <w:tcW w:w="868" w:type="dxa"/>
            <w:vAlign w:val="center"/>
          </w:tcPr>
          <w:p>
            <w:pPr>
              <w:jc w:val="right"/>
              <w:rPr>
                <w:noProof/>
                <w:sz w:val="18"/>
                <w:szCs w:val="18"/>
              </w:rPr>
            </w:pPr>
            <w:r>
              <w:rPr>
                <w:noProof/>
                <w:sz w:val="18"/>
              </w:rPr>
              <w:t>156,215</w:t>
            </w:r>
          </w:p>
        </w:tc>
        <w:tc>
          <w:tcPr>
            <w:tcW w:w="868" w:type="dxa"/>
            <w:vAlign w:val="center"/>
          </w:tcPr>
          <w:p>
            <w:pPr>
              <w:jc w:val="right"/>
              <w:rPr>
                <w:noProof/>
                <w:sz w:val="18"/>
                <w:szCs w:val="18"/>
              </w:rPr>
            </w:pPr>
            <w:r>
              <w:rPr>
                <w:noProof/>
                <w:sz w:val="18"/>
              </w:rPr>
              <w:t>169,764</w:t>
            </w:r>
          </w:p>
        </w:tc>
        <w:tc>
          <w:tcPr>
            <w:tcW w:w="868" w:type="dxa"/>
            <w:vAlign w:val="center"/>
          </w:tcPr>
          <w:p>
            <w:pPr>
              <w:jc w:val="right"/>
              <w:rPr>
                <w:noProof/>
                <w:sz w:val="18"/>
                <w:szCs w:val="18"/>
              </w:rPr>
            </w:pPr>
            <w:r>
              <w:rPr>
                <w:noProof/>
                <w:sz w:val="18"/>
              </w:rPr>
              <w:t>187,129</w:t>
            </w:r>
          </w:p>
        </w:tc>
        <w:tc>
          <w:tcPr>
            <w:tcW w:w="868" w:type="dxa"/>
            <w:vAlign w:val="center"/>
          </w:tcPr>
          <w:p>
            <w:pPr>
              <w:jc w:val="right"/>
              <w:rPr>
                <w:noProof/>
                <w:sz w:val="18"/>
                <w:szCs w:val="18"/>
              </w:rPr>
            </w:pPr>
            <w:r>
              <w:rPr>
                <w:noProof/>
                <w:sz w:val="18"/>
              </w:rPr>
              <w:t>209,231</w:t>
            </w:r>
          </w:p>
        </w:tc>
        <w:tc>
          <w:tcPr>
            <w:tcW w:w="909" w:type="dxa"/>
            <w:vAlign w:val="center"/>
          </w:tcPr>
          <w:p>
            <w:pPr>
              <w:jc w:val="right"/>
              <w:rPr>
                <w:noProof/>
                <w:sz w:val="18"/>
                <w:szCs w:val="18"/>
              </w:rPr>
            </w:pPr>
            <w:r>
              <w:rPr>
                <w:noProof/>
                <w:sz w:val="18"/>
              </w:rPr>
              <w:t>99,710</w:t>
            </w:r>
          </w:p>
        </w:tc>
        <w:tc>
          <w:tcPr>
            <w:tcW w:w="1289" w:type="dxa"/>
            <w:gridSpan w:val="3"/>
            <w:vAlign w:val="center"/>
          </w:tcPr>
          <w:p>
            <w:pPr>
              <w:jc w:val="center"/>
              <w:rPr>
                <w:b/>
                <w:noProof/>
                <w:sz w:val="18"/>
                <w:szCs w:val="18"/>
              </w:rPr>
            </w:pPr>
            <w:r>
              <w:rPr>
                <w:b/>
                <w:noProof/>
                <w:sz w:val="18"/>
              </w:rPr>
              <w:t>1 204,000</w:t>
            </w:r>
          </w:p>
        </w:tc>
      </w:tr>
      <w:tr>
        <w:trPr>
          <w:trHeight w:val="319"/>
          <w:jc w:val="center"/>
        </w:trPr>
        <w:tc>
          <w:tcPr>
            <w:tcW w:w="14471" w:type="dxa"/>
            <w:gridSpan w:val="16"/>
            <w:vAlign w:val="center"/>
          </w:tcPr>
          <w:p>
            <w:pPr>
              <w:rPr>
                <w:b/>
                <w:noProof/>
                <w:sz w:val="20"/>
              </w:rPr>
            </w:pPr>
            <w:r>
              <w:rPr>
                <w:b/>
                <w:noProof/>
                <w:sz w:val="20"/>
              </w:rPr>
              <w:t>Uit het budget van het programma gefinancierde administratieve kredieten</w:t>
            </w:r>
          </w:p>
        </w:tc>
      </w:tr>
      <w:tr>
        <w:trPr>
          <w:trHeight w:val="319"/>
          <w:jc w:val="center"/>
        </w:trPr>
        <w:tc>
          <w:tcPr>
            <w:tcW w:w="4103" w:type="dxa"/>
            <w:vAlign w:val="center"/>
          </w:tcPr>
          <w:p>
            <w:pPr>
              <w:rPr>
                <w:i/>
                <w:noProof/>
              </w:rPr>
            </w:pPr>
            <w:r>
              <w:rPr>
                <w:i/>
                <w:noProof/>
              </w:rPr>
              <w:t xml:space="preserve">07 01 XX XX – Administratieve ondersteuning van het Europees Solidariteitskorps </w:t>
            </w:r>
          </w:p>
        </w:tc>
        <w:tc>
          <w:tcPr>
            <w:tcW w:w="1440" w:type="dxa"/>
            <w:gridSpan w:val="2"/>
            <w:vAlign w:val="center"/>
          </w:tcPr>
          <w:p>
            <w:pPr>
              <w:rPr>
                <w:noProof/>
                <w:sz w:val="18"/>
              </w:rPr>
            </w:pPr>
            <w:r>
              <w:rPr>
                <w:noProof/>
                <w:sz w:val="18"/>
              </w:rPr>
              <w:t>Vastleggingen = betalingen</w:t>
            </w:r>
          </w:p>
        </w:tc>
        <w:tc>
          <w:tcPr>
            <w:tcW w:w="654" w:type="dxa"/>
            <w:gridSpan w:val="2"/>
            <w:vAlign w:val="center"/>
          </w:tcPr>
          <w:p>
            <w:pPr>
              <w:jc w:val="center"/>
              <w:rPr>
                <w:noProof/>
                <w:sz w:val="14"/>
              </w:rPr>
            </w:pPr>
            <w:r>
              <w:rPr>
                <w:noProof/>
                <w:sz w:val="14"/>
              </w:rPr>
              <w:t>(3)</w:t>
            </w:r>
          </w:p>
        </w:tc>
        <w:tc>
          <w:tcPr>
            <w:tcW w:w="868" w:type="dxa"/>
            <w:vAlign w:val="center"/>
          </w:tcPr>
          <w:p>
            <w:pPr>
              <w:jc w:val="right"/>
              <w:rPr>
                <w:noProof/>
                <w:sz w:val="18"/>
                <w:szCs w:val="18"/>
              </w:rPr>
            </w:pPr>
            <w:r>
              <w:rPr>
                <w:noProof/>
                <w:sz w:val="18"/>
              </w:rPr>
              <w:t>6,586</w:t>
            </w:r>
          </w:p>
        </w:tc>
        <w:tc>
          <w:tcPr>
            <w:tcW w:w="868" w:type="dxa"/>
            <w:vAlign w:val="center"/>
          </w:tcPr>
          <w:p>
            <w:pPr>
              <w:jc w:val="right"/>
              <w:rPr>
                <w:noProof/>
                <w:sz w:val="18"/>
                <w:szCs w:val="18"/>
              </w:rPr>
            </w:pPr>
            <w:r>
              <w:rPr>
                <w:noProof/>
                <w:sz w:val="18"/>
              </w:rPr>
              <w:t>6,807</w:t>
            </w:r>
          </w:p>
        </w:tc>
        <w:tc>
          <w:tcPr>
            <w:tcW w:w="868" w:type="dxa"/>
            <w:vAlign w:val="center"/>
          </w:tcPr>
          <w:p>
            <w:pPr>
              <w:jc w:val="right"/>
              <w:rPr>
                <w:noProof/>
                <w:sz w:val="18"/>
                <w:szCs w:val="18"/>
              </w:rPr>
            </w:pPr>
            <w:r>
              <w:rPr>
                <w:noProof/>
                <w:sz w:val="18"/>
              </w:rPr>
              <w:t>7,153</w:t>
            </w:r>
          </w:p>
        </w:tc>
        <w:tc>
          <w:tcPr>
            <w:tcW w:w="868" w:type="dxa"/>
            <w:vAlign w:val="center"/>
          </w:tcPr>
          <w:p>
            <w:pPr>
              <w:jc w:val="right"/>
              <w:rPr>
                <w:noProof/>
                <w:sz w:val="18"/>
                <w:szCs w:val="18"/>
              </w:rPr>
            </w:pPr>
            <w:r>
              <w:rPr>
                <w:noProof/>
                <w:sz w:val="18"/>
              </w:rPr>
              <w:t>7,645</w:t>
            </w:r>
          </w:p>
        </w:tc>
        <w:tc>
          <w:tcPr>
            <w:tcW w:w="868" w:type="dxa"/>
            <w:vAlign w:val="center"/>
          </w:tcPr>
          <w:p>
            <w:pPr>
              <w:jc w:val="right"/>
              <w:rPr>
                <w:noProof/>
                <w:sz w:val="18"/>
                <w:szCs w:val="18"/>
              </w:rPr>
            </w:pPr>
            <w:r>
              <w:rPr>
                <w:noProof/>
                <w:sz w:val="18"/>
              </w:rPr>
              <w:t>8,311</w:t>
            </w:r>
          </w:p>
        </w:tc>
        <w:tc>
          <w:tcPr>
            <w:tcW w:w="868" w:type="dxa"/>
            <w:vAlign w:val="center"/>
          </w:tcPr>
          <w:p>
            <w:pPr>
              <w:jc w:val="right"/>
              <w:rPr>
                <w:noProof/>
                <w:sz w:val="18"/>
                <w:szCs w:val="18"/>
              </w:rPr>
            </w:pPr>
            <w:r>
              <w:rPr>
                <w:noProof/>
                <w:sz w:val="18"/>
              </w:rPr>
              <w:t>9,193</w:t>
            </w:r>
          </w:p>
        </w:tc>
        <w:tc>
          <w:tcPr>
            <w:tcW w:w="868" w:type="dxa"/>
            <w:vAlign w:val="center"/>
          </w:tcPr>
          <w:p>
            <w:pPr>
              <w:jc w:val="right"/>
              <w:rPr>
                <w:noProof/>
                <w:sz w:val="18"/>
                <w:szCs w:val="18"/>
              </w:rPr>
            </w:pPr>
            <w:r>
              <w:rPr>
                <w:noProof/>
                <w:sz w:val="18"/>
              </w:rPr>
              <w:t>10,305</w:t>
            </w:r>
          </w:p>
        </w:tc>
        <w:tc>
          <w:tcPr>
            <w:tcW w:w="909" w:type="dxa"/>
            <w:shd w:val="clear" w:color="auto" w:fill="A6A6A6" w:themeFill="background1" w:themeFillShade="A6"/>
          </w:tcPr>
          <w:p>
            <w:pPr>
              <w:jc w:val="right"/>
              <w:rPr>
                <w:b/>
                <w:noProof/>
                <w:sz w:val="20"/>
              </w:rPr>
            </w:pPr>
          </w:p>
        </w:tc>
        <w:tc>
          <w:tcPr>
            <w:tcW w:w="1289" w:type="dxa"/>
            <w:gridSpan w:val="3"/>
            <w:vAlign w:val="center"/>
          </w:tcPr>
          <w:p>
            <w:pPr>
              <w:jc w:val="center"/>
              <w:rPr>
                <w:b/>
                <w:noProof/>
                <w:sz w:val="18"/>
                <w:szCs w:val="18"/>
              </w:rPr>
            </w:pPr>
            <w:r>
              <w:rPr>
                <w:b/>
                <w:noProof/>
                <w:sz w:val="18"/>
              </w:rPr>
              <w:t>56,000</w:t>
            </w:r>
          </w:p>
        </w:tc>
      </w:tr>
      <w:tr>
        <w:trPr>
          <w:jc w:val="center"/>
        </w:trPr>
        <w:tc>
          <w:tcPr>
            <w:tcW w:w="4103" w:type="dxa"/>
            <w:vMerge w:val="restart"/>
            <w:vAlign w:val="center"/>
          </w:tcPr>
          <w:p>
            <w:pPr>
              <w:rPr>
                <w:b/>
                <w:noProof/>
              </w:rPr>
            </w:pPr>
            <w:r>
              <w:rPr>
                <w:b/>
                <w:noProof/>
                <w:sz w:val="22"/>
              </w:rPr>
              <w:t>Totaal kredieten voor het budget van het programma</w:t>
            </w:r>
          </w:p>
        </w:tc>
        <w:tc>
          <w:tcPr>
            <w:tcW w:w="1440" w:type="dxa"/>
            <w:gridSpan w:val="2"/>
            <w:vAlign w:val="center"/>
          </w:tcPr>
          <w:p>
            <w:pPr>
              <w:rPr>
                <w:noProof/>
                <w:sz w:val="18"/>
              </w:rPr>
            </w:pPr>
            <w:r>
              <w:rPr>
                <w:noProof/>
                <w:sz w:val="18"/>
              </w:rPr>
              <w:t>Vastleggingen</w:t>
            </w:r>
          </w:p>
        </w:tc>
        <w:tc>
          <w:tcPr>
            <w:tcW w:w="654" w:type="dxa"/>
            <w:gridSpan w:val="2"/>
            <w:vAlign w:val="center"/>
          </w:tcPr>
          <w:p>
            <w:pPr>
              <w:jc w:val="center"/>
              <w:rPr>
                <w:noProof/>
                <w:sz w:val="14"/>
              </w:rPr>
            </w:pPr>
            <w:r>
              <w:rPr>
                <w:noProof/>
                <w:sz w:val="14"/>
              </w:rPr>
              <w:t>= 1 + 3</w:t>
            </w:r>
          </w:p>
        </w:tc>
        <w:tc>
          <w:tcPr>
            <w:tcW w:w="868" w:type="dxa"/>
            <w:vAlign w:val="center"/>
          </w:tcPr>
          <w:p>
            <w:pPr>
              <w:jc w:val="center"/>
              <w:rPr>
                <w:b/>
                <w:noProof/>
                <w:sz w:val="18"/>
                <w:szCs w:val="18"/>
              </w:rPr>
            </w:pPr>
            <w:r>
              <w:rPr>
                <w:b/>
                <w:noProof/>
                <w:sz w:val="18"/>
              </w:rPr>
              <w:t>148,181</w:t>
            </w:r>
          </w:p>
        </w:tc>
        <w:tc>
          <w:tcPr>
            <w:tcW w:w="868" w:type="dxa"/>
            <w:vAlign w:val="center"/>
          </w:tcPr>
          <w:p>
            <w:pPr>
              <w:jc w:val="center"/>
              <w:rPr>
                <w:b/>
                <w:noProof/>
                <w:sz w:val="18"/>
                <w:szCs w:val="18"/>
              </w:rPr>
            </w:pPr>
            <w:r>
              <w:rPr>
                <w:b/>
                <w:noProof/>
                <w:sz w:val="18"/>
              </w:rPr>
              <w:t>153,154</w:t>
            </w:r>
          </w:p>
        </w:tc>
        <w:tc>
          <w:tcPr>
            <w:tcW w:w="868" w:type="dxa"/>
            <w:vAlign w:val="center"/>
          </w:tcPr>
          <w:p>
            <w:pPr>
              <w:jc w:val="center"/>
              <w:rPr>
                <w:b/>
                <w:noProof/>
                <w:sz w:val="18"/>
                <w:szCs w:val="18"/>
              </w:rPr>
            </w:pPr>
            <w:r>
              <w:rPr>
                <w:b/>
                <w:noProof/>
                <w:sz w:val="18"/>
              </w:rPr>
              <w:t>160,952</w:t>
            </w:r>
          </w:p>
        </w:tc>
        <w:tc>
          <w:tcPr>
            <w:tcW w:w="868" w:type="dxa"/>
            <w:vAlign w:val="center"/>
          </w:tcPr>
          <w:p>
            <w:pPr>
              <w:jc w:val="center"/>
              <w:rPr>
                <w:b/>
                <w:noProof/>
                <w:sz w:val="18"/>
                <w:szCs w:val="18"/>
              </w:rPr>
            </w:pPr>
            <w:r>
              <w:rPr>
                <w:b/>
                <w:noProof/>
                <w:sz w:val="18"/>
              </w:rPr>
              <w:t>172,017</w:t>
            </w:r>
          </w:p>
        </w:tc>
        <w:tc>
          <w:tcPr>
            <w:tcW w:w="868" w:type="dxa"/>
            <w:vAlign w:val="center"/>
          </w:tcPr>
          <w:p>
            <w:pPr>
              <w:jc w:val="center"/>
              <w:rPr>
                <w:b/>
                <w:noProof/>
                <w:sz w:val="18"/>
                <w:szCs w:val="18"/>
              </w:rPr>
            </w:pPr>
            <w:r>
              <w:rPr>
                <w:b/>
                <w:noProof/>
                <w:sz w:val="18"/>
              </w:rPr>
              <w:t>187,003</w:t>
            </w:r>
          </w:p>
        </w:tc>
        <w:tc>
          <w:tcPr>
            <w:tcW w:w="868" w:type="dxa"/>
            <w:vAlign w:val="center"/>
          </w:tcPr>
          <w:p>
            <w:pPr>
              <w:jc w:val="center"/>
              <w:rPr>
                <w:b/>
                <w:noProof/>
                <w:sz w:val="18"/>
                <w:szCs w:val="18"/>
              </w:rPr>
            </w:pPr>
            <w:r>
              <w:rPr>
                <w:b/>
                <w:noProof/>
                <w:sz w:val="18"/>
              </w:rPr>
              <w:t>206,841</w:t>
            </w:r>
          </w:p>
        </w:tc>
        <w:tc>
          <w:tcPr>
            <w:tcW w:w="868" w:type="dxa"/>
            <w:vAlign w:val="center"/>
          </w:tcPr>
          <w:p>
            <w:pPr>
              <w:jc w:val="center"/>
              <w:rPr>
                <w:b/>
                <w:noProof/>
                <w:sz w:val="18"/>
                <w:szCs w:val="18"/>
              </w:rPr>
            </w:pPr>
            <w:r>
              <w:rPr>
                <w:b/>
                <w:noProof/>
                <w:sz w:val="18"/>
              </w:rPr>
              <w:t>231,852</w:t>
            </w:r>
          </w:p>
        </w:tc>
        <w:tc>
          <w:tcPr>
            <w:tcW w:w="909" w:type="dxa"/>
            <w:shd w:val="clear" w:color="auto" w:fill="A6A6A6" w:themeFill="background1" w:themeFillShade="A6"/>
            <w:vAlign w:val="center"/>
          </w:tcPr>
          <w:p>
            <w:pPr>
              <w:jc w:val="center"/>
              <w:rPr>
                <w:b/>
                <w:noProof/>
                <w:sz w:val="18"/>
                <w:szCs w:val="18"/>
              </w:rPr>
            </w:pPr>
          </w:p>
        </w:tc>
        <w:tc>
          <w:tcPr>
            <w:tcW w:w="1289" w:type="dxa"/>
            <w:gridSpan w:val="3"/>
            <w:vAlign w:val="center"/>
          </w:tcPr>
          <w:p>
            <w:pPr>
              <w:jc w:val="center"/>
              <w:rPr>
                <w:b/>
                <w:noProof/>
                <w:sz w:val="18"/>
                <w:szCs w:val="18"/>
              </w:rPr>
            </w:pPr>
            <w:r>
              <w:rPr>
                <w:b/>
                <w:noProof/>
                <w:sz w:val="18"/>
              </w:rPr>
              <w:t>1 260,000</w:t>
            </w:r>
          </w:p>
        </w:tc>
      </w:tr>
      <w:tr>
        <w:trPr>
          <w:jc w:val="center"/>
        </w:trPr>
        <w:tc>
          <w:tcPr>
            <w:tcW w:w="4103" w:type="dxa"/>
            <w:vMerge/>
          </w:tcPr>
          <w:p>
            <w:pPr>
              <w:rPr>
                <w:noProof/>
                <w:sz w:val="20"/>
              </w:rPr>
            </w:pPr>
          </w:p>
        </w:tc>
        <w:tc>
          <w:tcPr>
            <w:tcW w:w="1440" w:type="dxa"/>
            <w:gridSpan w:val="2"/>
            <w:vAlign w:val="center"/>
          </w:tcPr>
          <w:p>
            <w:pPr>
              <w:rPr>
                <w:noProof/>
                <w:sz w:val="18"/>
              </w:rPr>
            </w:pPr>
            <w:r>
              <w:rPr>
                <w:noProof/>
                <w:sz w:val="18"/>
              </w:rPr>
              <w:t>Betalingen</w:t>
            </w:r>
          </w:p>
        </w:tc>
        <w:tc>
          <w:tcPr>
            <w:tcW w:w="654" w:type="dxa"/>
            <w:gridSpan w:val="2"/>
            <w:vAlign w:val="center"/>
          </w:tcPr>
          <w:p>
            <w:pPr>
              <w:jc w:val="center"/>
              <w:rPr>
                <w:noProof/>
                <w:sz w:val="14"/>
              </w:rPr>
            </w:pPr>
            <w:r>
              <w:rPr>
                <w:noProof/>
                <w:sz w:val="14"/>
              </w:rPr>
              <w:t>= 2 + 3</w:t>
            </w:r>
          </w:p>
        </w:tc>
        <w:tc>
          <w:tcPr>
            <w:tcW w:w="868" w:type="dxa"/>
            <w:vAlign w:val="bottom"/>
          </w:tcPr>
          <w:p>
            <w:pPr>
              <w:jc w:val="center"/>
              <w:rPr>
                <w:b/>
                <w:noProof/>
                <w:sz w:val="18"/>
                <w:szCs w:val="18"/>
              </w:rPr>
            </w:pPr>
            <w:r>
              <w:rPr>
                <w:b/>
                <w:noProof/>
                <w:sz w:val="18"/>
              </w:rPr>
              <w:t>110,444</w:t>
            </w:r>
          </w:p>
        </w:tc>
        <w:tc>
          <w:tcPr>
            <w:tcW w:w="868" w:type="dxa"/>
            <w:vAlign w:val="bottom"/>
          </w:tcPr>
          <w:p>
            <w:pPr>
              <w:jc w:val="center"/>
              <w:rPr>
                <w:b/>
                <w:noProof/>
                <w:sz w:val="18"/>
                <w:szCs w:val="18"/>
              </w:rPr>
            </w:pPr>
            <w:r>
              <w:rPr>
                <w:b/>
                <w:noProof/>
                <w:sz w:val="18"/>
              </w:rPr>
              <w:t>139,823</w:t>
            </w:r>
          </w:p>
        </w:tc>
        <w:tc>
          <w:tcPr>
            <w:tcW w:w="868" w:type="dxa"/>
            <w:vAlign w:val="bottom"/>
          </w:tcPr>
          <w:p>
            <w:pPr>
              <w:jc w:val="center"/>
              <w:rPr>
                <w:b/>
                <w:noProof/>
                <w:sz w:val="18"/>
                <w:szCs w:val="18"/>
              </w:rPr>
            </w:pPr>
            <w:r>
              <w:rPr>
                <w:b/>
                <w:noProof/>
                <w:sz w:val="18"/>
              </w:rPr>
              <w:t>152,231</w:t>
            </w:r>
          </w:p>
        </w:tc>
        <w:tc>
          <w:tcPr>
            <w:tcW w:w="868" w:type="dxa"/>
            <w:vAlign w:val="bottom"/>
          </w:tcPr>
          <w:p>
            <w:pPr>
              <w:jc w:val="center"/>
              <w:rPr>
                <w:b/>
                <w:noProof/>
                <w:sz w:val="18"/>
                <w:szCs w:val="18"/>
              </w:rPr>
            </w:pPr>
            <w:r>
              <w:rPr>
                <w:b/>
                <w:noProof/>
                <w:sz w:val="18"/>
              </w:rPr>
              <w:t>163,860</w:t>
            </w:r>
          </w:p>
        </w:tc>
        <w:tc>
          <w:tcPr>
            <w:tcW w:w="868" w:type="dxa"/>
            <w:vAlign w:val="bottom"/>
          </w:tcPr>
          <w:p>
            <w:pPr>
              <w:jc w:val="center"/>
              <w:rPr>
                <w:b/>
                <w:noProof/>
                <w:sz w:val="18"/>
                <w:szCs w:val="18"/>
              </w:rPr>
            </w:pPr>
            <w:r>
              <w:rPr>
                <w:b/>
                <w:noProof/>
                <w:sz w:val="18"/>
              </w:rPr>
              <w:t>178,075</w:t>
            </w:r>
          </w:p>
        </w:tc>
        <w:tc>
          <w:tcPr>
            <w:tcW w:w="868" w:type="dxa"/>
            <w:vAlign w:val="bottom"/>
          </w:tcPr>
          <w:p>
            <w:pPr>
              <w:jc w:val="center"/>
              <w:rPr>
                <w:b/>
                <w:noProof/>
                <w:sz w:val="18"/>
                <w:szCs w:val="18"/>
              </w:rPr>
            </w:pPr>
            <w:r>
              <w:rPr>
                <w:b/>
                <w:noProof/>
                <w:sz w:val="18"/>
              </w:rPr>
              <w:t>196,321</w:t>
            </w:r>
          </w:p>
        </w:tc>
        <w:tc>
          <w:tcPr>
            <w:tcW w:w="868" w:type="dxa"/>
            <w:vAlign w:val="bottom"/>
          </w:tcPr>
          <w:p>
            <w:pPr>
              <w:jc w:val="center"/>
              <w:rPr>
                <w:b/>
                <w:noProof/>
                <w:sz w:val="18"/>
                <w:szCs w:val="18"/>
              </w:rPr>
            </w:pPr>
            <w:r>
              <w:rPr>
                <w:b/>
                <w:noProof/>
                <w:sz w:val="18"/>
              </w:rPr>
              <w:t>219,536</w:t>
            </w:r>
          </w:p>
        </w:tc>
        <w:tc>
          <w:tcPr>
            <w:tcW w:w="909" w:type="dxa"/>
            <w:vAlign w:val="bottom"/>
          </w:tcPr>
          <w:p>
            <w:pPr>
              <w:jc w:val="center"/>
              <w:rPr>
                <w:b/>
                <w:noProof/>
                <w:sz w:val="18"/>
                <w:szCs w:val="18"/>
              </w:rPr>
            </w:pPr>
            <w:r>
              <w:rPr>
                <w:b/>
                <w:noProof/>
                <w:sz w:val="18"/>
              </w:rPr>
              <w:t>99,710</w:t>
            </w:r>
          </w:p>
        </w:tc>
        <w:tc>
          <w:tcPr>
            <w:tcW w:w="1289" w:type="dxa"/>
            <w:gridSpan w:val="3"/>
            <w:vAlign w:val="center"/>
          </w:tcPr>
          <w:p>
            <w:pPr>
              <w:jc w:val="center"/>
              <w:rPr>
                <w:b/>
                <w:noProof/>
                <w:sz w:val="18"/>
                <w:szCs w:val="18"/>
              </w:rPr>
            </w:pPr>
            <w:r>
              <w:rPr>
                <w:b/>
                <w:noProof/>
                <w:sz w:val="18"/>
              </w:rPr>
              <w:t>1 260,000</w:t>
            </w:r>
          </w:p>
        </w:tc>
      </w:tr>
      <w:tr>
        <w:trPr>
          <w:gridAfter w:val="2"/>
          <w:wAfter w:w="830" w:type="dxa"/>
          <w:jc w:val="center"/>
        </w:trPr>
        <w:tc>
          <w:tcPr>
            <w:tcW w:w="4744" w:type="dxa"/>
            <w:gridSpan w:val="2"/>
            <w:shd w:val="thinDiagStripe" w:color="C0C0C0" w:fill="auto"/>
            <w:vAlign w:val="center"/>
          </w:tcPr>
          <w:p>
            <w:pPr>
              <w:jc w:val="center"/>
              <w:rPr>
                <w:rFonts w:eastAsia="Times New Roman"/>
                <w:b/>
                <w:noProof/>
              </w:rPr>
            </w:pPr>
            <w:r>
              <w:rPr>
                <w:b/>
                <w:noProof/>
                <w:sz w:val="22"/>
              </w:rPr>
              <w:t>Rubriek van het meerjarige financiële</w:t>
            </w:r>
            <w:r>
              <w:rPr>
                <w:rFonts w:eastAsia="Times New Roman"/>
                <w:noProof/>
                <w:sz w:val="22"/>
              </w:rPr>
              <w:br/>
            </w:r>
            <w:r>
              <w:rPr>
                <w:b/>
                <w:noProof/>
                <w:sz w:val="22"/>
              </w:rPr>
              <w:t xml:space="preserve">kader </w:t>
            </w:r>
          </w:p>
        </w:tc>
        <w:tc>
          <w:tcPr>
            <w:tcW w:w="1080" w:type="dxa"/>
            <w:gridSpan w:val="2"/>
            <w:vAlign w:val="center"/>
          </w:tcPr>
          <w:p>
            <w:pPr>
              <w:jc w:val="center"/>
              <w:rPr>
                <w:rFonts w:eastAsia="Times New Roman"/>
                <w:noProof/>
              </w:rPr>
            </w:pPr>
            <w:r>
              <w:rPr>
                <w:noProof/>
              </w:rPr>
              <w:t>2</w:t>
            </w:r>
          </w:p>
        </w:tc>
        <w:tc>
          <w:tcPr>
            <w:tcW w:w="7817" w:type="dxa"/>
            <w:gridSpan w:val="10"/>
            <w:vAlign w:val="center"/>
          </w:tcPr>
          <w:p>
            <w:pPr>
              <w:rPr>
                <w:rFonts w:eastAsia="Times New Roman"/>
                <w:noProof/>
              </w:rPr>
            </w:pPr>
            <w:r>
              <w:rPr>
                <w:noProof/>
                <w:sz w:val="22"/>
              </w:rPr>
              <w:t>Cohesie en waarden</w:t>
            </w:r>
          </w:p>
        </w:tc>
      </w:tr>
      <w:tr>
        <w:trPr>
          <w:gridAfter w:val="1"/>
          <w:wAfter w:w="113" w:type="dxa"/>
          <w:jc w:val="center"/>
        </w:trPr>
        <w:tc>
          <w:tcPr>
            <w:tcW w:w="6197" w:type="dxa"/>
            <w:gridSpan w:val="5"/>
            <w:tcBorders>
              <w:top w:val="nil"/>
              <w:left w:val="nil"/>
              <w:bottom w:val="nil"/>
              <w:right w:val="single" w:sz="4" w:space="0" w:color="auto"/>
            </w:tcBorders>
            <w:vAlign w:val="center"/>
          </w:tcPr>
          <w:p>
            <w:pPr>
              <w:jc w:val="center"/>
              <w:rPr>
                <w:rFonts w:eastAsia="Times New Roman"/>
                <w:b/>
                <w:noProof/>
                <w:sz w:val="20"/>
              </w:rPr>
            </w:pPr>
          </w:p>
        </w:tc>
        <w:tc>
          <w:tcPr>
            <w:tcW w:w="868" w:type="dxa"/>
            <w:tcBorders>
              <w:left w:val="single" w:sz="4" w:space="0" w:color="auto"/>
            </w:tcBorders>
            <w:vAlign w:val="center"/>
          </w:tcPr>
          <w:p>
            <w:pPr>
              <w:jc w:val="center"/>
              <w:rPr>
                <w:rFonts w:eastAsia="Times New Roman"/>
                <w:b/>
                <w:noProof/>
                <w:sz w:val="20"/>
              </w:rPr>
            </w:pPr>
            <w:r>
              <w:rPr>
                <w:b/>
                <w:noProof/>
                <w:sz w:val="20"/>
              </w:rPr>
              <w:t>2021</w:t>
            </w:r>
          </w:p>
        </w:tc>
        <w:tc>
          <w:tcPr>
            <w:tcW w:w="868" w:type="dxa"/>
            <w:vAlign w:val="center"/>
          </w:tcPr>
          <w:p>
            <w:pPr>
              <w:jc w:val="center"/>
              <w:rPr>
                <w:rFonts w:eastAsia="Times New Roman"/>
                <w:b/>
                <w:noProof/>
                <w:sz w:val="20"/>
              </w:rPr>
            </w:pPr>
            <w:r>
              <w:rPr>
                <w:b/>
                <w:noProof/>
                <w:sz w:val="20"/>
              </w:rPr>
              <w:t>2022</w:t>
            </w:r>
          </w:p>
        </w:tc>
        <w:tc>
          <w:tcPr>
            <w:tcW w:w="868" w:type="dxa"/>
            <w:vAlign w:val="center"/>
          </w:tcPr>
          <w:p>
            <w:pPr>
              <w:jc w:val="center"/>
              <w:rPr>
                <w:rFonts w:eastAsia="Times New Roman"/>
                <w:b/>
                <w:noProof/>
                <w:sz w:val="20"/>
              </w:rPr>
            </w:pPr>
            <w:r>
              <w:rPr>
                <w:b/>
                <w:noProof/>
                <w:sz w:val="20"/>
              </w:rPr>
              <w:t>2023</w:t>
            </w:r>
          </w:p>
        </w:tc>
        <w:tc>
          <w:tcPr>
            <w:tcW w:w="868" w:type="dxa"/>
            <w:vAlign w:val="center"/>
          </w:tcPr>
          <w:p>
            <w:pPr>
              <w:jc w:val="center"/>
              <w:rPr>
                <w:rFonts w:eastAsia="Times New Roman"/>
                <w:b/>
                <w:noProof/>
                <w:sz w:val="20"/>
              </w:rPr>
            </w:pPr>
            <w:r>
              <w:rPr>
                <w:b/>
                <w:noProof/>
                <w:sz w:val="20"/>
              </w:rPr>
              <w:t>2024</w:t>
            </w:r>
          </w:p>
        </w:tc>
        <w:tc>
          <w:tcPr>
            <w:tcW w:w="868" w:type="dxa"/>
            <w:vAlign w:val="center"/>
          </w:tcPr>
          <w:p>
            <w:pPr>
              <w:jc w:val="center"/>
              <w:rPr>
                <w:rFonts w:eastAsia="Times New Roman"/>
                <w:b/>
                <w:noProof/>
                <w:sz w:val="18"/>
              </w:rPr>
            </w:pPr>
            <w:r>
              <w:rPr>
                <w:b/>
                <w:noProof/>
                <w:sz w:val="18"/>
              </w:rPr>
              <w:t>2025</w:t>
            </w:r>
          </w:p>
        </w:tc>
        <w:tc>
          <w:tcPr>
            <w:tcW w:w="868" w:type="dxa"/>
            <w:vAlign w:val="center"/>
          </w:tcPr>
          <w:p>
            <w:pPr>
              <w:jc w:val="center"/>
              <w:rPr>
                <w:rFonts w:eastAsia="Times New Roman"/>
                <w:b/>
                <w:noProof/>
                <w:sz w:val="18"/>
              </w:rPr>
            </w:pPr>
            <w:r>
              <w:rPr>
                <w:b/>
                <w:noProof/>
                <w:sz w:val="18"/>
              </w:rPr>
              <w:t>2026</w:t>
            </w:r>
          </w:p>
        </w:tc>
        <w:tc>
          <w:tcPr>
            <w:tcW w:w="868" w:type="dxa"/>
            <w:vAlign w:val="center"/>
          </w:tcPr>
          <w:p>
            <w:pPr>
              <w:jc w:val="center"/>
              <w:rPr>
                <w:rFonts w:eastAsia="Times New Roman"/>
                <w:b/>
                <w:noProof/>
                <w:sz w:val="18"/>
              </w:rPr>
            </w:pPr>
            <w:r>
              <w:rPr>
                <w:b/>
                <w:noProof/>
                <w:sz w:val="18"/>
              </w:rPr>
              <w:t>2027</w:t>
            </w:r>
          </w:p>
        </w:tc>
        <w:tc>
          <w:tcPr>
            <w:tcW w:w="909" w:type="dxa"/>
          </w:tcPr>
          <w:p>
            <w:pPr>
              <w:jc w:val="center"/>
              <w:rPr>
                <w:rFonts w:eastAsia="Times New Roman"/>
                <w:b/>
                <w:i/>
                <w:noProof/>
                <w:sz w:val="20"/>
              </w:rPr>
            </w:pPr>
            <w:r>
              <w:rPr>
                <w:b/>
                <w:i/>
                <w:noProof/>
                <w:sz w:val="20"/>
              </w:rPr>
              <w:t>Na 2027</w:t>
            </w:r>
          </w:p>
        </w:tc>
        <w:tc>
          <w:tcPr>
            <w:tcW w:w="1289" w:type="dxa"/>
            <w:gridSpan w:val="2"/>
            <w:vAlign w:val="center"/>
          </w:tcPr>
          <w:p>
            <w:pPr>
              <w:jc w:val="center"/>
              <w:rPr>
                <w:rFonts w:eastAsia="Times New Roman"/>
                <w:b/>
                <w:noProof/>
                <w:sz w:val="20"/>
              </w:rPr>
            </w:pPr>
            <w:r>
              <w:rPr>
                <w:b/>
                <w:noProof/>
                <w:sz w:val="20"/>
              </w:rPr>
              <w:t>TOTAAL</w:t>
            </w:r>
          </w:p>
        </w:tc>
      </w:tr>
      <w:tr>
        <w:trPr>
          <w:gridAfter w:val="1"/>
          <w:wAfter w:w="113" w:type="dxa"/>
          <w:trHeight w:val="433"/>
          <w:jc w:val="center"/>
        </w:trPr>
        <w:tc>
          <w:tcPr>
            <w:tcW w:w="14471" w:type="dxa"/>
            <w:gridSpan w:val="15"/>
            <w:vAlign w:val="center"/>
          </w:tcPr>
          <w:p>
            <w:pPr>
              <w:rPr>
                <w:rFonts w:eastAsia="Times New Roman"/>
                <w:b/>
                <w:noProof/>
                <w:sz w:val="20"/>
              </w:rPr>
            </w:pPr>
            <w:r>
              <w:rPr>
                <w:b/>
                <w:noProof/>
                <w:sz w:val="20"/>
              </w:rPr>
              <w:t>Beleidskredieten</w:t>
            </w:r>
          </w:p>
        </w:tc>
      </w:tr>
      <w:tr>
        <w:trPr>
          <w:gridAfter w:val="1"/>
          <w:wAfter w:w="113" w:type="dxa"/>
          <w:trHeight w:val="433"/>
          <w:jc w:val="center"/>
        </w:trPr>
        <w:tc>
          <w:tcPr>
            <w:tcW w:w="4103" w:type="dxa"/>
            <w:vMerge w:val="restart"/>
            <w:vAlign w:val="center"/>
          </w:tcPr>
          <w:p>
            <w:pPr>
              <w:rPr>
                <w:rFonts w:eastAsia="Times New Roman"/>
                <w:noProof/>
              </w:rPr>
            </w:pPr>
            <w:r>
              <w:rPr>
                <w:noProof/>
              </w:rPr>
              <w:t xml:space="preserve">07 04 01 </w:t>
            </w:r>
            <w:r>
              <w:rPr>
                <w:i/>
                <w:noProof/>
              </w:rPr>
              <w:t>– Europees Solidariteitskorps</w:t>
            </w:r>
          </w:p>
        </w:tc>
        <w:tc>
          <w:tcPr>
            <w:tcW w:w="1440" w:type="dxa"/>
            <w:gridSpan w:val="2"/>
            <w:vAlign w:val="center"/>
          </w:tcPr>
          <w:p>
            <w:pPr>
              <w:rPr>
                <w:rFonts w:eastAsia="Times New Roman"/>
                <w:noProof/>
                <w:sz w:val="18"/>
              </w:rPr>
            </w:pPr>
            <w:r>
              <w:rPr>
                <w:noProof/>
                <w:sz w:val="18"/>
              </w:rPr>
              <w:t>Vastleggingen</w:t>
            </w:r>
          </w:p>
        </w:tc>
        <w:tc>
          <w:tcPr>
            <w:tcW w:w="654" w:type="dxa"/>
            <w:gridSpan w:val="2"/>
            <w:vAlign w:val="center"/>
          </w:tcPr>
          <w:p>
            <w:pPr>
              <w:jc w:val="center"/>
              <w:rPr>
                <w:rFonts w:eastAsia="Times New Roman"/>
                <w:noProof/>
                <w:sz w:val="14"/>
              </w:rPr>
            </w:pPr>
            <w:r>
              <w:rPr>
                <w:noProof/>
                <w:sz w:val="14"/>
              </w:rPr>
              <w:t>1)</w:t>
            </w:r>
          </w:p>
        </w:tc>
        <w:tc>
          <w:tcPr>
            <w:tcW w:w="868" w:type="dxa"/>
            <w:vAlign w:val="center"/>
          </w:tcPr>
          <w:p>
            <w:pPr>
              <w:jc w:val="right"/>
              <w:rPr>
                <w:rFonts w:eastAsia="Times New Roman"/>
                <w:noProof/>
                <w:sz w:val="18"/>
                <w:szCs w:val="18"/>
              </w:rPr>
            </w:pPr>
            <w:r>
              <w:rPr>
                <w:noProof/>
                <w:sz w:val="18"/>
              </w:rPr>
              <w:t>141,595</w:t>
            </w:r>
          </w:p>
        </w:tc>
        <w:tc>
          <w:tcPr>
            <w:tcW w:w="868" w:type="dxa"/>
            <w:vAlign w:val="center"/>
          </w:tcPr>
          <w:p>
            <w:pPr>
              <w:jc w:val="right"/>
              <w:rPr>
                <w:rFonts w:eastAsia="Times New Roman"/>
                <w:noProof/>
                <w:sz w:val="18"/>
                <w:szCs w:val="18"/>
              </w:rPr>
            </w:pPr>
            <w:r>
              <w:rPr>
                <w:noProof/>
                <w:sz w:val="18"/>
              </w:rPr>
              <w:t>146,347</w:t>
            </w:r>
          </w:p>
        </w:tc>
        <w:tc>
          <w:tcPr>
            <w:tcW w:w="868" w:type="dxa"/>
            <w:vAlign w:val="center"/>
          </w:tcPr>
          <w:p>
            <w:pPr>
              <w:jc w:val="right"/>
              <w:rPr>
                <w:rFonts w:eastAsia="Times New Roman"/>
                <w:noProof/>
                <w:sz w:val="18"/>
                <w:szCs w:val="18"/>
              </w:rPr>
            </w:pPr>
            <w:r>
              <w:rPr>
                <w:noProof/>
                <w:sz w:val="18"/>
              </w:rPr>
              <w:t>153,799</w:t>
            </w:r>
          </w:p>
        </w:tc>
        <w:tc>
          <w:tcPr>
            <w:tcW w:w="868" w:type="dxa"/>
            <w:vAlign w:val="center"/>
          </w:tcPr>
          <w:p>
            <w:pPr>
              <w:jc w:val="right"/>
              <w:rPr>
                <w:rFonts w:eastAsia="Times New Roman"/>
                <w:noProof/>
                <w:sz w:val="18"/>
                <w:szCs w:val="18"/>
              </w:rPr>
            </w:pPr>
            <w:r>
              <w:rPr>
                <w:noProof/>
                <w:sz w:val="18"/>
              </w:rPr>
              <w:t>164,372</w:t>
            </w:r>
          </w:p>
        </w:tc>
        <w:tc>
          <w:tcPr>
            <w:tcW w:w="868" w:type="dxa"/>
            <w:vAlign w:val="center"/>
          </w:tcPr>
          <w:p>
            <w:pPr>
              <w:jc w:val="right"/>
              <w:rPr>
                <w:rFonts w:eastAsia="Times New Roman"/>
                <w:noProof/>
                <w:sz w:val="18"/>
                <w:szCs w:val="18"/>
              </w:rPr>
            </w:pPr>
            <w:r>
              <w:rPr>
                <w:noProof/>
                <w:sz w:val="18"/>
              </w:rPr>
              <w:t>178,692</w:t>
            </w:r>
          </w:p>
        </w:tc>
        <w:tc>
          <w:tcPr>
            <w:tcW w:w="868" w:type="dxa"/>
            <w:vAlign w:val="center"/>
          </w:tcPr>
          <w:p>
            <w:pPr>
              <w:jc w:val="right"/>
              <w:rPr>
                <w:rFonts w:eastAsia="Times New Roman"/>
                <w:noProof/>
                <w:sz w:val="18"/>
                <w:szCs w:val="18"/>
              </w:rPr>
            </w:pPr>
            <w:r>
              <w:rPr>
                <w:noProof/>
                <w:sz w:val="18"/>
              </w:rPr>
              <w:t>197,648</w:t>
            </w:r>
          </w:p>
        </w:tc>
        <w:tc>
          <w:tcPr>
            <w:tcW w:w="868" w:type="dxa"/>
            <w:vAlign w:val="center"/>
          </w:tcPr>
          <w:p>
            <w:pPr>
              <w:jc w:val="right"/>
              <w:rPr>
                <w:rFonts w:eastAsia="Times New Roman"/>
                <w:noProof/>
                <w:sz w:val="18"/>
                <w:szCs w:val="18"/>
              </w:rPr>
            </w:pPr>
            <w:r>
              <w:rPr>
                <w:noProof/>
                <w:sz w:val="18"/>
              </w:rPr>
              <w:t>221,547</w:t>
            </w:r>
          </w:p>
        </w:tc>
        <w:tc>
          <w:tcPr>
            <w:tcW w:w="909" w:type="dxa"/>
            <w:shd w:val="clear" w:color="auto" w:fill="A6A6A6" w:themeFill="background1" w:themeFillShade="A6"/>
          </w:tcPr>
          <w:p>
            <w:pPr>
              <w:jc w:val="right"/>
              <w:rPr>
                <w:rFonts w:eastAsia="Times New Roman"/>
                <w:b/>
                <w:noProof/>
                <w:sz w:val="20"/>
              </w:rPr>
            </w:pPr>
          </w:p>
        </w:tc>
        <w:tc>
          <w:tcPr>
            <w:tcW w:w="1289" w:type="dxa"/>
            <w:gridSpan w:val="2"/>
            <w:vAlign w:val="center"/>
          </w:tcPr>
          <w:p>
            <w:pPr>
              <w:jc w:val="center"/>
              <w:rPr>
                <w:rFonts w:eastAsia="Times New Roman"/>
                <w:b/>
                <w:noProof/>
                <w:sz w:val="20"/>
              </w:rPr>
            </w:pPr>
            <w:r>
              <w:rPr>
                <w:b/>
                <w:noProof/>
                <w:sz w:val="18"/>
              </w:rPr>
              <w:t>1 204,000</w:t>
            </w:r>
          </w:p>
        </w:tc>
      </w:tr>
      <w:tr>
        <w:trPr>
          <w:gridAfter w:val="1"/>
          <w:wAfter w:w="113" w:type="dxa"/>
          <w:trHeight w:val="411"/>
          <w:jc w:val="center"/>
        </w:trPr>
        <w:tc>
          <w:tcPr>
            <w:tcW w:w="4103" w:type="dxa"/>
            <w:vMerge/>
          </w:tcPr>
          <w:p>
            <w:pPr>
              <w:rPr>
                <w:rFonts w:eastAsia="Times New Roman"/>
                <w:noProof/>
              </w:rPr>
            </w:pPr>
          </w:p>
        </w:tc>
        <w:tc>
          <w:tcPr>
            <w:tcW w:w="1440" w:type="dxa"/>
            <w:gridSpan w:val="2"/>
            <w:vAlign w:val="center"/>
          </w:tcPr>
          <w:p>
            <w:pPr>
              <w:rPr>
                <w:rFonts w:eastAsia="Times New Roman"/>
                <w:noProof/>
                <w:sz w:val="18"/>
              </w:rPr>
            </w:pPr>
            <w:r>
              <w:rPr>
                <w:noProof/>
                <w:sz w:val="18"/>
              </w:rPr>
              <w:t>Betalingen</w:t>
            </w:r>
          </w:p>
        </w:tc>
        <w:tc>
          <w:tcPr>
            <w:tcW w:w="654" w:type="dxa"/>
            <w:gridSpan w:val="2"/>
            <w:vAlign w:val="center"/>
          </w:tcPr>
          <w:p>
            <w:pPr>
              <w:jc w:val="center"/>
              <w:rPr>
                <w:rFonts w:eastAsia="Times New Roman"/>
                <w:noProof/>
                <w:sz w:val="14"/>
              </w:rPr>
            </w:pPr>
            <w:r>
              <w:rPr>
                <w:noProof/>
                <w:sz w:val="14"/>
              </w:rPr>
              <w:t>2)</w:t>
            </w:r>
          </w:p>
        </w:tc>
        <w:tc>
          <w:tcPr>
            <w:tcW w:w="868" w:type="dxa"/>
            <w:vAlign w:val="center"/>
          </w:tcPr>
          <w:p>
            <w:pPr>
              <w:jc w:val="right"/>
              <w:rPr>
                <w:rFonts w:eastAsia="Times New Roman"/>
                <w:noProof/>
                <w:sz w:val="18"/>
                <w:szCs w:val="18"/>
              </w:rPr>
            </w:pPr>
            <w:r>
              <w:rPr>
                <w:noProof/>
                <w:sz w:val="18"/>
              </w:rPr>
              <w:t>103,858</w:t>
            </w:r>
          </w:p>
        </w:tc>
        <w:tc>
          <w:tcPr>
            <w:tcW w:w="868" w:type="dxa"/>
            <w:vAlign w:val="center"/>
          </w:tcPr>
          <w:p>
            <w:pPr>
              <w:jc w:val="right"/>
              <w:rPr>
                <w:rFonts w:eastAsia="Times New Roman"/>
                <w:noProof/>
                <w:sz w:val="18"/>
                <w:szCs w:val="18"/>
              </w:rPr>
            </w:pPr>
            <w:r>
              <w:rPr>
                <w:noProof/>
                <w:sz w:val="18"/>
              </w:rPr>
              <w:t>133,016</w:t>
            </w:r>
          </w:p>
        </w:tc>
        <w:tc>
          <w:tcPr>
            <w:tcW w:w="868" w:type="dxa"/>
            <w:vAlign w:val="center"/>
          </w:tcPr>
          <w:p>
            <w:pPr>
              <w:jc w:val="right"/>
              <w:rPr>
                <w:rFonts w:eastAsia="Times New Roman"/>
                <w:noProof/>
                <w:sz w:val="18"/>
                <w:szCs w:val="18"/>
              </w:rPr>
            </w:pPr>
            <w:r>
              <w:rPr>
                <w:noProof/>
                <w:sz w:val="18"/>
              </w:rPr>
              <w:t>145,078</w:t>
            </w:r>
          </w:p>
        </w:tc>
        <w:tc>
          <w:tcPr>
            <w:tcW w:w="868" w:type="dxa"/>
            <w:vAlign w:val="center"/>
          </w:tcPr>
          <w:p>
            <w:pPr>
              <w:jc w:val="right"/>
              <w:rPr>
                <w:rFonts w:eastAsia="Times New Roman"/>
                <w:noProof/>
                <w:sz w:val="18"/>
                <w:szCs w:val="18"/>
              </w:rPr>
            </w:pPr>
            <w:r>
              <w:rPr>
                <w:noProof/>
                <w:sz w:val="18"/>
              </w:rPr>
              <w:t>156,215</w:t>
            </w:r>
          </w:p>
        </w:tc>
        <w:tc>
          <w:tcPr>
            <w:tcW w:w="868" w:type="dxa"/>
            <w:vAlign w:val="center"/>
          </w:tcPr>
          <w:p>
            <w:pPr>
              <w:jc w:val="right"/>
              <w:rPr>
                <w:rFonts w:eastAsia="Times New Roman"/>
                <w:noProof/>
                <w:sz w:val="18"/>
                <w:szCs w:val="18"/>
              </w:rPr>
            </w:pPr>
            <w:r>
              <w:rPr>
                <w:noProof/>
                <w:sz w:val="18"/>
              </w:rPr>
              <w:t>169,764</w:t>
            </w:r>
          </w:p>
        </w:tc>
        <w:tc>
          <w:tcPr>
            <w:tcW w:w="868" w:type="dxa"/>
            <w:vAlign w:val="center"/>
          </w:tcPr>
          <w:p>
            <w:pPr>
              <w:jc w:val="right"/>
              <w:rPr>
                <w:rFonts w:eastAsia="Times New Roman"/>
                <w:noProof/>
                <w:sz w:val="18"/>
                <w:szCs w:val="18"/>
              </w:rPr>
            </w:pPr>
            <w:r>
              <w:rPr>
                <w:noProof/>
                <w:sz w:val="18"/>
              </w:rPr>
              <w:t>187,129</w:t>
            </w:r>
          </w:p>
        </w:tc>
        <w:tc>
          <w:tcPr>
            <w:tcW w:w="868" w:type="dxa"/>
            <w:vAlign w:val="center"/>
          </w:tcPr>
          <w:p>
            <w:pPr>
              <w:jc w:val="right"/>
              <w:rPr>
                <w:rFonts w:eastAsia="Times New Roman"/>
                <w:noProof/>
                <w:sz w:val="18"/>
                <w:szCs w:val="18"/>
              </w:rPr>
            </w:pPr>
            <w:r>
              <w:rPr>
                <w:noProof/>
                <w:sz w:val="18"/>
              </w:rPr>
              <w:t>209,231</w:t>
            </w:r>
          </w:p>
        </w:tc>
        <w:tc>
          <w:tcPr>
            <w:tcW w:w="909" w:type="dxa"/>
            <w:vAlign w:val="center"/>
          </w:tcPr>
          <w:p>
            <w:pPr>
              <w:jc w:val="right"/>
              <w:rPr>
                <w:rFonts w:eastAsia="Times New Roman"/>
                <w:noProof/>
                <w:sz w:val="18"/>
                <w:szCs w:val="18"/>
              </w:rPr>
            </w:pPr>
            <w:r>
              <w:rPr>
                <w:noProof/>
                <w:sz w:val="18"/>
              </w:rPr>
              <w:t>99,710</w:t>
            </w:r>
          </w:p>
        </w:tc>
        <w:tc>
          <w:tcPr>
            <w:tcW w:w="1289" w:type="dxa"/>
            <w:gridSpan w:val="2"/>
            <w:vAlign w:val="center"/>
          </w:tcPr>
          <w:p>
            <w:pPr>
              <w:jc w:val="center"/>
              <w:rPr>
                <w:rFonts w:eastAsia="Times New Roman"/>
                <w:b/>
                <w:noProof/>
                <w:sz w:val="18"/>
                <w:szCs w:val="18"/>
              </w:rPr>
            </w:pPr>
            <w:r>
              <w:rPr>
                <w:b/>
                <w:noProof/>
                <w:sz w:val="18"/>
              </w:rPr>
              <w:t>1 204,000</w:t>
            </w:r>
          </w:p>
        </w:tc>
      </w:tr>
      <w:tr>
        <w:trPr>
          <w:gridAfter w:val="1"/>
          <w:wAfter w:w="113" w:type="dxa"/>
          <w:trHeight w:val="319"/>
          <w:jc w:val="center"/>
        </w:trPr>
        <w:tc>
          <w:tcPr>
            <w:tcW w:w="14471" w:type="dxa"/>
            <w:gridSpan w:val="15"/>
            <w:vAlign w:val="center"/>
          </w:tcPr>
          <w:p>
            <w:pPr>
              <w:rPr>
                <w:rFonts w:eastAsia="Times New Roman"/>
                <w:b/>
                <w:noProof/>
                <w:sz w:val="20"/>
              </w:rPr>
            </w:pPr>
            <w:r>
              <w:rPr>
                <w:b/>
                <w:noProof/>
                <w:sz w:val="20"/>
              </w:rPr>
              <w:t>Uit het budget van het programma gefinancierde administratieve kredieten</w:t>
            </w:r>
          </w:p>
        </w:tc>
      </w:tr>
      <w:tr>
        <w:tblPrEx>
          <w:shd w:val="clear" w:color="auto" w:fill="CED7E7"/>
        </w:tblPrEx>
        <w:trPr>
          <w:gridAfter w:val="1"/>
          <w:wAfter w:w="113" w:type="dxa"/>
          <w:trHeight w:val="319"/>
          <w:jc w:val="center"/>
        </w:trPr>
        <w:tc>
          <w:tcPr>
            <w:tcW w:w="4103" w:type="dxa"/>
            <w:vAlign w:val="center"/>
          </w:tcPr>
          <w:p>
            <w:pPr>
              <w:rPr>
                <w:rFonts w:eastAsia="Times New Roman"/>
                <w:i/>
                <w:noProof/>
              </w:rPr>
            </w:pPr>
            <w:r>
              <w:rPr>
                <w:i/>
                <w:noProof/>
              </w:rPr>
              <w:t xml:space="preserve">07 01 XX XX – Administratieve ondersteuning van het Europees Solidariteitskorps </w:t>
            </w:r>
          </w:p>
        </w:tc>
        <w:tc>
          <w:tcPr>
            <w:tcW w:w="1440" w:type="dxa"/>
            <w:gridSpan w:val="2"/>
            <w:vAlign w:val="center"/>
          </w:tcPr>
          <w:p>
            <w:pPr>
              <w:rPr>
                <w:rFonts w:eastAsia="Times New Roman"/>
                <w:noProof/>
                <w:sz w:val="18"/>
              </w:rPr>
            </w:pPr>
            <w:r>
              <w:rPr>
                <w:noProof/>
                <w:sz w:val="18"/>
              </w:rPr>
              <w:t>Vastleggingen = betalingen</w:t>
            </w:r>
          </w:p>
        </w:tc>
        <w:tc>
          <w:tcPr>
            <w:tcW w:w="654" w:type="dxa"/>
            <w:gridSpan w:val="2"/>
            <w:vAlign w:val="center"/>
          </w:tcPr>
          <w:p>
            <w:pPr>
              <w:jc w:val="center"/>
              <w:rPr>
                <w:rFonts w:eastAsia="Times New Roman"/>
                <w:noProof/>
                <w:sz w:val="14"/>
              </w:rPr>
            </w:pPr>
            <w:r>
              <w:rPr>
                <w:noProof/>
                <w:sz w:val="14"/>
              </w:rPr>
              <w:t>(3)</w:t>
            </w:r>
          </w:p>
        </w:tc>
        <w:tc>
          <w:tcPr>
            <w:tcW w:w="868" w:type="dxa"/>
            <w:vAlign w:val="center"/>
          </w:tcPr>
          <w:p>
            <w:pPr>
              <w:jc w:val="center"/>
              <w:rPr>
                <w:rFonts w:eastAsia="Times New Roman"/>
                <w:noProof/>
                <w:sz w:val="18"/>
                <w:szCs w:val="18"/>
              </w:rPr>
            </w:pPr>
            <w:r>
              <w:rPr>
                <w:noProof/>
                <w:sz w:val="18"/>
              </w:rPr>
              <w:t>6,586</w:t>
            </w:r>
          </w:p>
        </w:tc>
        <w:tc>
          <w:tcPr>
            <w:tcW w:w="868" w:type="dxa"/>
            <w:vAlign w:val="center"/>
          </w:tcPr>
          <w:p>
            <w:pPr>
              <w:jc w:val="center"/>
              <w:rPr>
                <w:rFonts w:eastAsia="Times New Roman"/>
                <w:noProof/>
                <w:sz w:val="18"/>
                <w:szCs w:val="18"/>
              </w:rPr>
            </w:pPr>
            <w:r>
              <w:rPr>
                <w:noProof/>
                <w:sz w:val="18"/>
              </w:rPr>
              <w:t>6,807</w:t>
            </w:r>
          </w:p>
        </w:tc>
        <w:tc>
          <w:tcPr>
            <w:tcW w:w="868" w:type="dxa"/>
            <w:vAlign w:val="center"/>
          </w:tcPr>
          <w:p>
            <w:pPr>
              <w:jc w:val="center"/>
              <w:rPr>
                <w:rFonts w:eastAsia="Times New Roman"/>
                <w:noProof/>
                <w:sz w:val="18"/>
                <w:szCs w:val="18"/>
              </w:rPr>
            </w:pPr>
            <w:r>
              <w:rPr>
                <w:noProof/>
                <w:sz w:val="18"/>
              </w:rPr>
              <w:t>7,153</w:t>
            </w:r>
          </w:p>
        </w:tc>
        <w:tc>
          <w:tcPr>
            <w:tcW w:w="868" w:type="dxa"/>
            <w:vAlign w:val="center"/>
          </w:tcPr>
          <w:p>
            <w:pPr>
              <w:jc w:val="center"/>
              <w:rPr>
                <w:rFonts w:eastAsia="Times New Roman"/>
                <w:noProof/>
                <w:sz w:val="18"/>
                <w:szCs w:val="18"/>
              </w:rPr>
            </w:pPr>
            <w:r>
              <w:rPr>
                <w:noProof/>
                <w:sz w:val="18"/>
              </w:rPr>
              <w:t>7,645</w:t>
            </w:r>
          </w:p>
        </w:tc>
        <w:tc>
          <w:tcPr>
            <w:tcW w:w="868" w:type="dxa"/>
            <w:vAlign w:val="center"/>
          </w:tcPr>
          <w:p>
            <w:pPr>
              <w:jc w:val="center"/>
              <w:rPr>
                <w:rFonts w:eastAsia="Times New Roman"/>
                <w:noProof/>
                <w:sz w:val="18"/>
                <w:szCs w:val="18"/>
              </w:rPr>
            </w:pPr>
            <w:r>
              <w:rPr>
                <w:noProof/>
                <w:sz w:val="18"/>
              </w:rPr>
              <w:t>8,311</w:t>
            </w:r>
          </w:p>
        </w:tc>
        <w:tc>
          <w:tcPr>
            <w:tcW w:w="868" w:type="dxa"/>
            <w:vAlign w:val="center"/>
          </w:tcPr>
          <w:p>
            <w:pPr>
              <w:jc w:val="center"/>
              <w:rPr>
                <w:rFonts w:eastAsia="Times New Roman"/>
                <w:noProof/>
                <w:sz w:val="18"/>
                <w:szCs w:val="18"/>
              </w:rPr>
            </w:pPr>
            <w:r>
              <w:rPr>
                <w:noProof/>
                <w:sz w:val="18"/>
              </w:rPr>
              <w:t>9,193</w:t>
            </w:r>
          </w:p>
        </w:tc>
        <w:tc>
          <w:tcPr>
            <w:tcW w:w="868" w:type="dxa"/>
            <w:vAlign w:val="center"/>
          </w:tcPr>
          <w:p>
            <w:pPr>
              <w:jc w:val="center"/>
              <w:rPr>
                <w:rFonts w:eastAsia="Times New Roman"/>
                <w:noProof/>
                <w:sz w:val="18"/>
                <w:szCs w:val="18"/>
              </w:rPr>
            </w:pPr>
            <w:r>
              <w:rPr>
                <w:noProof/>
                <w:sz w:val="18"/>
              </w:rPr>
              <w:t>10,305</w:t>
            </w:r>
          </w:p>
        </w:tc>
        <w:tc>
          <w:tcPr>
            <w:tcW w:w="909" w:type="dxa"/>
            <w:shd w:val="clear" w:color="auto" w:fill="A6A6A6" w:themeFill="background1" w:themeFillShade="A6"/>
            <w:vAlign w:val="center"/>
          </w:tcPr>
          <w:p>
            <w:pPr>
              <w:jc w:val="center"/>
              <w:rPr>
                <w:rFonts w:eastAsia="Times New Roman"/>
                <w:b/>
                <w:noProof/>
                <w:sz w:val="20"/>
              </w:rPr>
            </w:pPr>
          </w:p>
        </w:tc>
        <w:tc>
          <w:tcPr>
            <w:tcW w:w="1289" w:type="dxa"/>
            <w:gridSpan w:val="2"/>
            <w:vAlign w:val="center"/>
          </w:tcPr>
          <w:p>
            <w:pPr>
              <w:jc w:val="center"/>
              <w:rPr>
                <w:rFonts w:eastAsia="Times New Roman"/>
                <w:b/>
                <w:noProof/>
                <w:sz w:val="18"/>
                <w:szCs w:val="18"/>
              </w:rPr>
            </w:pPr>
            <w:r>
              <w:rPr>
                <w:b/>
                <w:noProof/>
                <w:sz w:val="18"/>
              </w:rPr>
              <w:t>56,000</w:t>
            </w:r>
          </w:p>
        </w:tc>
      </w:tr>
      <w:tr>
        <w:tblPrEx>
          <w:shd w:val="clear" w:color="auto" w:fill="CED7E7"/>
        </w:tblPrEx>
        <w:trPr>
          <w:gridAfter w:val="1"/>
          <w:wAfter w:w="113" w:type="dxa"/>
          <w:jc w:val="center"/>
        </w:trPr>
        <w:tc>
          <w:tcPr>
            <w:tcW w:w="4103" w:type="dxa"/>
            <w:vMerge w:val="restart"/>
            <w:vAlign w:val="center"/>
          </w:tcPr>
          <w:p>
            <w:pPr>
              <w:rPr>
                <w:rFonts w:eastAsia="Times New Roman"/>
                <w:b/>
                <w:noProof/>
              </w:rPr>
            </w:pPr>
            <w:r>
              <w:rPr>
                <w:b/>
                <w:noProof/>
                <w:sz w:val="22"/>
              </w:rPr>
              <w:t>Totaal kredieten voor het budget van het programma</w:t>
            </w:r>
          </w:p>
        </w:tc>
        <w:tc>
          <w:tcPr>
            <w:tcW w:w="1440" w:type="dxa"/>
            <w:gridSpan w:val="2"/>
            <w:vAlign w:val="center"/>
          </w:tcPr>
          <w:p>
            <w:pPr>
              <w:rPr>
                <w:rFonts w:eastAsia="Times New Roman"/>
                <w:noProof/>
                <w:sz w:val="18"/>
              </w:rPr>
            </w:pPr>
            <w:r>
              <w:rPr>
                <w:noProof/>
                <w:sz w:val="18"/>
              </w:rPr>
              <w:t>Vastleggingen</w:t>
            </w:r>
          </w:p>
        </w:tc>
        <w:tc>
          <w:tcPr>
            <w:tcW w:w="654" w:type="dxa"/>
            <w:gridSpan w:val="2"/>
            <w:vAlign w:val="center"/>
          </w:tcPr>
          <w:p>
            <w:pPr>
              <w:jc w:val="center"/>
              <w:rPr>
                <w:rFonts w:eastAsia="Times New Roman"/>
                <w:noProof/>
                <w:sz w:val="14"/>
              </w:rPr>
            </w:pPr>
            <w:r>
              <w:rPr>
                <w:noProof/>
                <w:sz w:val="14"/>
              </w:rPr>
              <w:t>= 1 + 3</w:t>
            </w:r>
          </w:p>
        </w:tc>
        <w:tc>
          <w:tcPr>
            <w:tcW w:w="868" w:type="dxa"/>
            <w:vAlign w:val="center"/>
          </w:tcPr>
          <w:p>
            <w:pPr>
              <w:jc w:val="center"/>
              <w:rPr>
                <w:rFonts w:eastAsia="Times New Roman"/>
                <w:b/>
                <w:noProof/>
                <w:sz w:val="18"/>
                <w:szCs w:val="18"/>
              </w:rPr>
            </w:pPr>
            <w:r>
              <w:rPr>
                <w:b/>
                <w:noProof/>
                <w:sz w:val="18"/>
              </w:rPr>
              <w:t>148,181</w:t>
            </w:r>
          </w:p>
        </w:tc>
        <w:tc>
          <w:tcPr>
            <w:tcW w:w="868" w:type="dxa"/>
            <w:vAlign w:val="center"/>
          </w:tcPr>
          <w:p>
            <w:pPr>
              <w:jc w:val="center"/>
              <w:rPr>
                <w:rFonts w:eastAsia="Times New Roman"/>
                <w:b/>
                <w:noProof/>
                <w:sz w:val="18"/>
                <w:szCs w:val="18"/>
              </w:rPr>
            </w:pPr>
            <w:r>
              <w:rPr>
                <w:b/>
                <w:noProof/>
                <w:sz w:val="18"/>
              </w:rPr>
              <w:t>153,154</w:t>
            </w:r>
          </w:p>
        </w:tc>
        <w:tc>
          <w:tcPr>
            <w:tcW w:w="868" w:type="dxa"/>
            <w:vAlign w:val="center"/>
          </w:tcPr>
          <w:p>
            <w:pPr>
              <w:jc w:val="center"/>
              <w:rPr>
                <w:rFonts w:eastAsia="Times New Roman"/>
                <w:b/>
                <w:noProof/>
                <w:sz w:val="18"/>
                <w:szCs w:val="18"/>
              </w:rPr>
            </w:pPr>
            <w:r>
              <w:rPr>
                <w:b/>
                <w:noProof/>
                <w:sz w:val="18"/>
              </w:rPr>
              <w:t>160,952</w:t>
            </w:r>
          </w:p>
        </w:tc>
        <w:tc>
          <w:tcPr>
            <w:tcW w:w="868" w:type="dxa"/>
            <w:vAlign w:val="center"/>
          </w:tcPr>
          <w:p>
            <w:pPr>
              <w:jc w:val="center"/>
              <w:rPr>
                <w:rFonts w:eastAsia="Times New Roman"/>
                <w:b/>
                <w:noProof/>
                <w:sz w:val="18"/>
                <w:szCs w:val="18"/>
              </w:rPr>
            </w:pPr>
            <w:r>
              <w:rPr>
                <w:b/>
                <w:noProof/>
                <w:sz w:val="18"/>
              </w:rPr>
              <w:t>172,017</w:t>
            </w:r>
          </w:p>
        </w:tc>
        <w:tc>
          <w:tcPr>
            <w:tcW w:w="868" w:type="dxa"/>
            <w:vAlign w:val="center"/>
          </w:tcPr>
          <w:p>
            <w:pPr>
              <w:jc w:val="center"/>
              <w:rPr>
                <w:rFonts w:eastAsia="Times New Roman"/>
                <w:b/>
                <w:noProof/>
                <w:sz w:val="18"/>
                <w:szCs w:val="18"/>
              </w:rPr>
            </w:pPr>
            <w:r>
              <w:rPr>
                <w:b/>
                <w:noProof/>
                <w:sz w:val="18"/>
              </w:rPr>
              <w:t>187,003</w:t>
            </w:r>
          </w:p>
        </w:tc>
        <w:tc>
          <w:tcPr>
            <w:tcW w:w="868" w:type="dxa"/>
            <w:vAlign w:val="center"/>
          </w:tcPr>
          <w:p>
            <w:pPr>
              <w:jc w:val="center"/>
              <w:rPr>
                <w:rFonts w:eastAsia="Times New Roman"/>
                <w:b/>
                <w:noProof/>
                <w:sz w:val="18"/>
                <w:szCs w:val="18"/>
              </w:rPr>
            </w:pPr>
            <w:r>
              <w:rPr>
                <w:b/>
                <w:noProof/>
                <w:sz w:val="18"/>
              </w:rPr>
              <w:t>206,841</w:t>
            </w:r>
          </w:p>
        </w:tc>
        <w:tc>
          <w:tcPr>
            <w:tcW w:w="868" w:type="dxa"/>
            <w:vAlign w:val="center"/>
          </w:tcPr>
          <w:p>
            <w:pPr>
              <w:jc w:val="center"/>
              <w:rPr>
                <w:rFonts w:eastAsia="Times New Roman"/>
                <w:b/>
                <w:noProof/>
                <w:sz w:val="18"/>
                <w:szCs w:val="18"/>
              </w:rPr>
            </w:pPr>
            <w:r>
              <w:rPr>
                <w:b/>
                <w:noProof/>
                <w:sz w:val="18"/>
              </w:rPr>
              <w:t>231,852</w:t>
            </w:r>
          </w:p>
        </w:tc>
        <w:tc>
          <w:tcPr>
            <w:tcW w:w="909" w:type="dxa"/>
            <w:shd w:val="clear" w:color="auto" w:fill="A6A6A6" w:themeFill="background1" w:themeFillShade="A6"/>
            <w:vAlign w:val="center"/>
          </w:tcPr>
          <w:p>
            <w:pPr>
              <w:jc w:val="center"/>
              <w:rPr>
                <w:rFonts w:eastAsia="Times New Roman"/>
                <w:b/>
                <w:noProof/>
                <w:sz w:val="18"/>
                <w:szCs w:val="18"/>
              </w:rPr>
            </w:pPr>
          </w:p>
        </w:tc>
        <w:tc>
          <w:tcPr>
            <w:tcW w:w="1289" w:type="dxa"/>
            <w:gridSpan w:val="2"/>
            <w:vAlign w:val="center"/>
          </w:tcPr>
          <w:p>
            <w:pPr>
              <w:jc w:val="center"/>
              <w:rPr>
                <w:rFonts w:eastAsia="Times New Roman"/>
                <w:b/>
                <w:noProof/>
                <w:sz w:val="18"/>
                <w:szCs w:val="18"/>
              </w:rPr>
            </w:pPr>
            <w:r>
              <w:rPr>
                <w:b/>
                <w:noProof/>
                <w:sz w:val="18"/>
              </w:rPr>
              <w:t>1 260,000</w:t>
            </w:r>
          </w:p>
        </w:tc>
      </w:tr>
      <w:tr>
        <w:tblPrEx>
          <w:shd w:val="clear" w:color="auto" w:fill="CED7E7"/>
        </w:tblPrEx>
        <w:trPr>
          <w:gridAfter w:val="1"/>
          <w:wAfter w:w="113" w:type="dxa"/>
          <w:jc w:val="center"/>
        </w:trPr>
        <w:tc>
          <w:tcPr>
            <w:tcW w:w="4103" w:type="dxa"/>
            <w:vMerge/>
          </w:tcPr>
          <w:p>
            <w:pPr>
              <w:rPr>
                <w:rFonts w:eastAsia="Times New Roman"/>
                <w:noProof/>
                <w:sz w:val="20"/>
              </w:rPr>
            </w:pPr>
          </w:p>
        </w:tc>
        <w:tc>
          <w:tcPr>
            <w:tcW w:w="1440" w:type="dxa"/>
            <w:gridSpan w:val="2"/>
            <w:vAlign w:val="center"/>
          </w:tcPr>
          <w:p>
            <w:pPr>
              <w:rPr>
                <w:rFonts w:eastAsia="Times New Roman"/>
                <w:noProof/>
                <w:sz w:val="18"/>
              </w:rPr>
            </w:pPr>
            <w:r>
              <w:rPr>
                <w:noProof/>
                <w:sz w:val="18"/>
              </w:rPr>
              <w:t>Betalingen</w:t>
            </w:r>
          </w:p>
        </w:tc>
        <w:tc>
          <w:tcPr>
            <w:tcW w:w="654" w:type="dxa"/>
            <w:gridSpan w:val="2"/>
            <w:vAlign w:val="center"/>
          </w:tcPr>
          <w:p>
            <w:pPr>
              <w:jc w:val="center"/>
              <w:rPr>
                <w:rFonts w:eastAsia="Times New Roman"/>
                <w:noProof/>
                <w:sz w:val="14"/>
              </w:rPr>
            </w:pPr>
            <w:r>
              <w:rPr>
                <w:noProof/>
                <w:sz w:val="14"/>
              </w:rPr>
              <w:t>= 2 + 3</w:t>
            </w:r>
          </w:p>
        </w:tc>
        <w:tc>
          <w:tcPr>
            <w:tcW w:w="868" w:type="dxa"/>
            <w:vAlign w:val="center"/>
          </w:tcPr>
          <w:p>
            <w:pPr>
              <w:jc w:val="center"/>
              <w:rPr>
                <w:rFonts w:eastAsia="Times New Roman"/>
                <w:b/>
                <w:noProof/>
                <w:sz w:val="18"/>
                <w:szCs w:val="18"/>
              </w:rPr>
            </w:pPr>
            <w:r>
              <w:rPr>
                <w:b/>
                <w:noProof/>
                <w:sz w:val="18"/>
              </w:rPr>
              <w:t>110,444</w:t>
            </w:r>
          </w:p>
        </w:tc>
        <w:tc>
          <w:tcPr>
            <w:tcW w:w="868" w:type="dxa"/>
            <w:vAlign w:val="center"/>
          </w:tcPr>
          <w:p>
            <w:pPr>
              <w:jc w:val="center"/>
              <w:rPr>
                <w:rFonts w:eastAsia="Times New Roman"/>
                <w:b/>
                <w:noProof/>
                <w:sz w:val="18"/>
                <w:szCs w:val="18"/>
              </w:rPr>
            </w:pPr>
            <w:r>
              <w:rPr>
                <w:b/>
                <w:noProof/>
                <w:sz w:val="18"/>
              </w:rPr>
              <w:t>139,823</w:t>
            </w:r>
          </w:p>
        </w:tc>
        <w:tc>
          <w:tcPr>
            <w:tcW w:w="868" w:type="dxa"/>
            <w:vAlign w:val="center"/>
          </w:tcPr>
          <w:p>
            <w:pPr>
              <w:jc w:val="center"/>
              <w:rPr>
                <w:rFonts w:eastAsia="Times New Roman"/>
                <w:b/>
                <w:noProof/>
                <w:sz w:val="18"/>
                <w:szCs w:val="18"/>
              </w:rPr>
            </w:pPr>
            <w:r>
              <w:rPr>
                <w:b/>
                <w:noProof/>
                <w:sz w:val="18"/>
              </w:rPr>
              <w:t>152,231</w:t>
            </w:r>
          </w:p>
        </w:tc>
        <w:tc>
          <w:tcPr>
            <w:tcW w:w="868" w:type="dxa"/>
            <w:vAlign w:val="center"/>
          </w:tcPr>
          <w:p>
            <w:pPr>
              <w:jc w:val="center"/>
              <w:rPr>
                <w:rFonts w:eastAsia="Times New Roman"/>
                <w:b/>
                <w:noProof/>
                <w:sz w:val="18"/>
                <w:szCs w:val="18"/>
              </w:rPr>
            </w:pPr>
            <w:r>
              <w:rPr>
                <w:b/>
                <w:noProof/>
                <w:sz w:val="18"/>
              </w:rPr>
              <w:t>163,860</w:t>
            </w:r>
          </w:p>
        </w:tc>
        <w:tc>
          <w:tcPr>
            <w:tcW w:w="868" w:type="dxa"/>
            <w:vAlign w:val="center"/>
          </w:tcPr>
          <w:p>
            <w:pPr>
              <w:jc w:val="center"/>
              <w:rPr>
                <w:rFonts w:eastAsia="Times New Roman"/>
                <w:b/>
                <w:noProof/>
                <w:sz w:val="18"/>
                <w:szCs w:val="18"/>
              </w:rPr>
            </w:pPr>
            <w:r>
              <w:rPr>
                <w:b/>
                <w:noProof/>
                <w:sz w:val="18"/>
              </w:rPr>
              <w:t>178,075</w:t>
            </w:r>
          </w:p>
        </w:tc>
        <w:tc>
          <w:tcPr>
            <w:tcW w:w="868" w:type="dxa"/>
            <w:vAlign w:val="center"/>
          </w:tcPr>
          <w:p>
            <w:pPr>
              <w:jc w:val="center"/>
              <w:rPr>
                <w:rFonts w:eastAsia="Times New Roman"/>
                <w:b/>
                <w:noProof/>
                <w:sz w:val="18"/>
                <w:szCs w:val="18"/>
              </w:rPr>
            </w:pPr>
            <w:r>
              <w:rPr>
                <w:b/>
                <w:noProof/>
                <w:sz w:val="18"/>
              </w:rPr>
              <w:t>196,321</w:t>
            </w:r>
          </w:p>
        </w:tc>
        <w:tc>
          <w:tcPr>
            <w:tcW w:w="868" w:type="dxa"/>
            <w:vAlign w:val="center"/>
          </w:tcPr>
          <w:p>
            <w:pPr>
              <w:jc w:val="center"/>
              <w:rPr>
                <w:rFonts w:eastAsia="Times New Roman"/>
                <w:b/>
                <w:noProof/>
                <w:sz w:val="18"/>
                <w:szCs w:val="18"/>
              </w:rPr>
            </w:pPr>
            <w:r>
              <w:rPr>
                <w:b/>
                <w:noProof/>
                <w:sz w:val="18"/>
              </w:rPr>
              <w:t>219,536</w:t>
            </w:r>
          </w:p>
        </w:tc>
        <w:tc>
          <w:tcPr>
            <w:tcW w:w="909" w:type="dxa"/>
            <w:vAlign w:val="center"/>
          </w:tcPr>
          <w:p>
            <w:pPr>
              <w:jc w:val="center"/>
              <w:rPr>
                <w:rFonts w:eastAsia="Times New Roman"/>
                <w:b/>
                <w:noProof/>
                <w:sz w:val="18"/>
                <w:szCs w:val="18"/>
              </w:rPr>
            </w:pPr>
            <w:r>
              <w:rPr>
                <w:b/>
                <w:noProof/>
                <w:sz w:val="18"/>
              </w:rPr>
              <w:t>99,710</w:t>
            </w:r>
          </w:p>
        </w:tc>
        <w:tc>
          <w:tcPr>
            <w:tcW w:w="1289" w:type="dxa"/>
            <w:gridSpan w:val="2"/>
            <w:vAlign w:val="center"/>
          </w:tcPr>
          <w:p>
            <w:pPr>
              <w:jc w:val="center"/>
              <w:rPr>
                <w:rFonts w:eastAsia="Times New Roman"/>
                <w:b/>
                <w:noProof/>
                <w:sz w:val="18"/>
                <w:szCs w:val="18"/>
              </w:rPr>
            </w:pPr>
            <w:r>
              <w:rPr>
                <w:b/>
                <w:noProof/>
                <w:sz w:val="18"/>
              </w:rPr>
              <w:t>1 260,000</w:t>
            </w:r>
          </w:p>
        </w:tc>
      </w:tr>
    </w:tbl>
    <w:p>
      <w:pPr>
        <w:rPr>
          <w:rFonts w:eastAsia="Times New Roman"/>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jc w:val="center"/>
              <w:rPr>
                <w:rFonts w:eastAsia="Times New Roman"/>
                <w:b/>
                <w:noProof/>
              </w:rPr>
            </w:pPr>
            <w:r>
              <w:rPr>
                <w:noProof/>
              </w:rPr>
              <w:br w:type="page"/>
            </w:r>
            <w:r>
              <w:rPr>
                <w:b/>
                <w:noProof/>
                <w:sz w:val="22"/>
              </w:rPr>
              <w:t>Rubriek van het meerjarige financiële</w:t>
            </w:r>
            <w:r>
              <w:rPr>
                <w:rFonts w:eastAsia="Times New Roman"/>
                <w:noProof/>
                <w:sz w:val="22"/>
              </w:rPr>
              <w:br/>
            </w:r>
            <w:r>
              <w:rPr>
                <w:b/>
                <w:noProof/>
                <w:sz w:val="22"/>
              </w:rPr>
              <w:t xml:space="preserve">kader </w:t>
            </w:r>
          </w:p>
        </w:tc>
        <w:tc>
          <w:tcPr>
            <w:tcW w:w="1080" w:type="dxa"/>
            <w:shd w:val="thinDiagStripe" w:color="C0C0C0" w:fill="auto"/>
            <w:vAlign w:val="center"/>
          </w:tcPr>
          <w:p>
            <w:pPr>
              <w:jc w:val="center"/>
              <w:rPr>
                <w:rFonts w:eastAsia="Times New Roman"/>
                <w:noProof/>
              </w:rPr>
            </w:pPr>
            <w:r>
              <w:rPr>
                <w:noProof/>
              </w:rPr>
              <w:t>7</w:t>
            </w:r>
          </w:p>
        </w:tc>
        <w:tc>
          <w:tcPr>
            <w:tcW w:w="7817" w:type="dxa"/>
            <w:vAlign w:val="center"/>
          </w:tcPr>
          <w:p>
            <w:pPr>
              <w:rPr>
                <w:rFonts w:eastAsia="Times New Roman"/>
                <w:noProof/>
              </w:rPr>
            </w:pPr>
            <w:r>
              <w:rPr>
                <w:noProof/>
                <w:sz w:val="22"/>
              </w:rPr>
              <w:t>"Administratieve uitgaven"</w:t>
            </w:r>
          </w:p>
        </w:tc>
      </w:tr>
    </w:tbl>
    <w:p>
      <w:pPr>
        <w:rPr>
          <w:noProof/>
        </w:rPr>
      </w:pPr>
      <w:r>
        <w:rPr>
          <w:noProof/>
        </w:rPr>
        <w:t xml:space="preserve">Dit deel moet worden ingevuld aan de hand van de "administratieve begrotingsgegevens", die eerst moeten worden opgenomen in de </w:t>
      </w:r>
      <w:hyperlink r:id="rId24">
        <w:r>
          <w:rPr>
            <w:rStyle w:val="Hyperlink0"/>
            <w:noProof/>
            <w:color w:val="auto"/>
          </w:rPr>
          <w:t>bijlage bij het financieel memorandum</w:t>
        </w:r>
      </w:hyperlink>
      <w:r>
        <w:rPr>
          <w:noProof/>
        </w:rPr>
        <w:t>, te uploaden in DECIDE met het oog op overleg tussen de diensten.</w:t>
      </w:r>
    </w:p>
    <w:p>
      <w:pPr>
        <w:pStyle w:val="Text"/>
        <w:jc w:val="right"/>
        <w:rPr>
          <w:noProof/>
          <w:color w:val="auto"/>
          <w:sz w:val="20"/>
          <w:szCs w:val="20"/>
        </w:rPr>
      </w:pPr>
      <w:r>
        <w:rPr>
          <w:noProof/>
          <w:color w:val="auto"/>
          <w:sz w:val="20"/>
        </w:rPr>
        <w:t>in miljoen EUR (tot op 3 decimalen)</w:t>
      </w:r>
    </w:p>
    <w:tbl>
      <w:tblPr>
        <w:tblW w:w="1449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00"/>
        <w:gridCol w:w="2046"/>
        <w:gridCol w:w="868"/>
        <w:gridCol w:w="868"/>
        <w:gridCol w:w="868"/>
        <w:gridCol w:w="868"/>
        <w:gridCol w:w="868"/>
        <w:gridCol w:w="868"/>
        <w:gridCol w:w="868"/>
        <w:gridCol w:w="886"/>
        <w:gridCol w:w="1291"/>
      </w:tblGrid>
      <w:tr>
        <w:trPr>
          <w:trHeight w:val="667"/>
          <w:jc w:val="center"/>
        </w:trPr>
        <w:tc>
          <w:tcPr>
            <w:tcW w:w="6246"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pPr>
              <w:rPr>
                <w:noProof/>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2021</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2022</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2023</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2024</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18"/>
              </w:rPr>
              <w:t>2025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18"/>
              </w:rPr>
              <w:t>2026</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18"/>
              </w:rPr>
              <w:t>2027</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Text"/>
              <w:jc w:val="center"/>
              <w:rPr>
                <w:noProof/>
                <w:color w:val="auto"/>
              </w:rPr>
            </w:pPr>
            <w:r>
              <w:rPr>
                <w:b/>
                <w:i/>
                <w:noProof/>
                <w:color w:val="auto"/>
                <w:sz w:val="20"/>
              </w:rPr>
              <w:t>Na 2027</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TOTAAL</w:t>
            </w:r>
          </w:p>
        </w:tc>
      </w:tr>
      <w:tr>
        <w:trPr>
          <w:trHeight w:val="582"/>
          <w:jc w:val="center"/>
        </w:trPr>
        <w:tc>
          <w:tcPr>
            <w:tcW w:w="62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rPr>
                <w:noProof/>
                <w:color w:val="auto"/>
              </w:rPr>
            </w:pPr>
            <w:r>
              <w:rPr>
                <w:noProof/>
                <w:color w:val="auto"/>
                <w:sz w:val="22"/>
              </w:rPr>
              <w:t xml:space="preserve">Personele middelen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2,505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2,505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2,579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2,579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2,579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2,579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2,579</w:t>
            </w:r>
          </w:p>
        </w:tc>
        <w:tc>
          <w:tcPr>
            <w:tcW w:w="88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jc w:val="center"/>
              <w:rPr>
                <w:noProof/>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jc w:val="center"/>
              <w:rPr>
                <w:b/>
                <w:bCs/>
                <w:noProof/>
                <w:sz w:val="22"/>
              </w:rPr>
            </w:pPr>
            <w:r>
              <w:rPr>
                <w:b/>
                <w:noProof/>
                <w:sz w:val="22"/>
              </w:rPr>
              <w:t>17,905</w:t>
            </w:r>
          </w:p>
        </w:tc>
      </w:tr>
      <w:tr>
        <w:trPr>
          <w:trHeight w:val="562"/>
          <w:jc w:val="center"/>
        </w:trPr>
        <w:tc>
          <w:tcPr>
            <w:tcW w:w="62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rPr>
                <w:noProof/>
                <w:color w:val="auto"/>
              </w:rPr>
            </w:pPr>
            <w:r>
              <w:rPr>
                <w:noProof/>
                <w:color w:val="auto"/>
                <w:sz w:val="22"/>
              </w:rPr>
              <w:t xml:space="preserve">Andere administratieve uitgaven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0,838</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0,838</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0,838</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0,838</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0,838</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0,838</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22"/>
              </w:rPr>
              <w:t>0,838</w:t>
            </w:r>
          </w:p>
        </w:tc>
        <w:tc>
          <w:tcPr>
            <w:tcW w:w="88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jc w:val="center"/>
              <w:rPr>
                <w:noProof/>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jc w:val="center"/>
              <w:rPr>
                <w:b/>
                <w:bCs/>
                <w:noProof/>
                <w:sz w:val="22"/>
              </w:rPr>
            </w:pPr>
            <w:r>
              <w:rPr>
                <w:b/>
                <w:noProof/>
                <w:sz w:val="22"/>
              </w:rPr>
              <w:t>5,866</w:t>
            </w:r>
          </w:p>
        </w:tc>
      </w:tr>
      <w:tr>
        <w:trPr>
          <w:trHeight w:val="961"/>
          <w:jc w:val="center"/>
        </w:trPr>
        <w:tc>
          <w:tcPr>
            <w:tcW w:w="4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left"/>
              <w:rPr>
                <w:noProof/>
                <w:color w:val="auto"/>
              </w:rPr>
            </w:pPr>
            <w:r>
              <w:rPr>
                <w:b/>
                <w:noProof/>
                <w:color w:val="auto"/>
                <w:sz w:val="22"/>
              </w:rPr>
              <w:t>TOTAAL kredieten onder RUBRIEK 7 van het meerjarig financieel kader</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pPr>
              <w:pStyle w:val="Text"/>
              <w:rPr>
                <w:noProof/>
                <w:color w:val="auto"/>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2"/>
              </w:rPr>
              <w:t>3,343</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2"/>
              </w:rPr>
              <w:t>3,343</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2"/>
              </w:rPr>
              <w:t>3,417</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2"/>
              </w:rPr>
              <w:t>3,417</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2"/>
              </w:rPr>
              <w:t>3,417</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2"/>
              </w:rPr>
              <w:t>3,417</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2"/>
              </w:rPr>
              <w:t>3,417</w:t>
            </w:r>
          </w:p>
        </w:tc>
        <w:tc>
          <w:tcPr>
            <w:tcW w:w="88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jc w:val="center"/>
              <w:rPr>
                <w:noProof/>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jc w:val="center"/>
              <w:rPr>
                <w:noProof/>
              </w:rPr>
            </w:pPr>
            <w:r>
              <w:rPr>
                <w:b/>
                <w:noProof/>
                <w:sz w:val="22"/>
              </w:rPr>
              <w:t>23,771</w:t>
            </w:r>
          </w:p>
        </w:tc>
      </w:tr>
    </w:tbl>
    <w:p>
      <w:pPr>
        <w:pStyle w:val="Text"/>
        <w:jc w:val="right"/>
        <w:rPr>
          <w:noProof/>
          <w:color w:val="auto"/>
          <w:sz w:val="20"/>
          <w:szCs w:val="20"/>
        </w:rPr>
      </w:pPr>
      <w:r>
        <w:rPr>
          <w:noProof/>
          <w:color w:val="auto"/>
          <w:sz w:val="20"/>
        </w:rPr>
        <w:t>in miljoen EUR (tot op 3 decimalen)</w:t>
      </w:r>
    </w:p>
    <w:tbl>
      <w:tblPr>
        <w:tblW w:w="1451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73"/>
        <w:gridCol w:w="1560"/>
        <w:gridCol w:w="534"/>
        <w:gridCol w:w="868"/>
        <w:gridCol w:w="868"/>
        <w:gridCol w:w="868"/>
        <w:gridCol w:w="868"/>
        <w:gridCol w:w="868"/>
        <w:gridCol w:w="868"/>
        <w:gridCol w:w="868"/>
        <w:gridCol w:w="877"/>
        <w:gridCol w:w="1292"/>
      </w:tblGrid>
      <w:tr>
        <w:trPr>
          <w:trHeight w:val="667"/>
          <w:jc w:val="center"/>
        </w:trPr>
        <w:tc>
          <w:tcPr>
            <w:tcW w:w="417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pPr>
              <w:rPr>
                <w:noProof/>
              </w:rPr>
            </w:pPr>
          </w:p>
        </w:tc>
        <w:tc>
          <w:tcPr>
            <w:tcW w:w="1560" w:type="dxa"/>
            <w:tcBorders>
              <w:top w:val="nil"/>
              <w:left w:val="nil"/>
              <w:bottom w:val="single" w:sz="4" w:space="0" w:color="000000"/>
              <w:right w:val="nil"/>
            </w:tcBorders>
            <w:shd w:val="clear" w:color="auto" w:fill="auto"/>
            <w:tcMar>
              <w:top w:w="80" w:type="dxa"/>
              <w:left w:w="80" w:type="dxa"/>
              <w:bottom w:w="80" w:type="dxa"/>
              <w:right w:w="80" w:type="dxa"/>
            </w:tcMar>
          </w:tcPr>
          <w:p>
            <w:pPr>
              <w:rPr>
                <w:noProof/>
              </w:rPr>
            </w:pPr>
          </w:p>
        </w:tc>
        <w:tc>
          <w:tcPr>
            <w:tcW w:w="534"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pPr>
              <w:rPr>
                <w:noProof/>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2021</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2022</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2023</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2024</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18"/>
              </w:rPr>
              <w:t>2025</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18"/>
              </w:rPr>
              <w:t>2026</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18"/>
              </w:rPr>
              <w:t>2027</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Text"/>
              <w:jc w:val="center"/>
              <w:rPr>
                <w:noProof/>
                <w:color w:val="auto"/>
              </w:rPr>
            </w:pPr>
            <w:r>
              <w:rPr>
                <w:b/>
                <w:i/>
                <w:noProof/>
                <w:color w:val="auto"/>
                <w:sz w:val="20"/>
              </w:rPr>
              <w:t>Na 2027</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TOTAAL</w:t>
            </w:r>
          </w:p>
        </w:tc>
      </w:tr>
      <w:tr>
        <w:trPr>
          <w:trHeight w:val="822"/>
          <w:jc w:val="center"/>
        </w:trPr>
        <w:tc>
          <w:tcPr>
            <w:tcW w:w="4173" w:type="dxa"/>
            <w:vMerge w:val="restart"/>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pPr>
              <w:pStyle w:val="Text"/>
              <w:jc w:val="center"/>
              <w:rPr>
                <w:noProof/>
                <w:color w:val="auto"/>
              </w:rPr>
            </w:pPr>
            <w:r>
              <w:rPr>
                <w:b/>
                <w:noProof/>
                <w:sz w:val="22"/>
              </w:rPr>
              <w:t>TOTAAL kredieten</w:t>
            </w:r>
            <w:r>
              <w:rPr>
                <w:rFonts w:eastAsia="Arial Unicode MS"/>
                <w:noProof/>
                <w:color w:val="auto"/>
                <w:sz w:val="22"/>
                <w:szCs w:val="22"/>
              </w:rPr>
              <w:br/>
            </w:r>
            <w:r>
              <w:rPr>
                <w:b/>
                <w:noProof/>
                <w:color w:val="auto"/>
                <w:sz w:val="22"/>
              </w:rPr>
              <w:t xml:space="preserve">voor alle RUBRIEKEN </w:t>
            </w:r>
            <w:r>
              <w:rPr>
                <w:rFonts w:eastAsia="Arial Unicode MS"/>
                <w:noProof/>
                <w:color w:val="auto"/>
                <w:sz w:val="22"/>
                <w:szCs w:val="22"/>
              </w:rPr>
              <w:br/>
            </w:r>
            <w:r>
              <w:rPr>
                <w:noProof/>
                <w:color w:val="auto"/>
                <w:sz w:val="22"/>
              </w:rPr>
              <w:t>van het meerjarige financiële kader</w:t>
            </w:r>
            <w:r>
              <w:rPr>
                <w:b/>
                <w:noProof/>
                <w:color w:val="auto"/>
                <w:sz w:val="22"/>
              </w:rPr>
              <w:t xml:space="preserve"> </w:t>
            </w: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rPr>
                <w:noProof/>
                <w:color w:val="auto"/>
              </w:rPr>
            </w:pPr>
            <w:r>
              <w:rPr>
                <w:noProof/>
                <w:color w:val="auto"/>
                <w:sz w:val="18"/>
              </w:rPr>
              <w:t>Vastleggingen</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151,524</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156,497</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164,369</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175,434</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190,420</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210,258</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235,269</w:t>
            </w:r>
          </w:p>
        </w:tc>
        <w:tc>
          <w:tcPr>
            <w:tcW w:w="877"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pPr>
              <w:jc w:val="center"/>
              <w:rPr>
                <w:noProof/>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jc w:val="center"/>
              <w:rPr>
                <w:b/>
                <w:noProof/>
                <w:sz w:val="22"/>
              </w:rPr>
            </w:pPr>
            <w:r>
              <w:rPr>
                <w:b/>
                <w:noProof/>
                <w:sz w:val="22"/>
              </w:rPr>
              <w:t>1 283,771</w:t>
            </w:r>
          </w:p>
        </w:tc>
      </w:tr>
      <w:tr>
        <w:trPr>
          <w:trHeight w:val="802"/>
          <w:jc w:val="center"/>
        </w:trPr>
        <w:tc>
          <w:tcPr>
            <w:tcW w:w="4173" w:type="dxa"/>
            <w:vMerge/>
            <w:tcBorders>
              <w:top w:val="single" w:sz="4" w:space="0" w:color="000000"/>
              <w:left w:val="single" w:sz="4" w:space="0" w:color="000000"/>
              <w:bottom w:val="single" w:sz="4" w:space="0" w:color="000000"/>
              <w:right w:val="single" w:sz="4" w:space="0" w:color="000000"/>
            </w:tcBorders>
            <w:shd w:val="clear" w:color="auto" w:fill="C0C0C0"/>
          </w:tcPr>
          <w:p>
            <w:pPr>
              <w:rPr>
                <w:noProof/>
              </w:rPr>
            </w:pPr>
          </w:p>
        </w:tc>
        <w:tc>
          <w:tcPr>
            <w:tcW w:w="20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rPr>
                <w:noProof/>
                <w:color w:val="auto"/>
              </w:rPr>
            </w:pPr>
            <w:r>
              <w:rPr>
                <w:noProof/>
                <w:color w:val="auto"/>
                <w:sz w:val="18"/>
              </w:rPr>
              <w:t>Betalingen</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113,787</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143,166</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155,648</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167,277</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181,492</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199,738</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222,953</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99,710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jc w:val="center"/>
              <w:rPr>
                <w:b/>
                <w:noProof/>
                <w:sz w:val="22"/>
              </w:rPr>
            </w:pPr>
            <w:r>
              <w:rPr>
                <w:b/>
                <w:noProof/>
                <w:sz w:val="22"/>
              </w:rPr>
              <w:t>1 283,771</w:t>
            </w:r>
          </w:p>
        </w:tc>
      </w:tr>
    </w:tbl>
    <w:p>
      <w:pPr>
        <w:pStyle w:val="Text"/>
        <w:widowControl w:val="0"/>
        <w:jc w:val="center"/>
        <w:rPr>
          <w:noProof/>
          <w:color w:val="auto"/>
          <w:sz w:val="20"/>
          <w:szCs w:val="20"/>
        </w:rPr>
      </w:pPr>
    </w:p>
    <w:p>
      <w:pPr>
        <w:pStyle w:val="Text"/>
        <w:rPr>
          <w:noProof/>
          <w:color w:val="auto"/>
        </w:rPr>
        <w:sectPr>
          <w:headerReference w:type="default" r:id="rId25"/>
          <w:footerReference w:type="default" r:id="rId26"/>
          <w:headerReference w:type="first" r:id="rId27"/>
          <w:footerReference w:type="first" r:id="rId28"/>
          <w:pgSz w:w="16840" w:h="11900" w:orient="landscape"/>
          <w:pgMar w:top="1418" w:right="1134" w:bottom="1418" w:left="1134" w:header="709" w:footer="709" w:gutter="0"/>
          <w:cols w:space="720"/>
          <w:docGrid w:linePitch="326"/>
        </w:sectPr>
      </w:pPr>
    </w:p>
    <w:p>
      <w:pPr>
        <w:pStyle w:val="ManualHeading3"/>
        <w:rPr>
          <w:noProof/>
        </w:rPr>
      </w:pPr>
      <w:r>
        <w:t>3.2.2.</w:t>
      </w:r>
      <w:r>
        <w:tab/>
      </w:r>
      <w:r>
        <w:rPr>
          <w:noProof/>
        </w:rPr>
        <w:t>Samenvatting van de geraamde gevolgen voor de administratieve kredieten</w:t>
      </w:r>
    </w:p>
    <w:p>
      <w:pPr>
        <w:pStyle w:val="ListDash1"/>
        <w:numPr>
          <w:ilvl w:val="0"/>
          <w:numId w:val="47"/>
        </w:numPr>
        <w:pBdr>
          <w:top w:val="nil"/>
          <w:left w:val="nil"/>
          <w:bottom w:val="nil"/>
          <w:right w:val="nil"/>
          <w:between w:val="nil"/>
          <w:bar w:val="nil"/>
        </w:pBdr>
        <w:tabs>
          <w:tab w:val="left" w:pos="1134"/>
        </w:tabs>
        <w:rPr>
          <w:noProof/>
        </w:rPr>
      </w:pPr>
      <w:r>
        <w:rPr>
          <w:noProof/>
          <w:sz w:val="22"/>
        </w:rPr>
        <w:sym w:font="Wingdings" w:char="F0A8"/>
      </w:r>
      <w:r>
        <w:rPr>
          <w:noProof/>
        </w:rPr>
        <w:tab/>
        <w:t>Voor het voorstel/initiatief zijn geen administratieve kredieten nodig.</w:t>
      </w:r>
    </w:p>
    <w:p>
      <w:pPr>
        <w:pStyle w:val="ListDash1"/>
        <w:numPr>
          <w:ilvl w:val="0"/>
          <w:numId w:val="47"/>
        </w:numPr>
        <w:pBdr>
          <w:top w:val="nil"/>
          <w:left w:val="nil"/>
          <w:bottom w:val="nil"/>
          <w:right w:val="nil"/>
          <w:between w:val="nil"/>
          <w:bar w:val="nil"/>
        </w:pBdr>
        <w:tabs>
          <w:tab w:val="left" w:pos="1134"/>
        </w:tabs>
        <w:rPr>
          <w:noProof/>
        </w:rPr>
      </w:pPr>
      <w:r>
        <w:rPr>
          <w:noProof/>
        </w:rPr>
        <w:sym w:font="Wingdings" w:char="F078"/>
      </w:r>
      <w:r>
        <w:rPr>
          <w:noProof/>
        </w:rPr>
        <w:tab/>
        <w:t>Voor het voorstel/initiatief zijn administratieve kredieten nodig, zoals hieronder nader wordt beschreven:</w:t>
      </w:r>
    </w:p>
    <w:p>
      <w:pPr>
        <w:pStyle w:val="Text"/>
        <w:rPr>
          <w:noProof/>
          <w:color w:val="auto"/>
          <w:sz w:val="20"/>
          <w:szCs w:val="20"/>
        </w:rPr>
      </w:pPr>
      <w:r>
        <w:rPr>
          <w:noProof/>
          <w:color w:val="auto"/>
          <w:sz w:val="20"/>
        </w:rPr>
        <w:t>in miljoen EUR (tot op 3 decimalen)</w:t>
      </w:r>
    </w:p>
    <w:tbl>
      <w:tblPr>
        <w:tblW w:w="10620" w:type="dxa"/>
        <w:tblInd w:w="-6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425"/>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0"/>
              </w:rPr>
              <w:t>Jaar</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0"/>
              </w:rPr>
              <w:t>2021</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0"/>
              </w:rPr>
              <w:t>2022</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0"/>
              </w:rPr>
              <w:t>2023</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0"/>
              </w:rPr>
              <w:t>2024</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0"/>
              </w:rPr>
              <w:t>2025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0"/>
              </w:rPr>
              <w:t>2026</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0"/>
              </w:rPr>
              <w:t>2027</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0"/>
              </w:rPr>
              <w:t>TOTAAL</w:t>
            </w:r>
          </w:p>
        </w:tc>
      </w:tr>
    </w:tbl>
    <w:p>
      <w:pPr>
        <w:rPr>
          <w:noProof/>
        </w:rPr>
      </w:pPr>
    </w:p>
    <w:tbl>
      <w:tblPr>
        <w:tblW w:w="10620" w:type="dxa"/>
        <w:tblInd w:w="-6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600"/>
        </w:trPr>
        <w:tc>
          <w:tcPr>
            <w:tcW w:w="198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Style w:val="Text"/>
              <w:jc w:val="center"/>
              <w:rPr>
                <w:noProof/>
                <w:color w:val="auto"/>
                <w:sz w:val="20"/>
                <w:szCs w:val="20"/>
              </w:rPr>
            </w:pPr>
            <w:r>
              <w:rPr>
                <w:b/>
                <w:noProof/>
                <w:color w:val="auto"/>
                <w:sz w:val="20"/>
              </w:rPr>
              <w:t>RUBRIEK 7</w:t>
            </w:r>
            <w:r>
              <w:rPr>
                <w:rFonts w:eastAsia="Arial Unicode MS"/>
                <w:noProof/>
                <w:color w:val="auto"/>
                <w:sz w:val="20"/>
                <w:szCs w:val="20"/>
              </w:rPr>
              <w:br/>
            </w:r>
            <w:r>
              <w:rPr>
                <w:b/>
                <w:noProof/>
                <w:color w:val="auto"/>
                <w:sz w:val="20"/>
              </w:rPr>
              <w:t>van het meerjarige financiële kader</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r>
      <w:tr>
        <w:trPr>
          <w:trHeight w:val="560"/>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Style w:val="Text"/>
              <w:ind w:left="72"/>
              <w:jc w:val="left"/>
              <w:rPr>
                <w:noProof/>
                <w:color w:val="auto"/>
                <w:sz w:val="20"/>
                <w:szCs w:val="20"/>
              </w:rPr>
            </w:pPr>
            <w:r>
              <w:rPr>
                <w:noProof/>
                <w:color w:val="auto"/>
                <w:sz w:val="20"/>
              </w:rPr>
              <w:t xml:space="preserve">Personele middelen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2"/>
              </w:rPr>
              <w:t>2,505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2"/>
              </w:rPr>
              <w:t>2,505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2"/>
              </w:rPr>
              <w:t>2,579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2"/>
              </w:rPr>
              <w:t>2,579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2"/>
              </w:rPr>
              <w:t>2,579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2"/>
              </w:rPr>
              <w:t>2,579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2"/>
              </w:rPr>
              <w:t>2,579</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jc w:val="center"/>
              <w:rPr>
                <w:b/>
                <w:bCs/>
                <w:noProof/>
                <w:sz w:val="22"/>
              </w:rPr>
            </w:pPr>
            <w:r>
              <w:rPr>
                <w:b/>
                <w:noProof/>
                <w:sz w:val="22"/>
              </w:rPr>
              <w:t>17,905</w:t>
            </w:r>
          </w:p>
        </w:tc>
      </w:tr>
      <w:tr>
        <w:trPr>
          <w:trHeight w:val="425"/>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Style w:val="Text"/>
              <w:ind w:left="72"/>
              <w:jc w:val="left"/>
              <w:rPr>
                <w:noProof/>
                <w:color w:val="auto"/>
                <w:sz w:val="20"/>
                <w:szCs w:val="20"/>
              </w:rPr>
            </w:pPr>
            <w:r>
              <w:rPr>
                <w:noProof/>
                <w:color w:val="auto"/>
                <w:sz w:val="20"/>
              </w:rPr>
              <w:t xml:space="preserve">Andere administratieve uitgaven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2"/>
              </w:rPr>
              <w:t>0,838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2"/>
              </w:rPr>
              <w:t>0,838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2"/>
              </w:rPr>
              <w:t>0,838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2"/>
              </w:rPr>
              <w:t>0,838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2"/>
              </w:rPr>
              <w:t>0,838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2"/>
              </w:rPr>
              <w:t>0,838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2"/>
              </w:rPr>
              <w:t>0,838</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jc w:val="center"/>
              <w:rPr>
                <w:b/>
                <w:bCs/>
                <w:noProof/>
                <w:sz w:val="22"/>
              </w:rPr>
            </w:pPr>
            <w:r>
              <w:rPr>
                <w:b/>
                <w:noProof/>
                <w:sz w:val="22"/>
              </w:rPr>
              <w:t>5,866</w:t>
            </w:r>
          </w:p>
        </w:tc>
      </w:tr>
      <w:tr>
        <w:trPr>
          <w:trHeight w:val="600"/>
        </w:trPr>
        <w:tc>
          <w:tcPr>
            <w:tcW w:w="198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Style w:val="Text"/>
              <w:jc w:val="center"/>
              <w:rPr>
                <w:noProof/>
                <w:color w:val="auto"/>
                <w:sz w:val="20"/>
                <w:szCs w:val="20"/>
              </w:rPr>
            </w:pPr>
            <w:r>
              <w:rPr>
                <w:b/>
                <w:noProof/>
                <w:color w:val="auto"/>
                <w:sz w:val="20"/>
              </w:rPr>
              <w:t>Subtotaal RUBRIEK 7</w:t>
            </w:r>
            <w:r>
              <w:rPr>
                <w:rFonts w:eastAsia="Arial Unicode MS"/>
                <w:noProof/>
                <w:color w:val="auto"/>
                <w:sz w:val="20"/>
                <w:szCs w:val="20"/>
              </w:rPr>
              <w:br/>
            </w:r>
            <w:r>
              <w:rPr>
                <w:b/>
                <w:noProof/>
                <w:color w:val="auto"/>
                <w:sz w:val="20"/>
              </w:rPr>
              <w:t xml:space="preserve">van het meerjarige financiële kader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2"/>
              </w:rPr>
              <w:t>3,343</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2"/>
              </w:rPr>
              <w:t>3,343</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2"/>
              </w:rPr>
              <w:t>3,417</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2"/>
              </w:rPr>
              <w:t>3,417</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2"/>
              </w:rPr>
              <w:t>3,417</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2"/>
              </w:rPr>
              <w:t>3,417</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2"/>
              </w:rPr>
              <w:t>3,417</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jc w:val="center"/>
              <w:rPr>
                <w:b/>
                <w:noProof/>
                <w:sz w:val="22"/>
              </w:rPr>
            </w:pPr>
            <w:r>
              <w:rPr>
                <w:b/>
                <w:noProof/>
                <w:sz w:val="22"/>
              </w:rPr>
              <w:t>23,771</w:t>
            </w:r>
          </w:p>
        </w:tc>
      </w:tr>
    </w:tbl>
    <w:p>
      <w:pPr>
        <w:rPr>
          <w:noProof/>
        </w:rPr>
      </w:pPr>
    </w:p>
    <w:tbl>
      <w:tblPr>
        <w:tblW w:w="10620" w:type="dxa"/>
        <w:tblInd w:w="-6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860"/>
        </w:trPr>
        <w:tc>
          <w:tcPr>
            <w:tcW w:w="198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Style w:val="Text"/>
              <w:jc w:val="center"/>
              <w:rPr>
                <w:noProof/>
                <w:color w:val="auto"/>
                <w:sz w:val="20"/>
                <w:szCs w:val="20"/>
              </w:rPr>
            </w:pPr>
            <w:r>
              <w:rPr>
                <w:b/>
                <w:noProof/>
                <w:color w:val="auto"/>
                <w:sz w:val="20"/>
              </w:rPr>
              <w:t>Buiten RUBRIEK 7</w:t>
            </w:r>
            <w:r>
              <w:rPr>
                <w:rFonts w:eastAsia="Arial Unicode MS"/>
                <w:noProof/>
                <w:color w:val="auto"/>
                <w:sz w:val="20"/>
                <w:szCs w:val="20"/>
              </w:rPr>
              <w:br/>
            </w:r>
            <w:r>
              <w:rPr>
                <w:b/>
                <w:noProof/>
                <w:color w:val="auto"/>
                <w:sz w:val="20"/>
              </w:rPr>
              <w:t xml:space="preserve">van het meerjarige financiële kader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r>
      <w:tr>
        <w:trPr>
          <w:trHeight w:val="425"/>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Style w:val="Text"/>
              <w:ind w:left="72"/>
              <w:jc w:val="left"/>
              <w:rPr>
                <w:noProof/>
                <w:color w:val="auto"/>
                <w:sz w:val="20"/>
                <w:szCs w:val="20"/>
              </w:rPr>
            </w:pPr>
            <w:r>
              <w:rPr>
                <w:noProof/>
                <w:color w:val="auto"/>
                <w:sz w:val="20"/>
              </w:rPr>
              <w:t xml:space="preserve">Personele middelen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rPr>
                <w:noProof/>
                <w:sz w:val="20"/>
                <w:szCs w:val="20"/>
              </w:rPr>
            </w:pPr>
          </w:p>
        </w:tc>
      </w:tr>
      <w:tr>
        <w:trPr>
          <w:trHeight w:val="600"/>
        </w:trPr>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152" w:type="dxa"/>
              <w:bottom w:w="80" w:type="dxa"/>
              <w:right w:w="80" w:type="dxa"/>
            </w:tcMar>
            <w:vAlign w:val="center"/>
          </w:tcPr>
          <w:p>
            <w:pPr>
              <w:pStyle w:val="Text"/>
              <w:ind w:left="72"/>
              <w:jc w:val="left"/>
              <w:rPr>
                <w:noProof/>
                <w:color w:val="auto"/>
                <w:sz w:val="20"/>
                <w:szCs w:val="20"/>
              </w:rPr>
            </w:pPr>
            <w:r>
              <w:rPr>
                <w:noProof/>
                <w:color w:val="auto"/>
                <w:sz w:val="20"/>
              </w:rPr>
              <w:t xml:space="preserve">Andere administratieve </w:t>
            </w:r>
            <w:r>
              <w:rPr>
                <w:noProof/>
                <w:color w:val="auto"/>
                <w:sz w:val="20"/>
                <w:szCs w:val="20"/>
              </w:rPr>
              <w:br/>
            </w:r>
            <w:r>
              <w:rPr>
                <w:noProof/>
                <w:color w:val="auto"/>
                <w:sz w:val="20"/>
              </w:rPr>
              <w:t>uitgaven</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jc w:val="center"/>
              <w:rPr>
                <w:noProof/>
                <w:sz w:val="20"/>
                <w:szCs w:val="20"/>
              </w:rPr>
            </w:pPr>
            <w:r>
              <w:rPr>
                <w:noProof/>
                <w:sz w:val="20"/>
              </w:rPr>
              <w:t>6,586</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jc w:val="center"/>
              <w:rPr>
                <w:noProof/>
                <w:sz w:val="20"/>
                <w:szCs w:val="20"/>
              </w:rPr>
            </w:pPr>
            <w:r>
              <w:rPr>
                <w:noProof/>
                <w:sz w:val="20"/>
              </w:rPr>
              <w:t>6,807</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jc w:val="center"/>
              <w:rPr>
                <w:noProof/>
                <w:sz w:val="20"/>
                <w:szCs w:val="20"/>
              </w:rPr>
            </w:pPr>
            <w:r>
              <w:rPr>
                <w:noProof/>
                <w:sz w:val="20"/>
              </w:rPr>
              <w:t>7,153</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jc w:val="center"/>
              <w:rPr>
                <w:noProof/>
                <w:sz w:val="20"/>
                <w:szCs w:val="20"/>
              </w:rPr>
            </w:pPr>
            <w:r>
              <w:rPr>
                <w:noProof/>
                <w:sz w:val="20"/>
              </w:rPr>
              <w:t>7,645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jc w:val="center"/>
              <w:rPr>
                <w:noProof/>
                <w:sz w:val="20"/>
                <w:szCs w:val="20"/>
              </w:rPr>
            </w:pPr>
            <w:r>
              <w:rPr>
                <w:noProof/>
                <w:sz w:val="20"/>
              </w:rPr>
              <w:t>8,311</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jc w:val="center"/>
              <w:rPr>
                <w:noProof/>
                <w:sz w:val="20"/>
                <w:szCs w:val="20"/>
              </w:rPr>
            </w:pPr>
            <w:r>
              <w:rPr>
                <w:noProof/>
                <w:sz w:val="20"/>
              </w:rPr>
              <w:t>9,193</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jc w:val="center"/>
              <w:rPr>
                <w:noProof/>
                <w:sz w:val="20"/>
                <w:szCs w:val="20"/>
              </w:rPr>
            </w:pPr>
            <w:r>
              <w:rPr>
                <w:noProof/>
                <w:sz w:val="20"/>
              </w:rPr>
              <w:t>10,305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jc w:val="center"/>
              <w:rPr>
                <w:noProof/>
                <w:sz w:val="20"/>
                <w:szCs w:val="20"/>
              </w:rPr>
            </w:pPr>
            <w:r>
              <w:rPr>
                <w:b/>
                <w:noProof/>
                <w:sz w:val="20"/>
              </w:rPr>
              <w:t>56,000</w:t>
            </w:r>
          </w:p>
        </w:tc>
      </w:tr>
      <w:tr>
        <w:trPr>
          <w:trHeight w:val="800"/>
        </w:trPr>
        <w:tc>
          <w:tcPr>
            <w:tcW w:w="198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vAlign w:val="center"/>
          </w:tcPr>
          <w:p>
            <w:pPr>
              <w:pStyle w:val="Text"/>
              <w:jc w:val="center"/>
              <w:rPr>
                <w:noProof/>
                <w:color w:val="auto"/>
                <w:sz w:val="20"/>
                <w:szCs w:val="20"/>
              </w:rPr>
            </w:pPr>
            <w:r>
              <w:rPr>
                <w:b/>
                <w:noProof/>
                <w:color w:val="auto"/>
                <w:sz w:val="20"/>
              </w:rPr>
              <w:t>Subtotaal</w:t>
            </w:r>
            <w:r>
              <w:rPr>
                <w:rFonts w:eastAsia="Arial Unicode MS"/>
                <w:noProof/>
                <w:color w:val="auto"/>
                <w:sz w:val="20"/>
                <w:szCs w:val="20"/>
              </w:rPr>
              <w:br/>
            </w:r>
            <w:r>
              <w:rPr>
                <w:b/>
                <w:noProof/>
                <w:color w:val="auto"/>
                <w:sz w:val="20"/>
              </w:rPr>
              <w:t>buiten RUBRIEK 7</w:t>
            </w:r>
            <w:r>
              <w:rPr>
                <w:rFonts w:eastAsia="Arial Unicode MS"/>
                <w:noProof/>
                <w:color w:val="auto"/>
                <w:sz w:val="20"/>
                <w:szCs w:val="20"/>
              </w:rPr>
              <w:br/>
            </w:r>
            <w:r>
              <w:rPr>
                <w:b/>
                <w:noProof/>
                <w:color w:val="auto"/>
                <w:sz w:val="20"/>
              </w:rPr>
              <w:t xml:space="preserve">van het meerjarige financiële kader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0"/>
              </w:rPr>
              <w:t>6,586</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0"/>
              </w:rPr>
              <w:t>6,807</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0"/>
              </w:rPr>
              <w:t>7,153</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0"/>
              </w:rPr>
              <w:t>7,645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0"/>
              </w:rPr>
              <w:t>8,311</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0"/>
              </w:rPr>
              <w:t>9,193</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noProof/>
                <w:color w:val="auto"/>
                <w:sz w:val="20"/>
              </w:rPr>
              <w:t>10,305</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0"/>
              </w:rPr>
              <w:t>56,000</w:t>
            </w:r>
          </w:p>
        </w:tc>
      </w:tr>
    </w:tbl>
    <w:p>
      <w:pPr>
        <w:rPr>
          <w:noProof/>
        </w:rPr>
      </w:pPr>
    </w:p>
    <w:tbl>
      <w:tblPr>
        <w:tblW w:w="10620" w:type="dxa"/>
        <w:tblInd w:w="-6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noProof/>
                <w:color w:val="auto"/>
                <w:sz w:val="20"/>
                <w:szCs w:val="20"/>
              </w:rPr>
            </w:pPr>
            <w:r>
              <w:rPr>
                <w:b/>
                <w:noProof/>
                <w:color w:val="auto"/>
                <w:sz w:val="20"/>
              </w:rPr>
              <w:t>TOTAAL</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b/>
                <w:noProof/>
                <w:color w:val="auto"/>
                <w:sz w:val="20"/>
                <w:szCs w:val="20"/>
              </w:rPr>
            </w:pPr>
            <w:r>
              <w:rPr>
                <w:b/>
                <w:noProof/>
                <w:color w:val="auto"/>
              </w:rPr>
              <w:t>9,929</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b/>
                <w:noProof/>
                <w:color w:val="auto"/>
                <w:sz w:val="20"/>
                <w:szCs w:val="20"/>
              </w:rPr>
            </w:pPr>
            <w:r>
              <w:rPr>
                <w:b/>
                <w:noProof/>
                <w:color w:val="auto"/>
              </w:rPr>
              <w:t>10,150</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b/>
                <w:noProof/>
                <w:color w:val="auto"/>
                <w:sz w:val="20"/>
                <w:szCs w:val="20"/>
              </w:rPr>
            </w:pPr>
            <w:r>
              <w:rPr>
                <w:b/>
                <w:noProof/>
                <w:color w:val="auto"/>
              </w:rPr>
              <w:t>10,570</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b/>
                <w:noProof/>
                <w:color w:val="auto"/>
                <w:sz w:val="20"/>
                <w:szCs w:val="20"/>
              </w:rPr>
            </w:pPr>
            <w:r>
              <w:rPr>
                <w:b/>
                <w:noProof/>
                <w:color w:val="auto"/>
              </w:rPr>
              <w:t>11,062</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b/>
                <w:noProof/>
                <w:color w:val="auto"/>
                <w:sz w:val="20"/>
                <w:szCs w:val="20"/>
              </w:rPr>
            </w:pPr>
            <w:r>
              <w:rPr>
                <w:b/>
                <w:noProof/>
                <w:color w:val="auto"/>
              </w:rPr>
              <w:t>11,728</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b/>
                <w:noProof/>
                <w:color w:val="auto"/>
                <w:sz w:val="20"/>
                <w:szCs w:val="20"/>
              </w:rPr>
            </w:pPr>
            <w:r>
              <w:rPr>
                <w:b/>
                <w:noProof/>
                <w:color w:val="auto"/>
              </w:rPr>
              <w:t>12,610</w:t>
            </w:r>
          </w:p>
        </w:tc>
        <w:tc>
          <w:tcPr>
            <w:tcW w:w="1080" w:type="dxa"/>
            <w:tcBorders>
              <w:top w:val="single" w:sz="1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pPr>
              <w:pStyle w:val="Text"/>
              <w:jc w:val="center"/>
              <w:rPr>
                <w:b/>
                <w:noProof/>
                <w:color w:val="auto"/>
                <w:sz w:val="20"/>
                <w:szCs w:val="20"/>
              </w:rPr>
            </w:pPr>
            <w:r>
              <w:rPr>
                <w:b/>
                <w:noProof/>
                <w:color w:val="auto"/>
              </w:rPr>
              <w:t>13,722</w:t>
            </w:r>
          </w:p>
        </w:tc>
        <w:tc>
          <w:tcPr>
            <w:tcW w:w="1080" w:type="dxa"/>
            <w:tcBorders>
              <w:top w:val="single" w:sz="1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pPr>
              <w:pStyle w:val="Text"/>
              <w:jc w:val="center"/>
              <w:rPr>
                <w:b/>
                <w:noProof/>
                <w:color w:val="auto"/>
                <w:sz w:val="20"/>
                <w:szCs w:val="20"/>
              </w:rPr>
            </w:pPr>
            <w:r>
              <w:rPr>
                <w:b/>
                <w:noProof/>
                <w:color w:val="auto"/>
              </w:rPr>
              <w:t>79,771</w:t>
            </w:r>
          </w:p>
        </w:tc>
      </w:tr>
    </w:tbl>
    <w:p>
      <w:pPr>
        <w:rPr>
          <w:noProof/>
        </w:rPr>
      </w:pPr>
    </w:p>
    <w:p>
      <w:pPr>
        <w:pStyle w:val="Text"/>
        <w:rPr>
          <w:noProof/>
          <w:color w:val="auto"/>
        </w:rPr>
      </w:pPr>
      <w:r>
        <w:rPr>
          <w:noProof/>
          <w:color w:val="auto"/>
        </w:rPr>
        <w:t>De benodigde kredieten voor personeel en andere administratieve uitgaven zullen worden gefinancierd uit de kredieten van het directoraat-generaal die reeds voor het beheer van deze actie zijn toegewezen en/of binnen het directoraat-generaal zijn herverdeeld, eventueel aangevuld met middelen die in het kader van de jaarlijkse toewijzingsprocedure met inachtneming van de budgettaire beperkingen aan het beherende directoraat-generaal kunnen worden toegewezen.</w:t>
      </w:r>
    </w:p>
    <w:p>
      <w:pPr>
        <w:pStyle w:val="ManualHeading4"/>
        <w:rPr>
          <w:noProof/>
        </w:rPr>
      </w:pPr>
      <w:r>
        <w:t>3.2.2.1.</w:t>
      </w:r>
      <w:r>
        <w:tab/>
      </w:r>
      <w:r>
        <w:rPr>
          <w:noProof/>
        </w:rPr>
        <w:t>Geraamde personeelsbehoeften</w:t>
      </w:r>
      <w:r>
        <w:rPr>
          <w:rStyle w:val="FootnoteReference"/>
          <w:noProof/>
        </w:rPr>
        <w:footnoteReference w:id="39"/>
      </w:r>
    </w:p>
    <w:p>
      <w:pPr>
        <w:pStyle w:val="ListDash1"/>
        <w:rPr>
          <w:noProof/>
        </w:rPr>
      </w:pPr>
      <w:r>
        <w:rPr>
          <w:noProof/>
        </w:rPr>
        <w:sym w:font="Wingdings" w:char="F0A8"/>
      </w:r>
      <w:r>
        <w:rPr>
          <w:noProof/>
        </w:rPr>
        <w:tab/>
        <w:t>Voor het voorstel/initiatief zijn geen personele middelen nodig.</w:t>
      </w:r>
    </w:p>
    <w:p>
      <w:pPr>
        <w:pStyle w:val="ListDash1"/>
        <w:rPr>
          <w:noProof/>
        </w:rPr>
      </w:pPr>
      <w:r>
        <w:rPr>
          <w:noProof/>
        </w:rPr>
        <w:sym w:font="Wingdings" w:char="F078"/>
      </w:r>
      <w:r>
        <w:rPr>
          <w:noProof/>
        </w:rPr>
        <w:tab/>
        <w:t>Voor het voorstel/initiatief zijn personele middelen nodig, zoals hieronder nader wordt beschreven:</w:t>
      </w:r>
    </w:p>
    <w:p>
      <w:pPr>
        <w:pStyle w:val="Text"/>
        <w:jc w:val="right"/>
        <w:rPr>
          <w:i/>
          <w:iCs/>
          <w:noProof/>
          <w:color w:val="auto"/>
          <w:sz w:val="20"/>
          <w:szCs w:val="20"/>
        </w:rPr>
      </w:pPr>
      <w:r>
        <w:rPr>
          <w:i/>
          <w:noProof/>
          <w:color w:val="auto"/>
          <w:sz w:val="20"/>
        </w:rPr>
        <w:t>Raming in voltijdequivalenten</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4"/>
        <w:gridCol w:w="989"/>
        <w:gridCol w:w="1133"/>
        <w:gridCol w:w="989"/>
        <w:gridCol w:w="1133"/>
        <w:gridCol w:w="1131"/>
        <w:gridCol w:w="993"/>
        <w:gridCol w:w="1118"/>
      </w:tblGrid>
      <w:tr>
        <w:trPr>
          <w:trHeight w:val="289"/>
        </w:trPr>
        <w:tc>
          <w:tcPr>
            <w:tcW w:w="1472" w:type="pct"/>
            <w:gridSpan w:val="2"/>
            <w:vAlign w:val="center"/>
          </w:tcPr>
          <w:p>
            <w:pPr>
              <w:pStyle w:val="Text1"/>
              <w:ind w:left="0"/>
              <w:jc w:val="center"/>
              <w:rPr>
                <w:i/>
                <w:noProof/>
                <w:sz w:val="16"/>
                <w:szCs w:val="16"/>
              </w:rPr>
            </w:pPr>
            <w:r>
              <w:rPr>
                <w:b/>
                <w:noProof/>
                <w:sz w:val="16"/>
              </w:rPr>
              <w:t>Jaar</w:t>
            </w:r>
          </w:p>
        </w:tc>
        <w:tc>
          <w:tcPr>
            <w:tcW w:w="466" w:type="pct"/>
            <w:shd w:val="clear" w:color="auto" w:fill="auto"/>
            <w:vAlign w:val="center"/>
          </w:tcPr>
          <w:p>
            <w:pPr>
              <w:jc w:val="center"/>
              <w:rPr>
                <w:b/>
                <w:noProof/>
                <w:sz w:val="16"/>
                <w:szCs w:val="16"/>
              </w:rPr>
            </w:pPr>
            <w:r>
              <w:rPr>
                <w:b/>
                <w:noProof/>
                <w:sz w:val="20"/>
              </w:rPr>
              <w:t>2021</w:t>
            </w:r>
          </w:p>
        </w:tc>
        <w:tc>
          <w:tcPr>
            <w:tcW w:w="534" w:type="pct"/>
            <w:shd w:val="clear" w:color="auto" w:fill="auto"/>
            <w:vAlign w:val="center"/>
          </w:tcPr>
          <w:p>
            <w:pPr>
              <w:jc w:val="center"/>
              <w:rPr>
                <w:b/>
                <w:noProof/>
                <w:sz w:val="20"/>
              </w:rPr>
            </w:pPr>
            <w:r>
              <w:rPr>
                <w:b/>
                <w:noProof/>
                <w:sz w:val="20"/>
              </w:rPr>
              <w:t>2022</w:t>
            </w:r>
          </w:p>
        </w:tc>
        <w:tc>
          <w:tcPr>
            <w:tcW w:w="466" w:type="pct"/>
            <w:shd w:val="clear" w:color="auto" w:fill="auto"/>
            <w:vAlign w:val="center"/>
          </w:tcPr>
          <w:p>
            <w:pPr>
              <w:jc w:val="center"/>
              <w:rPr>
                <w:b/>
                <w:noProof/>
                <w:sz w:val="20"/>
              </w:rPr>
            </w:pPr>
            <w:r>
              <w:rPr>
                <w:b/>
                <w:noProof/>
                <w:sz w:val="20"/>
              </w:rPr>
              <w:t>2023</w:t>
            </w:r>
          </w:p>
        </w:tc>
        <w:tc>
          <w:tcPr>
            <w:tcW w:w="534" w:type="pct"/>
            <w:shd w:val="clear" w:color="auto" w:fill="auto"/>
            <w:vAlign w:val="center"/>
          </w:tcPr>
          <w:p>
            <w:pPr>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rPr>
                <w:noProof/>
                <w:sz w:val="16"/>
                <w:szCs w:val="16"/>
              </w:rPr>
            </w:pPr>
            <w:r>
              <w:rPr>
                <w:b/>
                <w:noProof/>
                <w:sz w:val="16"/>
              </w:rPr>
              <w:sym w:font="Wingdings" w:char="F09F"/>
            </w:r>
            <w:r>
              <w:rPr>
                <w:b/>
                <w:noProof/>
                <w:sz w:val="16"/>
              </w:rPr>
              <w:t xml:space="preserve"> Posten opgenomen in de lijst van het aantal ambten (ambtenaren en tijdelijke functionarissen)</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Zetel en vertegenwoordigingen van de Commissie</w:t>
            </w:r>
          </w:p>
        </w:tc>
        <w:tc>
          <w:tcPr>
            <w:tcW w:w="466" w:type="pct"/>
            <w:shd w:val="clear" w:color="auto" w:fill="auto"/>
            <w:vAlign w:val="center"/>
          </w:tcPr>
          <w:p>
            <w:pPr>
              <w:spacing w:beforeLines="20" w:before="48" w:afterLines="20" w:after="48"/>
              <w:jc w:val="center"/>
              <w:rPr>
                <w:noProof/>
                <w:sz w:val="16"/>
                <w:szCs w:val="16"/>
              </w:rPr>
            </w:pPr>
            <w:r>
              <w:rPr>
                <w:noProof/>
                <w:sz w:val="22"/>
              </w:rPr>
              <w:t>17</w:t>
            </w:r>
          </w:p>
        </w:tc>
        <w:tc>
          <w:tcPr>
            <w:tcW w:w="534" w:type="pct"/>
            <w:shd w:val="clear" w:color="auto" w:fill="auto"/>
            <w:vAlign w:val="center"/>
          </w:tcPr>
          <w:p>
            <w:pPr>
              <w:spacing w:beforeLines="20" w:before="48" w:afterLines="20" w:after="48"/>
              <w:jc w:val="center"/>
              <w:rPr>
                <w:noProof/>
                <w:sz w:val="16"/>
                <w:szCs w:val="16"/>
              </w:rPr>
            </w:pPr>
            <w:r>
              <w:rPr>
                <w:noProof/>
                <w:sz w:val="22"/>
              </w:rPr>
              <w:t>17</w:t>
            </w:r>
          </w:p>
        </w:tc>
        <w:tc>
          <w:tcPr>
            <w:tcW w:w="466" w:type="pct"/>
            <w:shd w:val="clear" w:color="auto" w:fill="auto"/>
            <w:vAlign w:val="center"/>
          </w:tcPr>
          <w:p>
            <w:pPr>
              <w:spacing w:beforeLines="20" w:before="48" w:afterLines="20" w:after="48"/>
              <w:jc w:val="center"/>
              <w:rPr>
                <w:noProof/>
                <w:sz w:val="16"/>
                <w:szCs w:val="16"/>
              </w:rPr>
            </w:pPr>
            <w:r>
              <w:rPr>
                <w:noProof/>
                <w:sz w:val="22"/>
              </w:rPr>
              <w:t>17</w:t>
            </w:r>
          </w:p>
        </w:tc>
        <w:tc>
          <w:tcPr>
            <w:tcW w:w="534" w:type="pct"/>
            <w:shd w:val="clear" w:color="auto" w:fill="auto"/>
            <w:vAlign w:val="center"/>
          </w:tcPr>
          <w:p>
            <w:pPr>
              <w:spacing w:beforeLines="20" w:before="48" w:afterLines="20" w:after="48"/>
              <w:jc w:val="center"/>
              <w:rPr>
                <w:noProof/>
                <w:sz w:val="16"/>
                <w:szCs w:val="16"/>
              </w:rPr>
            </w:pPr>
            <w:r>
              <w:rPr>
                <w:noProof/>
                <w:sz w:val="22"/>
              </w:rPr>
              <w:t>17</w:t>
            </w:r>
          </w:p>
        </w:tc>
        <w:tc>
          <w:tcPr>
            <w:tcW w:w="533" w:type="pct"/>
            <w:shd w:val="clear" w:color="auto" w:fill="auto"/>
            <w:vAlign w:val="center"/>
          </w:tcPr>
          <w:p>
            <w:pPr>
              <w:spacing w:beforeLines="20" w:before="48" w:afterLines="20" w:after="48"/>
              <w:jc w:val="center"/>
              <w:rPr>
                <w:noProof/>
                <w:sz w:val="16"/>
                <w:szCs w:val="16"/>
              </w:rPr>
            </w:pPr>
            <w:r>
              <w:rPr>
                <w:noProof/>
                <w:sz w:val="22"/>
              </w:rPr>
              <w:t>17</w:t>
            </w:r>
          </w:p>
        </w:tc>
        <w:tc>
          <w:tcPr>
            <w:tcW w:w="468" w:type="pct"/>
            <w:shd w:val="clear" w:color="auto" w:fill="auto"/>
            <w:vAlign w:val="center"/>
          </w:tcPr>
          <w:p>
            <w:pPr>
              <w:spacing w:beforeLines="20" w:before="48" w:afterLines="20" w:after="48"/>
              <w:jc w:val="center"/>
              <w:rPr>
                <w:noProof/>
                <w:sz w:val="16"/>
                <w:szCs w:val="16"/>
              </w:rPr>
            </w:pPr>
            <w:r>
              <w:rPr>
                <w:noProof/>
                <w:sz w:val="22"/>
              </w:rPr>
              <w:t>17</w:t>
            </w:r>
          </w:p>
        </w:tc>
        <w:tc>
          <w:tcPr>
            <w:tcW w:w="527" w:type="pct"/>
            <w:shd w:val="clear" w:color="auto" w:fill="auto"/>
            <w:vAlign w:val="center"/>
          </w:tcPr>
          <w:p>
            <w:pPr>
              <w:spacing w:beforeLines="20" w:before="48" w:afterLines="20" w:after="48"/>
              <w:jc w:val="center"/>
              <w:rPr>
                <w:noProof/>
                <w:sz w:val="16"/>
                <w:szCs w:val="16"/>
              </w:rPr>
            </w:pPr>
            <w:r>
              <w:rPr>
                <w:noProof/>
                <w:sz w:val="22"/>
              </w:rPr>
              <w:t>17</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Delegaties</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Onderzoek</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vAlign w:val="center"/>
          </w:tcPr>
          <w:p>
            <w:pPr>
              <w:pStyle w:val="Text1"/>
              <w:ind w:left="0"/>
              <w:jc w:val="center"/>
              <w:rPr>
                <w:noProof/>
                <w:sz w:val="16"/>
                <w:szCs w:val="16"/>
              </w:rPr>
            </w:pP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rPr>
              <w:t>Gefinancierd uit RUBRIEK 7 van het meerjarig financieel kader</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zetel</w:t>
            </w:r>
          </w:p>
        </w:tc>
        <w:tc>
          <w:tcPr>
            <w:tcW w:w="466" w:type="pct"/>
            <w:shd w:val="clear" w:color="auto" w:fill="auto"/>
            <w:vAlign w:val="center"/>
          </w:tcPr>
          <w:p>
            <w:pPr>
              <w:spacing w:beforeLines="20" w:before="48" w:afterLines="20" w:after="48"/>
              <w:jc w:val="center"/>
              <w:rPr>
                <w:noProof/>
                <w:sz w:val="16"/>
                <w:szCs w:val="16"/>
              </w:rPr>
            </w:pPr>
            <w:r>
              <w:rPr>
                <w:noProof/>
                <w:sz w:val="22"/>
              </w:rPr>
              <w:t>1</w:t>
            </w:r>
          </w:p>
        </w:tc>
        <w:tc>
          <w:tcPr>
            <w:tcW w:w="534" w:type="pct"/>
            <w:shd w:val="clear" w:color="auto" w:fill="auto"/>
            <w:vAlign w:val="center"/>
          </w:tcPr>
          <w:p>
            <w:pPr>
              <w:spacing w:beforeLines="20" w:before="48" w:afterLines="20" w:after="48"/>
              <w:jc w:val="center"/>
              <w:rPr>
                <w:noProof/>
                <w:sz w:val="16"/>
                <w:szCs w:val="16"/>
              </w:rPr>
            </w:pPr>
            <w:r>
              <w:rPr>
                <w:noProof/>
                <w:sz w:val="22"/>
              </w:rPr>
              <w:t>1</w:t>
            </w:r>
          </w:p>
        </w:tc>
        <w:tc>
          <w:tcPr>
            <w:tcW w:w="466" w:type="pct"/>
            <w:shd w:val="clear" w:color="auto" w:fill="auto"/>
            <w:vAlign w:val="center"/>
          </w:tcPr>
          <w:p>
            <w:pPr>
              <w:spacing w:beforeLines="20" w:before="48" w:afterLines="20" w:after="48"/>
              <w:jc w:val="center"/>
              <w:rPr>
                <w:noProof/>
                <w:sz w:val="16"/>
                <w:szCs w:val="16"/>
              </w:rPr>
            </w:pPr>
            <w:r>
              <w:rPr>
                <w:noProof/>
                <w:sz w:val="22"/>
              </w:rPr>
              <w:t>2</w:t>
            </w:r>
          </w:p>
        </w:tc>
        <w:tc>
          <w:tcPr>
            <w:tcW w:w="534" w:type="pct"/>
            <w:shd w:val="clear" w:color="auto" w:fill="auto"/>
            <w:vAlign w:val="center"/>
          </w:tcPr>
          <w:p>
            <w:pPr>
              <w:spacing w:beforeLines="20" w:before="48" w:afterLines="20" w:after="48"/>
              <w:jc w:val="center"/>
              <w:rPr>
                <w:noProof/>
                <w:sz w:val="16"/>
                <w:szCs w:val="16"/>
              </w:rPr>
            </w:pPr>
            <w:r>
              <w:rPr>
                <w:noProof/>
                <w:sz w:val="22"/>
              </w:rPr>
              <w:t>2</w:t>
            </w:r>
          </w:p>
        </w:tc>
        <w:tc>
          <w:tcPr>
            <w:tcW w:w="533" w:type="pct"/>
            <w:shd w:val="clear" w:color="auto" w:fill="auto"/>
            <w:vAlign w:val="center"/>
          </w:tcPr>
          <w:p>
            <w:pPr>
              <w:spacing w:beforeLines="20" w:before="48" w:afterLines="20" w:after="48"/>
              <w:jc w:val="center"/>
              <w:rPr>
                <w:noProof/>
                <w:sz w:val="16"/>
                <w:szCs w:val="16"/>
              </w:rPr>
            </w:pPr>
            <w:r>
              <w:rPr>
                <w:noProof/>
                <w:sz w:val="22"/>
              </w:rPr>
              <w:t>2</w:t>
            </w:r>
          </w:p>
        </w:tc>
        <w:tc>
          <w:tcPr>
            <w:tcW w:w="468" w:type="pct"/>
            <w:shd w:val="clear" w:color="auto" w:fill="auto"/>
            <w:vAlign w:val="center"/>
          </w:tcPr>
          <w:p>
            <w:pPr>
              <w:spacing w:beforeLines="20" w:before="48" w:afterLines="20" w:after="48"/>
              <w:jc w:val="center"/>
              <w:rPr>
                <w:noProof/>
                <w:sz w:val="16"/>
                <w:szCs w:val="16"/>
              </w:rPr>
            </w:pPr>
            <w:r>
              <w:rPr>
                <w:noProof/>
                <w:sz w:val="22"/>
              </w:rPr>
              <w:t>2</w:t>
            </w:r>
          </w:p>
        </w:tc>
        <w:tc>
          <w:tcPr>
            <w:tcW w:w="527" w:type="pct"/>
            <w:shd w:val="clear" w:color="auto" w:fill="auto"/>
            <w:vAlign w:val="center"/>
          </w:tcPr>
          <w:p>
            <w:pPr>
              <w:spacing w:beforeLines="20" w:before="48" w:afterLines="20" w:after="48"/>
              <w:jc w:val="center"/>
              <w:rPr>
                <w:noProof/>
                <w:sz w:val="16"/>
                <w:szCs w:val="16"/>
              </w:rPr>
            </w:pPr>
            <w:r>
              <w:rPr>
                <w:noProof/>
                <w:sz w:val="22"/>
              </w:rPr>
              <w:t>2</w:t>
            </w: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delegaties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rPr>
              <w:t>Gefinancierd uit het budget van het programma</w:t>
            </w:r>
            <w:r>
              <w:rPr>
                <w:b/>
                <w:noProof/>
                <w:sz w:val="16"/>
              </w:rPr>
              <w:t xml:space="preserve"> </w:t>
            </w:r>
            <w:r>
              <w:rPr>
                <w:rStyle w:val="FootnoteReference"/>
                <w:b/>
                <w:noProof/>
                <w:sz w:val="16"/>
              </w:rPr>
              <w:footnoteReference w:id="40"/>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zetel</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delegaties </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rPr>
              <w:t>Onderzoek</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rPr>
              <w:t>Andere (geef aan welke)</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TOTAAL</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22"/>
              </w:rPr>
              <w:t>18</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22"/>
              </w:rPr>
              <w:t>18</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22"/>
              </w:rPr>
              <w:t>19</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22"/>
              </w:rPr>
              <w:t>19</w:t>
            </w:r>
          </w:p>
        </w:tc>
        <w:tc>
          <w:tcPr>
            <w:tcW w:w="53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22"/>
              </w:rPr>
              <w:t>19</w:t>
            </w:r>
          </w:p>
        </w:tc>
        <w:tc>
          <w:tcPr>
            <w:tcW w:w="46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22"/>
              </w:rPr>
              <w:t>19</w:t>
            </w:r>
          </w:p>
        </w:tc>
        <w:tc>
          <w:tcPr>
            <w:tcW w:w="52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22"/>
              </w:rPr>
              <w:t>19</w:t>
            </w:r>
          </w:p>
        </w:tc>
      </w:tr>
    </w:tbl>
    <w:p>
      <w:pPr>
        <w:pStyle w:val="Text1"/>
        <w:ind w:left="0"/>
        <w:rPr>
          <w:noProof/>
          <w:sz w:val="18"/>
          <w:szCs w:val="18"/>
        </w:rPr>
      </w:pPr>
      <w:r>
        <w:rPr>
          <w:noProof/>
          <w:sz w:val="18"/>
        </w:rPr>
        <w:t>Voor de benodigde personele middelen zal een beroep worden gedaan op het personeel van het DG dat reeds voor het beheer van deze actie is toegewezen en/of binnen het DG is herverdeeld, eventueel aangevuld met middelen die in het kader van de jaarlijkse toewijzingsprocedure met inachtneming van de budgettaire beperkingen aan het beherende DG kunnen worden toegewezen.</w:t>
      </w:r>
    </w:p>
    <w:p>
      <w:pPr>
        <w:rPr>
          <w:noProof/>
        </w:rPr>
      </w:pPr>
      <w:r>
        <w:rPr>
          <w:noProof/>
        </w:rPr>
        <w:t>Beschrijving van de uit te voeren taken:</w:t>
      </w:r>
    </w:p>
    <w:tbl>
      <w:tblPr>
        <w:tblW w:w="10632" w:type="dxa"/>
        <w:tblInd w:w="-6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40"/>
        <w:gridCol w:w="7392"/>
      </w:tblGrid>
      <w:tr>
        <w:trPr>
          <w:trHeight w:val="217"/>
        </w:trPr>
        <w:tc>
          <w:tcPr>
            <w:tcW w:w="32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Text"/>
              <w:rPr>
                <w:noProof/>
                <w:color w:val="auto"/>
              </w:rPr>
            </w:pPr>
            <w:r>
              <w:rPr>
                <w:noProof/>
                <w:color w:val="auto"/>
                <w:sz w:val="20"/>
              </w:rPr>
              <w:t>Ambtenaren en tijdelijk personeel</w:t>
            </w:r>
          </w:p>
        </w:tc>
        <w:tc>
          <w:tcPr>
            <w:tcW w:w="7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rPr>
                <w:noProof/>
              </w:rPr>
            </w:pPr>
          </w:p>
        </w:tc>
      </w:tr>
      <w:tr>
        <w:trPr>
          <w:trHeight w:val="217"/>
        </w:trPr>
        <w:tc>
          <w:tcPr>
            <w:tcW w:w="32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pStyle w:val="Text"/>
              <w:rPr>
                <w:noProof/>
                <w:color w:val="auto"/>
              </w:rPr>
            </w:pPr>
            <w:r>
              <w:rPr>
                <w:noProof/>
                <w:color w:val="auto"/>
                <w:sz w:val="20"/>
              </w:rPr>
              <w:t>Extern personeel</w:t>
            </w:r>
          </w:p>
        </w:tc>
        <w:tc>
          <w:tcPr>
            <w:tcW w:w="7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pPr>
              <w:rPr>
                <w:noProof/>
              </w:rPr>
            </w:pPr>
          </w:p>
        </w:tc>
      </w:tr>
    </w:tbl>
    <w:p>
      <w:pPr>
        <w:pStyle w:val="Text"/>
        <w:rPr>
          <w:noProof/>
          <w:color w:val="auto"/>
        </w:rPr>
        <w:sectPr>
          <w:headerReference w:type="default" r:id="rId29"/>
          <w:footerReference w:type="default" r:id="rId30"/>
          <w:headerReference w:type="first" r:id="rId31"/>
          <w:footerReference w:type="first" r:id="rId32"/>
          <w:pgSz w:w="11900" w:h="16840"/>
          <w:pgMar w:top="1134" w:right="1418" w:bottom="1134" w:left="1418" w:header="709" w:footer="709" w:gutter="0"/>
          <w:cols w:space="720"/>
          <w:docGrid w:linePitch="326"/>
        </w:sectPr>
      </w:pPr>
    </w:p>
    <w:p>
      <w:pPr>
        <w:pStyle w:val="ManualHeading3"/>
        <w:rPr>
          <w:noProof/>
        </w:rPr>
      </w:pPr>
      <w:r>
        <w:t>3.2.3.</w:t>
      </w:r>
      <w:r>
        <w:tab/>
      </w:r>
      <w:r>
        <w:rPr>
          <w:noProof/>
        </w:rPr>
        <w:t>Bijdragen van derden</w:t>
      </w:r>
    </w:p>
    <w:p>
      <w:pPr>
        <w:rPr>
          <w:noProof/>
        </w:rPr>
      </w:pPr>
      <w:r>
        <w:rPr>
          <w:noProof/>
        </w:rPr>
        <w:t>Het voorstel/initiatief:</w:t>
      </w:r>
    </w:p>
    <w:p>
      <w:pPr>
        <w:pStyle w:val="ListDash1"/>
        <w:rPr>
          <w:noProof/>
        </w:rPr>
      </w:pPr>
      <w:r>
        <w:rPr>
          <w:noProof/>
        </w:rPr>
        <w:sym w:font="Wingdings" w:char="F0A8"/>
      </w:r>
      <w:r>
        <w:rPr>
          <w:noProof/>
        </w:rPr>
        <w:tab/>
        <w:t>voorziet niet in medefinanciering door derden;</w:t>
      </w:r>
    </w:p>
    <w:p>
      <w:pPr>
        <w:pStyle w:val="ListDash1"/>
        <w:rPr>
          <w:noProof/>
        </w:rPr>
      </w:pPr>
      <w:r>
        <w:rPr>
          <w:noProof/>
        </w:rPr>
        <w:sym w:font="Wingdings" w:char="F0A8"/>
      </w:r>
      <w:r>
        <w:rPr>
          <w:noProof/>
        </w:rPr>
        <w:tab/>
        <w:t>voorziet in medefinanciering door derden, zoals hieronder wordt geraamd:</w:t>
      </w:r>
    </w:p>
    <w:p>
      <w:pPr>
        <w:pStyle w:val="Text"/>
        <w:jc w:val="right"/>
        <w:rPr>
          <w:noProof/>
          <w:color w:val="auto"/>
          <w:sz w:val="20"/>
          <w:szCs w:val="20"/>
        </w:rPr>
      </w:pPr>
      <w:r>
        <w:rPr>
          <w:noProof/>
          <w:color w:val="auto"/>
          <w:sz w:val="20"/>
        </w:rPr>
        <w:t>Kredieten in miljoen EUR (tot op 3 decimalen)</w:t>
      </w:r>
    </w:p>
    <w:tbl>
      <w:tblPr>
        <w:tblW w:w="1046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89"/>
        <w:gridCol w:w="985"/>
        <w:gridCol w:w="984"/>
        <w:gridCol w:w="984"/>
        <w:gridCol w:w="984"/>
        <w:gridCol w:w="984"/>
        <w:gridCol w:w="984"/>
        <w:gridCol w:w="984"/>
        <w:gridCol w:w="1182"/>
      </w:tblGrid>
      <w:tr>
        <w:trPr>
          <w:trHeight w:val="227"/>
          <w:jc w:val="center"/>
        </w:trPr>
        <w:tc>
          <w:tcPr>
            <w:tcW w:w="23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Jaar</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2021</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2022</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2023</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2024</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2025</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2026</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2027</w:t>
            </w: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TOTAAL</w:t>
            </w:r>
          </w:p>
        </w:tc>
      </w:tr>
      <w:tr>
        <w:trPr>
          <w:trHeight w:val="447"/>
          <w:jc w:val="center"/>
        </w:trPr>
        <w:tc>
          <w:tcPr>
            <w:tcW w:w="23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Text"/>
              <w:rPr>
                <w:noProof/>
                <w:color w:val="auto"/>
              </w:rPr>
            </w:pPr>
            <w:r>
              <w:rPr>
                <w:noProof/>
                <w:color w:val="auto"/>
                <w:sz w:val="20"/>
              </w:rPr>
              <w:t>Medefinancieringsbron</w:t>
            </w:r>
            <w:r>
              <w:rPr>
                <w:i/>
                <w:noProof/>
                <w:color w:val="auto"/>
                <w:sz w:val="20"/>
              </w:rPr>
              <w:t xml:space="preserve"> </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r>
      <w:tr>
        <w:trPr>
          <w:trHeight w:val="447"/>
          <w:jc w:val="center"/>
        </w:trPr>
        <w:tc>
          <w:tcPr>
            <w:tcW w:w="23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pPr>
              <w:pStyle w:val="Text"/>
              <w:jc w:val="left"/>
              <w:rPr>
                <w:noProof/>
                <w:color w:val="auto"/>
              </w:rPr>
            </w:pPr>
            <w:r>
              <w:rPr>
                <w:noProof/>
                <w:color w:val="auto"/>
                <w:sz w:val="20"/>
              </w:rPr>
              <w:t xml:space="preserve">TOTAAL medegefinancierde kredieten </w:t>
            </w: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9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pPr>
              <w:rPr>
                <w:noProof/>
              </w:rPr>
            </w:pPr>
          </w:p>
        </w:tc>
      </w:tr>
    </w:tbl>
    <w:p>
      <w:pPr>
        <w:pStyle w:val="ManualHeading2"/>
        <w:rPr>
          <w:noProof/>
        </w:rPr>
      </w:pPr>
      <w:r>
        <w:t>3.3.</w:t>
      </w:r>
      <w:r>
        <w:tab/>
      </w:r>
      <w:r>
        <w:rPr>
          <w:noProof/>
        </w:rPr>
        <w:t>Geraamde gevolgen voor de ontvangsten</w:t>
      </w:r>
    </w:p>
    <w:p>
      <w:pPr>
        <w:pStyle w:val="ListDash1"/>
        <w:rPr>
          <w:noProof/>
        </w:rPr>
      </w:pPr>
      <w:r>
        <w:rPr>
          <w:noProof/>
        </w:rPr>
        <w:sym w:font="Wingdings" w:char="F078"/>
      </w:r>
      <w:r>
        <w:rPr>
          <w:noProof/>
        </w:rPr>
        <w:tab/>
        <w:t>Het voorstel/initiatief heeft geen financiële gevolgen voor de ontvangsten.</w:t>
      </w:r>
    </w:p>
    <w:p>
      <w:pPr>
        <w:pStyle w:val="ListDash1"/>
        <w:rPr>
          <w:noProof/>
        </w:rPr>
      </w:pPr>
      <w:r>
        <w:rPr>
          <w:noProof/>
        </w:rPr>
        <w:sym w:font="Wingdings" w:char="F0A8"/>
      </w:r>
      <w:r>
        <w:rPr>
          <w:noProof/>
        </w:rPr>
        <w:tab/>
        <w:t>Het voorstel/initiatief heeft de hieronder beschreven financiële gevolgen:</w:t>
      </w:r>
    </w:p>
    <w:p>
      <w:pPr>
        <w:pStyle w:val="ListNumberLevel3"/>
        <w:tabs>
          <w:tab w:val="clear" w:pos="2126"/>
          <w:tab w:val="num" w:pos="1843"/>
        </w:tabs>
        <w:rPr>
          <w:noProof/>
        </w:rPr>
      </w:pPr>
      <w:r>
        <w:rPr>
          <w:noProof/>
        </w:rPr>
        <w:sym w:font="Wingdings" w:char="F0A8"/>
      </w:r>
      <w:r>
        <w:rPr>
          <w:noProof/>
        </w:rPr>
        <w:tab/>
        <w:t>voor de eigen middelen</w:t>
      </w:r>
    </w:p>
    <w:p>
      <w:pPr>
        <w:pStyle w:val="ListNumberLevel3"/>
        <w:tabs>
          <w:tab w:val="clear" w:pos="2126"/>
          <w:tab w:val="num" w:pos="1843"/>
        </w:tabs>
        <w:rPr>
          <w:noProof/>
        </w:rPr>
      </w:pPr>
      <w:r>
        <w:rPr>
          <w:noProof/>
        </w:rPr>
        <w:sym w:font="Wingdings" w:char="F0A8"/>
      </w:r>
      <w:r>
        <w:rPr>
          <w:noProof/>
        </w:rPr>
        <w:tab/>
        <w:t>voor de overige ontvangsten</w:t>
      </w:r>
    </w:p>
    <w:p>
      <w:pPr>
        <w:pStyle w:val="NormalRight"/>
        <w:rPr>
          <w:noProof/>
        </w:rPr>
      </w:pPr>
      <w:r>
        <w:rPr>
          <w:noProof/>
        </w:rPr>
        <w:t xml:space="preserve">      Geef aan of de ontvangsten worden toegewezen aan de begrotingsonderdelen voor uitgaven </w:t>
      </w:r>
      <w:r>
        <w:rPr>
          <w:noProof/>
        </w:rPr>
        <w:sym w:font="Wingdings" w:char="F0A8"/>
      </w:r>
      <w:r>
        <w:rPr>
          <w:noProof/>
        </w:rPr>
        <w:tab/>
      </w:r>
    </w:p>
    <w:p>
      <w:pPr>
        <w:pStyle w:val="NormalRight"/>
        <w:rPr>
          <w:noProof/>
        </w:rPr>
      </w:pPr>
      <w:r>
        <w:rPr>
          <w:noProof/>
        </w:rPr>
        <w:t>in miljoen EUR (tot op 3 decimalen)</w:t>
      </w:r>
    </w:p>
    <w:tbl>
      <w:tblPr>
        <w:tblW w:w="934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4"/>
        <w:gridCol w:w="1080"/>
        <w:gridCol w:w="900"/>
        <w:gridCol w:w="900"/>
        <w:gridCol w:w="1080"/>
        <w:gridCol w:w="1080"/>
        <w:gridCol w:w="1080"/>
        <w:gridCol w:w="1080"/>
      </w:tblGrid>
      <w:tr>
        <w:trPr>
          <w:trHeight w:val="228"/>
          <w:jc w:val="center"/>
        </w:trPr>
        <w:tc>
          <w:tcPr>
            <w:tcW w:w="21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rPr>
                <w:noProof/>
                <w:color w:val="auto"/>
              </w:rPr>
            </w:pPr>
            <w:r>
              <w:rPr>
                <w:noProof/>
                <w:color w:val="auto"/>
                <w:sz w:val="18"/>
              </w:rPr>
              <w:t>Begrotingsonderdeel voor ontvangsten:</w:t>
            </w:r>
          </w:p>
        </w:tc>
        <w:tc>
          <w:tcPr>
            <w:tcW w:w="720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noProof/>
                <w:color w:val="auto"/>
                <w:sz w:val="18"/>
              </w:rPr>
              <w:t>Gevolgen van het voorstel/initiatief</w:t>
            </w:r>
          </w:p>
        </w:tc>
      </w:tr>
      <w:tr>
        <w:trPr>
          <w:trHeight w:val="228"/>
          <w:jc w:val="center"/>
        </w:trPr>
        <w:tc>
          <w:tcPr>
            <w:tcW w:w="2144" w:type="dxa"/>
            <w:vMerge/>
            <w:tcBorders>
              <w:top w:val="single" w:sz="4" w:space="0" w:color="000000"/>
              <w:left w:val="single" w:sz="4" w:space="0" w:color="000000"/>
              <w:bottom w:val="single" w:sz="4" w:space="0" w:color="000000"/>
              <w:right w:val="single" w:sz="4" w:space="0" w:color="000000"/>
            </w:tcBorders>
            <w:shd w:val="clear" w:color="auto" w:fill="auto"/>
          </w:tcPr>
          <w:p>
            <w:pPr>
              <w:rPr>
                <w:noProo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jc w:val="center"/>
              <w:rPr>
                <w:noProof/>
                <w:color w:val="auto"/>
              </w:rPr>
            </w:pPr>
            <w:r>
              <w:rPr>
                <w:b/>
                <w:noProof/>
                <w:color w:val="auto"/>
                <w:sz w:val="20"/>
              </w:rPr>
              <w:t>2027</w:t>
            </w:r>
          </w:p>
        </w:tc>
      </w:tr>
      <w:tr>
        <w:trPr>
          <w:trHeight w:val="228"/>
          <w:jc w:val="center"/>
        </w:trPr>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pPr>
              <w:pStyle w:val="Text"/>
              <w:rPr>
                <w:noProof/>
                <w:color w:val="auto"/>
              </w:rPr>
            </w:pPr>
            <w:r>
              <w:rPr>
                <w:noProof/>
                <w:color w:val="auto"/>
                <w:sz w:val="18"/>
              </w:rPr>
              <w:t>Artikel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rPr>
                <w:noProof/>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rPr>
                <w:noProof/>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rPr>
                <w:noProo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rPr>
                <w:noProo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rPr>
                <w:noProo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rPr>
                <w:noProo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rPr>
                <w:noProof/>
              </w:rPr>
            </w:pPr>
          </w:p>
        </w:tc>
      </w:tr>
    </w:tbl>
    <w:p>
      <w:pPr>
        <w:pStyle w:val="Text1"/>
        <w:rPr>
          <w:noProof/>
          <w:sz w:val="20"/>
          <w:szCs w:val="20"/>
        </w:rPr>
      </w:pPr>
      <w:r>
        <w:rPr>
          <w:noProof/>
          <w:sz w:val="20"/>
        </w:rPr>
        <w:t>Vermeld voor de toegewezen ontvangsten het (de) betrokken begrotingsonderde(e)l(en) voor uitgaven.</w:t>
      </w:r>
    </w:p>
    <w:p>
      <w:pPr>
        <w:pStyle w:val="Text1"/>
        <w:pBdr>
          <w:top w:val="single" w:sz="4" w:space="0" w:color="000000"/>
          <w:left w:val="single" w:sz="4" w:space="0" w:color="000000"/>
          <w:bottom w:val="single" w:sz="4" w:space="0" w:color="000000"/>
          <w:right w:val="single" w:sz="4" w:space="0" w:color="000000"/>
        </w:pBdr>
        <w:rPr>
          <w:noProof/>
        </w:rPr>
      </w:pPr>
      <w:r>
        <w:rPr>
          <w:noProof/>
        </w:rPr>
        <w:t>[…]</w:t>
      </w:r>
    </w:p>
    <w:p>
      <w:pPr>
        <w:pStyle w:val="Text1"/>
        <w:rPr>
          <w:noProof/>
          <w:sz w:val="20"/>
          <w:szCs w:val="20"/>
        </w:rPr>
      </w:pPr>
      <w:r>
        <w:rPr>
          <w:noProof/>
          <w:sz w:val="20"/>
        </w:rPr>
        <w:t>Andere opmerkingen (bijv. over de methode/formule voor de berekening van de gevolgen voor de ontvangsten of andere informatie).</w:t>
      </w:r>
    </w:p>
    <w:p>
      <w:pPr>
        <w:pStyle w:val="Text1"/>
        <w:pBdr>
          <w:top w:val="single" w:sz="4" w:space="0" w:color="000000"/>
          <w:left w:val="single" w:sz="4" w:space="0" w:color="000000"/>
          <w:bottom w:val="single" w:sz="4" w:space="0" w:color="000000"/>
          <w:right w:val="single" w:sz="4" w:space="0" w:color="000000"/>
        </w:pBdr>
        <w:rPr>
          <w:noProof/>
        </w:rPr>
      </w:pPr>
      <w:r>
        <w:rPr>
          <w:noProof/>
        </w:rPr>
        <w:t>[…]</w:t>
      </w:r>
    </w:p>
    <w:sectPr>
      <w:headerReference w:type="default" r:id="rId33"/>
      <w:footerReference w:type="default" r:id="rId34"/>
      <w:headerReference w:type="first" r:id="rId35"/>
      <w:footerReference w:type="first" r:id="rId36"/>
      <w:pgSz w:w="11900" w:h="16840"/>
      <w:pgMar w:top="720" w:right="720" w:bottom="720" w:left="72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r:id="rId1">
        <w:r>
          <w:rPr>
            <w:rStyle w:val="Hyperlink0"/>
          </w:rPr>
          <w:t>http://www.consilium.europa.eu/en/press/press-releases/2017/03/25-rome-declaration/</w:t>
        </w:r>
      </w:hyperlink>
    </w:p>
  </w:footnote>
  <w:footnote w:id="2">
    <w:p>
      <w:pPr>
        <w:pStyle w:val="FootnoteText"/>
      </w:pPr>
      <w:r>
        <w:rPr>
          <w:rStyle w:val="FootnoteReference"/>
        </w:rPr>
        <w:footnoteRef/>
      </w:r>
      <w:r>
        <w:tab/>
        <w:t>Europese Commissie (2016), "Een Europees Solidariteitskorps", mededeling van de Commissie aan het Europees Parlement, de Raad, het Europees Economisch en Sociaal Comité en het Comité van de Regio's, COM(2016) 942 final van 7.12.2016.</w:t>
      </w:r>
    </w:p>
  </w:footnote>
  <w:footnote w:id="3">
    <w:p>
      <w:pPr>
        <w:pStyle w:val="FootnoteText"/>
      </w:pPr>
      <w:r>
        <w:rPr>
          <w:rStyle w:val="FootnoteReference"/>
        </w:rPr>
        <w:footnoteRef/>
      </w:r>
      <w:r>
        <w:tab/>
        <w:t>Het Erasmus+-programma, het Programma voor werkgelegenheid en sociale innovatie (EaSI), het LIFE-programma, het Fonds voor asiel, migratie en integratie, het gezondheidsprogramma, het programma "Europa voor de burger", het Europees Fonds voor regionale ontwikkeling (via Interreg) en het Europees Landbouwfonds voor plattelandsontwikkeling.</w:t>
      </w:r>
    </w:p>
  </w:footnote>
  <w:footnote w:id="4">
    <w:p>
      <w:pPr>
        <w:pStyle w:val="FootnoteText"/>
      </w:pPr>
      <w:r>
        <w:rPr>
          <w:rStyle w:val="FootnoteReference"/>
        </w:rPr>
        <w:footnoteRef/>
      </w:r>
      <w:r>
        <w:tab/>
        <w:t>Een moderne begroting voor een Unie die ons beschermt, sterker maakt, en verdedigt — Het meerjarig financieel kader 2021</w:t>
      </w:r>
      <w:r>
        <w:noBreakHyphen/>
        <w:t>2027, COM(2018) 321 final.</w:t>
      </w:r>
    </w:p>
  </w:footnote>
  <w:footnote w:id="5">
    <w:p>
      <w:pPr>
        <w:pStyle w:val="FootnoteText"/>
      </w:pPr>
      <w:r>
        <w:rPr>
          <w:rStyle w:val="FootnoteReference"/>
        </w:rPr>
        <w:footnoteRef/>
      </w:r>
      <w:r>
        <w:tab/>
        <w:t>[In afwachting van de referentie Europees Solidariteitskorps 2018</w:t>
      </w:r>
      <w:r>
        <w:noBreakHyphen/>
        <w:t>2020].</w:t>
      </w:r>
    </w:p>
  </w:footnote>
  <w:footnote w:id="6">
    <w:p>
      <w:pPr>
        <w:pStyle w:val="FootnoteText"/>
      </w:pPr>
      <w:r>
        <w:rPr>
          <w:rStyle w:val="FootnoteReference"/>
        </w:rPr>
        <w:footnoteRef/>
      </w:r>
      <w:r>
        <w:tab/>
        <w:t>Aanbeveling van de Raad van 15 maart 2018 voor een Europees kader voor hoogwaardige en doeltreffende leerlingplaatsen (PB C 153 van 2.5.2018, blz. 1).</w:t>
      </w:r>
    </w:p>
  </w:footnote>
  <w:footnote w:id="7">
    <w:p>
      <w:pPr>
        <w:pStyle w:val="FootnoteText"/>
      </w:pPr>
      <w:r>
        <w:rPr>
          <w:rStyle w:val="FootnoteReference"/>
        </w:rPr>
        <w:footnoteRef/>
      </w:r>
      <w:r>
        <w:tab/>
        <w:t>Tussentijdse evaluatie van het Erasmus+-programma (2014-2020) (SWD(2018)40), 31 januari 2018.</w:t>
      </w:r>
    </w:p>
  </w:footnote>
  <w:footnote w:id="8">
    <w:p>
      <w:pPr>
        <w:pStyle w:val="FootnoteText"/>
      </w:pPr>
      <w:r>
        <w:rPr>
          <w:rStyle w:val="FootnoteReference"/>
        </w:rPr>
        <w:footnoteRef/>
      </w:r>
      <w:r>
        <w:tab/>
        <w:t>Tussentijdse evaluatie van het EU-vrijwilligersinitiatief voor humanitaire hulp, 2017.</w:t>
      </w:r>
    </w:p>
  </w:footnote>
  <w:footnote w:id="9">
    <w:p>
      <w:pPr>
        <w:pStyle w:val="FootnoteText"/>
      </w:pPr>
      <w:r>
        <w:rPr>
          <w:rStyle w:val="FootnoteReference"/>
        </w:rPr>
        <w:footnoteRef/>
      </w:r>
      <w:r>
        <w:tab/>
        <w:t>NB: Het verslag van de Commissie aan het Europees Parlement en de Raad en ook het werkdocument van de diensten van de Commissie over de tussentijdse evaluatie van het EU-vrijwilligersinitiatief voor humanitaire hulp zijn nog niet goedgekeurd. Dit deel van de evaluatie vooraf kan worden vervangen door de tekst in het verslag/werkdocument zodra deze is goedgekeurd.</w:t>
      </w:r>
    </w:p>
  </w:footnote>
  <w:footnote w:id="10">
    <w:p>
      <w:pPr>
        <w:pStyle w:val="FootnoteText"/>
      </w:pPr>
      <w:r>
        <w:rPr>
          <w:rStyle w:val="FootnoteReference"/>
        </w:rPr>
        <w:footnoteRef/>
      </w:r>
      <w:r>
        <w:tab/>
        <w:t xml:space="preserve">De hoofdpunten en belangrijkste documenten zijn te vinden op de webpagina over de evaluaties: </w:t>
      </w:r>
      <w:hyperlink r:id="rId2">
        <w:r>
          <w:rPr>
            <w:rStyle w:val="Hyperlink0"/>
          </w:rPr>
          <w:t>https://ec.europa.eu/programmes/erasmus-plus/resources/documents.evaluations_nl</w:t>
        </w:r>
      </w:hyperlink>
    </w:p>
  </w:footnote>
  <w:footnote w:id="11">
    <w:p>
      <w:pPr>
        <w:pStyle w:val="FootnoteText"/>
      </w:pPr>
      <w:r>
        <w:rPr>
          <w:rStyle w:val="FootnoteReference"/>
        </w:rPr>
        <w:footnoteRef/>
      </w:r>
      <w:r>
        <w:tab/>
        <w:t>De definitieve geconsolideerde analyse is nog in voorbereiding.</w:t>
      </w:r>
    </w:p>
  </w:footnote>
  <w:footnote w:id="12">
    <w:p>
      <w:pPr>
        <w:pStyle w:val="FootnoteText"/>
      </w:pPr>
      <w:r>
        <w:rPr>
          <w:rStyle w:val="FootnoteReference"/>
        </w:rPr>
        <w:footnoteRef/>
      </w:r>
      <w:r>
        <w:tab/>
        <w:t>[In afwachting van referentie Financieel Reglement].</w:t>
      </w:r>
    </w:p>
  </w:footnote>
  <w:footnote w:id="13">
    <w:p>
      <w:pPr>
        <w:pStyle w:val="FootnoteText"/>
      </w:pPr>
      <w:r>
        <w:rPr>
          <w:rStyle w:val="FootnoteReference"/>
        </w:rPr>
        <w:footnoteRef/>
      </w:r>
      <w:r>
        <w:tab/>
        <w:t>EU-Handvest van de grondrechten (PB C 326 van 26.10.2012, blz. 391).</w:t>
      </w:r>
    </w:p>
  </w:footnote>
  <w:footnote w:id="14">
    <w:p>
      <w:pPr>
        <w:pStyle w:val="FootnoteText"/>
      </w:pPr>
      <w:r>
        <w:rPr>
          <w:rStyle w:val="FootnoteReference"/>
        </w:rPr>
        <w:footnoteRef/>
      </w:r>
      <w:r>
        <w:tab/>
        <w:t>Een moderne begroting voor een Unie die ons beschermt, sterker maakt, en verdedigt — Het meerjarig financieel kader 2021</w:t>
      </w:r>
      <w:r>
        <w:noBreakHyphen/>
        <w:t>2027, COM(2018) 321 final, blz. 29.</w:t>
      </w:r>
    </w:p>
  </w:footnote>
  <w:footnote w:id="15">
    <w:p>
      <w:pPr>
        <w:pStyle w:val="FootnoteText"/>
      </w:pPr>
      <w:r>
        <w:rPr>
          <w:rStyle w:val="FootnoteReference"/>
        </w:rPr>
        <w:footnoteRef/>
      </w:r>
      <w:r>
        <w:tab/>
        <w:t>Interinstitutioneel Akkoord tussen het Europees Parlement, de Raad van de Europese Unie en de Europese Commissie van 13 april 2016 over beter wetgeven (PB L 123 van 12.5.2016, blz. 1).</w:t>
      </w:r>
    </w:p>
  </w:footnote>
  <w:footnote w:id="16">
    <w:p>
      <w:pPr>
        <w:pStyle w:val="FootnoteText"/>
      </w:pPr>
      <w:r>
        <w:rPr>
          <w:rStyle w:val="FootnoteReference"/>
        </w:rPr>
        <w:footnoteRef/>
      </w:r>
      <w:r>
        <w:tab/>
        <w:t>PB C  van , blz. .</w:t>
      </w:r>
    </w:p>
  </w:footnote>
  <w:footnote w:id="17">
    <w:p>
      <w:pPr>
        <w:pStyle w:val="FootnoteText"/>
      </w:pPr>
      <w:r>
        <w:rPr>
          <w:rStyle w:val="FootnoteReference"/>
        </w:rPr>
        <w:footnoteRef/>
      </w:r>
      <w:r>
        <w:tab/>
        <w:t>PB C  van , blz. .</w:t>
      </w:r>
    </w:p>
  </w:footnote>
  <w:footnote w:id="18">
    <w:p>
      <w:pPr>
        <w:pStyle w:val="FootnoteText"/>
      </w:pPr>
      <w:r>
        <w:rPr>
          <w:rStyle w:val="FootnoteReference"/>
        </w:rPr>
        <w:footnoteRef/>
      </w:r>
      <w:r>
        <w:tab/>
        <w:t>Mededeling van de Commissie aan het Europees Parlement, de Raad, het Europees Economisch en Sociaal Comité en het Comité van de Regio's — Een Europees Solidariteitskorps (COM(2016) 942 final).</w:t>
      </w:r>
    </w:p>
  </w:footnote>
  <w:footnote w:id="19">
    <w:p>
      <w:pPr>
        <w:pStyle w:val="FootnoteText"/>
      </w:pPr>
      <w:r>
        <w:rPr>
          <w:rStyle w:val="FootnoteReference"/>
        </w:rPr>
        <w:footnoteRef/>
      </w:r>
      <w:r>
        <w:tab/>
        <w:t>Verordening (EU) nr. 1288/2013 van het Europees Parlement en de Raad van 11 december 2013 tot vaststelling van "Erasmus+": het programma van de Unie voor onderwijs, opleiding, jeugd en sport en tot intrekking van Besluiten nr. 1719/2006/EG, nr. 1720/2006/EG en nr. 1298/2008/EG (PB L 347 van 20.12.2013, blz. 50).</w:t>
      </w:r>
    </w:p>
  </w:footnote>
  <w:footnote w:id="20">
    <w:p>
      <w:pPr>
        <w:pStyle w:val="FootnoteText"/>
      </w:pPr>
      <w:r>
        <w:rPr>
          <w:rStyle w:val="FootnoteReference"/>
        </w:rPr>
        <w:footnoteRef/>
      </w:r>
      <w:r>
        <w:tab/>
        <w:t>Verordening (EU) nr. 375/2014 van het Europees Parlement en de Raad van 3 april 2014 tot oprichting van het Europese vrijwilligerskorps voor humanitaire hulpverlening ("EU-vrijwilligersinitiatief voor humanitaire hulp") (PB L 122 van 24.4.2014, blz. 1).</w:t>
      </w:r>
    </w:p>
  </w:footnote>
  <w:footnote w:id="21">
    <w:p>
      <w:pPr>
        <w:pStyle w:val="FootnoteText"/>
      </w:pPr>
      <w:r>
        <w:rPr>
          <w:rStyle w:val="FootnoteReference"/>
        </w:rPr>
        <w:footnoteRef/>
      </w:r>
      <w:r>
        <w:tab/>
        <w:t>Aanbeveling van de Raad van 15 maart 2018 voor een Europees kader voor hoogwaardige en doeltreffende leerlingplaatsen (PB C 153 van 2.5.2018, blz. 1).</w:t>
      </w:r>
    </w:p>
  </w:footnote>
  <w:footnote w:id="22">
    <w:p>
      <w:pPr>
        <w:pStyle w:val="FootnoteText"/>
        <w:rPr>
          <w:rFonts w:eastAsia="Arial Unicode MS" w:cs="Arial Unicode MS"/>
        </w:rPr>
      </w:pPr>
      <w:r>
        <w:rPr>
          <w:rStyle w:val="FootnoteReference"/>
        </w:rPr>
        <w:footnoteRef/>
      </w:r>
      <w:r>
        <w:tab/>
        <w:t>Aanbeveling van de Raad van 20 december 2012 betreffende de validatie van niet-formeel en informeel leren (PB C 398 van 22.12.2012, blz. 1).</w:t>
      </w:r>
    </w:p>
  </w:footnote>
  <w:footnote w:id="23">
    <w:p>
      <w:pPr>
        <w:pStyle w:val="FootnoteText"/>
      </w:pPr>
      <w:r>
        <w:rPr>
          <w:rStyle w:val="FootnoteReference"/>
        </w:rPr>
        <w:footnoteRef/>
      </w:r>
      <w:r>
        <w:tab/>
        <w:t>Mededeling van de Commissie aan het Europees Parlement, de Raad, het Europees Economisch en Sociaal Comité en het Comité van de Regio's — Europees interoperabiliteitskader – Implementatiestrategie (COM(2017) 134 final).</w:t>
      </w:r>
    </w:p>
  </w:footnote>
  <w:footnote w:id="24">
    <w:p>
      <w:pPr>
        <w:pStyle w:val="FootnoteText"/>
      </w:pPr>
      <w:r>
        <w:rPr>
          <w:rStyle w:val="FootnoteReference"/>
        </w:rPr>
        <w:footnoteRef/>
      </w:r>
      <w:r>
        <w:tab/>
        <w:t>[In afwachting van referentie Financieel Reglement].</w:t>
      </w:r>
    </w:p>
  </w:footnote>
  <w:footnote w:id="25">
    <w:p>
      <w:pPr>
        <w:pStyle w:val="FootnoteText"/>
      </w:pPr>
      <w:r>
        <w:rPr>
          <w:rStyle w:val="FootnoteReference"/>
        </w:rPr>
        <w:footnoteRef/>
      </w:r>
      <w:r>
        <w:tab/>
        <w:t>Verordening (EU, Euratom) nr. 883/2013 van het Europees Parlement en de Raad van 11 september 2013 betreffende onderzoeken door het Europees Bureau voor fraudebestrijding (OLAF) (PB L 248 van 18.9.2013, blz. 1).</w:t>
      </w:r>
    </w:p>
  </w:footnote>
  <w:footnote w:id="26">
    <w:p>
      <w:pPr>
        <w:pStyle w:val="FootnoteText"/>
      </w:pPr>
      <w:r>
        <w:rPr>
          <w:rStyle w:val="FootnoteReference"/>
        </w:rPr>
        <w:footnoteRef/>
      </w:r>
      <w:r>
        <w:tab/>
        <w:t>Verordening (Euratom, EG) nr. 2185/96 van de Raad van 11 november 1996 betreffende de controles en verificaties ter plaatse die door de Commissie worden uitgevoerd ter bescherming van de financiële belangen van de Europese Gemeenschappen tegen fraudes en andere onregelmatigheden (PB L 292 van 15.11.1996, blz. 2).</w:t>
      </w:r>
    </w:p>
  </w:footnote>
  <w:footnote w:id="27">
    <w:p>
      <w:pPr>
        <w:pStyle w:val="FootnoteText"/>
      </w:pPr>
      <w:r>
        <w:rPr>
          <w:rStyle w:val="FootnoteReference"/>
        </w:rPr>
        <w:footnoteRef/>
      </w:r>
      <w:r>
        <w:tab/>
        <w:t>Verordening (EU) 2017/1939 van de Raad van 12 oktober 2017 betreffende nauwere samenwerking bij de instelling van het Europees Openbaar Ministerie ("EOM") (PB L 283 van 31.10.2017, blz. 1).</w:t>
      </w:r>
    </w:p>
  </w:footnote>
  <w:footnote w:id="28">
    <w:p>
      <w:pPr>
        <w:pStyle w:val="FootnoteText"/>
      </w:pPr>
      <w:r>
        <w:rPr>
          <w:rStyle w:val="FootnoteReference"/>
        </w:rPr>
        <w:footnoteRef/>
      </w:r>
      <w:r>
        <w:tab/>
        <w:t>Richtlijn (EU) 2017/1371 van het Europees Parlement en de Raad van 5 juli 2017 betreffende de strafrechtelijke bestrijding van fraude die de financiële belangen van de Unie schaadt (PB L 198 van 28.7.2017, blz. 29).</w:t>
      </w:r>
    </w:p>
  </w:footnote>
  <w:footnote w:id="29">
    <w:p>
      <w:pPr>
        <w:pStyle w:val="FootnoteText"/>
      </w:pPr>
      <w:r>
        <w:rPr>
          <w:rStyle w:val="FootnoteReference"/>
        </w:rPr>
        <w:footnoteRef/>
      </w:r>
      <w:r>
        <w:tab/>
        <w:t>Interinstitutioneel Akkoord tussen het Europees Parlement, de Raad van de Europese Unie en de Europese Commissie van 13 april 2016 over beter wetgeven (PB L 123 van 12.5.2016, blz. 1).</w:t>
      </w:r>
    </w:p>
  </w:footnote>
  <w:footnote w:id="30">
    <w:p>
      <w:pPr>
        <w:pStyle w:val="FootnoteText"/>
      </w:pPr>
      <w:r>
        <w:rPr>
          <w:rStyle w:val="FootnoteReference"/>
        </w:rPr>
        <w:footnoteRef/>
      </w:r>
      <w:r>
        <w:tab/>
        <w:t>[In afwachting van referentie nieuw besluit van de Raad betreffende associatie van LGO's].</w:t>
      </w:r>
    </w:p>
  </w:footnote>
  <w:footnote w:id="31">
    <w:p>
      <w:pPr>
        <w:pStyle w:val="FootnoteText"/>
      </w:pPr>
      <w:r>
        <w:rPr>
          <w:rStyle w:val="FootnoteReference"/>
        </w:rPr>
        <w:footnoteRef/>
      </w:r>
      <w:r>
        <w:tab/>
        <w:t>Mededeling van de Commissie aan het Europees Parlement, de Raad, het Europees Economisch en Sociaal Comité en het Comité van de Regio's en de Europese Investeringsbank — Een nieuw en sterker strategisch partnerschap met de ultraperifere gebieden van de EU (COM(2017) 623 final).</w:t>
      </w:r>
    </w:p>
  </w:footnote>
  <w:footnote w:id="32">
    <w:p>
      <w:pPr>
        <w:pStyle w:val="FootnoteText"/>
      </w:pPr>
      <w:r>
        <w:rPr>
          <w:rStyle w:val="FootnoteReference"/>
        </w:rPr>
        <w:footnoteRef/>
      </w:r>
      <w:r>
        <w:tab/>
        <w:t>Richtlijn (EU) 2016/801 van het Europees Parlement en de Raad van 11 mei 2016 betreffende de voorwaarden voor toegang en verblijf van derdelanders met het oog op onderzoek, studie, stages, vrijwilligerswerk, scholierenuitwisseling, educatieve projecten of au-pairactiviteiten (PB L 132 van 21.5.2016, blz. 21).</w:t>
      </w:r>
    </w:p>
  </w:footnote>
  <w:footnote w:id="33">
    <w:p>
      <w:pPr>
        <w:pStyle w:val="FootnoteText"/>
      </w:pPr>
      <w:r>
        <w:rPr>
          <w:rStyle w:val="FootnoteReference"/>
        </w:rPr>
        <w:footnoteRef/>
      </w:r>
      <w:r>
        <w:tab/>
        <w:t>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p>
  </w:footnote>
  <w:footnote w:id="34">
    <w:p>
      <w:pPr>
        <w:pStyle w:val="FootnoteText"/>
      </w:pPr>
      <w:r>
        <w:rPr>
          <w:rStyle w:val="FootnoteReference"/>
        </w:rPr>
        <w:footnoteRef/>
      </w:r>
      <w:r>
        <w:tab/>
        <w:t>Verordening (EG, Euratom) nr. 2988/95 van de Raad van 18 december 1995 betreffende de bescherming van de financiële belangen van de Europese Gemeenschappen (PB L 312 van 23.12.1995, blz. 1).</w:t>
      </w:r>
    </w:p>
  </w:footnote>
  <w:footnote w:id="35">
    <w:p>
      <w:pPr>
        <w:pStyle w:val="FootnoteText"/>
      </w:pPr>
      <w:r>
        <w:rPr>
          <w:rStyle w:val="FootnoteReference"/>
        </w:rPr>
        <w:footnoteRef/>
      </w:r>
      <w:r>
        <w:tab/>
        <w:t>EU-Handvest van de grondrechten (PB C 326 van 26.10.2012, blz. 391).</w:t>
      </w:r>
    </w:p>
  </w:footnote>
  <w:footnote w:id="36">
    <w:p>
      <w:pPr>
        <w:pStyle w:val="FootnoteText"/>
      </w:pPr>
      <w:r>
        <w:rPr>
          <w:rStyle w:val="FootnoteReference"/>
        </w:rPr>
        <w:footnoteRef/>
      </w:r>
      <w:r>
        <w:tab/>
        <w:t>In de zin van artikel 58, lid 2, onder a) of b), van het Financieel Reglement.</w:t>
      </w:r>
    </w:p>
  </w:footnote>
  <w:footnote w:id="37">
    <w:p>
      <w:pPr>
        <w:pStyle w:val="FootnoteText"/>
        <w:jc w:val="left"/>
      </w:pPr>
      <w:r>
        <w:rPr>
          <w:rStyle w:val="FootnoteReference"/>
        </w:rPr>
        <w:footnoteRef/>
      </w:r>
      <w:r>
        <w:tab/>
        <w:t xml:space="preserve">Nadere gegevens over de beheersvormen en verwijzingen naar het Financieel Reglement zijn beschikbaar op BudgWeb: </w:t>
      </w:r>
      <w:hyperlink r:id="rId3">
        <w:r>
          <w:rPr>
            <w:rStyle w:val="Hyperlink0"/>
          </w:rPr>
          <w:t>https://myintracomm.ec.europa.eu/budgweb/EN/man/budgmanag/Pages/budgmanag.aspx</w:t>
        </w:r>
      </w:hyperlink>
      <w:r>
        <w:t xml:space="preserve"> </w:t>
      </w:r>
    </w:p>
  </w:footnote>
  <w:footnote w:id="38">
    <w:p>
      <w:pPr>
        <w:pStyle w:val="FootnoteText"/>
      </w:pPr>
      <w:r>
        <w:rPr>
          <w:rStyle w:val="FootnoteReference"/>
        </w:rPr>
        <w:footnoteRef/>
      </w:r>
      <w:r>
        <w:tab/>
        <w:t>Afhankelijk van het resultaat van de kosten-batenanalyse en de besluiten die in verband daarmee moeten worden genomen kan het programma (deels) worden overgedragen aan een uitvoerend agentschap (EACEA), waarbij de daaraan gerelateerde administratieve kredieten voor de uitvoering van het programma in de Commissie en het uitvoerend agentschap dienovereenkomstig zullen worden aangepast.</w:t>
      </w:r>
    </w:p>
  </w:footnote>
  <w:footnote w:id="39">
    <w:p>
      <w:pPr>
        <w:pStyle w:val="FootnoteText"/>
      </w:pPr>
      <w:r>
        <w:rPr>
          <w:rStyle w:val="FootnoteReference"/>
        </w:rPr>
        <w:footnoteRef/>
      </w:r>
      <w:r>
        <w:tab/>
        <w:t>De geraamde personeelsbehoeften zijn uitsluitend gebaseerd op de huidige situatie (alleen DG EAC) en kunnen verder worden herzien. Raming van het aantal personeelsleden op basis van de personeelsbezetting van de Commissie in 2018 (exclusief het uitvoerend agentschap), met geleidelijke opbouw.</w:t>
      </w:r>
    </w:p>
  </w:footnote>
  <w:footnote w:id="40">
    <w:p>
      <w:pPr>
        <w:pStyle w:val="FootnoteText"/>
        <w:rPr>
          <w:szCs w:val="24"/>
        </w:rPr>
      </w:pPr>
      <w:r>
        <w:rPr>
          <w:rStyle w:val="FootnoteReference"/>
        </w:rPr>
        <w:footnoteRef/>
      </w:r>
      <w:r>
        <w:tab/>
        <w:t>Subplafond voor extern personeel uit beleidskredieten (vroegere "BA"-onderdelen).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90F3F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C72C258"/>
    <w:lvl w:ilvl="0">
      <w:start w:val="1"/>
      <w:numFmt w:val="decimal"/>
      <w:pStyle w:val="ListNumber3"/>
      <w:lvlText w:val="%1."/>
      <w:lvlJc w:val="left"/>
      <w:pPr>
        <w:tabs>
          <w:tab w:val="num" w:pos="926"/>
        </w:tabs>
        <w:ind w:left="926" w:hanging="360"/>
      </w:pPr>
    </w:lvl>
  </w:abstractNum>
  <w:abstractNum w:abstractNumId="2">
    <w:nsid w:val="FFFFFF7F"/>
    <w:multiLevelType w:val="singleLevel"/>
    <w:tmpl w:val="A5949CC0"/>
    <w:lvl w:ilvl="0">
      <w:start w:val="1"/>
      <w:numFmt w:val="decimal"/>
      <w:pStyle w:val="ListNumber2"/>
      <w:lvlText w:val="%1."/>
      <w:lvlJc w:val="left"/>
      <w:pPr>
        <w:tabs>
          <w:tab w:val="num" w:pos="643"/>
        </w:tabs>
        <w:ind w:left="643" w:hanging="360"/>
      </w:pPr>
    </w:lvl>
  </w:abstractNum>
  <w:abstractNum w:abstractNumId="3">
    <w:nsid w:val="FFFFFF81"/>
    <w:multiLevelType w:val="singleLevel"/>
    <w:tmpl w:val="4D4AA0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90E69E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66E858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085F59DF"/>
    <w:multiLevelType w:val="hybridMultilevel"/>
    <w:tmpl w:val="FDF66946"/>
    <w:styleLink w:val="ImportierterStil3"/>
    <w:lvl w:ilvl="0" w:tplc="39721368">
      <w:start w:val="1"/>
      <w:numFmt w:val="bullet"/>
      <w:lvlText w:val="•"/>
      <w:lvlJc w:val="left"/>
      <w:pPr>
        <w:ind w:left="141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A04C5C">
      <w:start w:val="1"/>
      <w:numFmt w:val="bullet"/>
      <w:lvlText w:val="•"/>
      <w:lvlJc w:val="left"/>
      <w:pPr>
        <w:ind w:left="141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D580F50">
      <w:start w:val="1"/>
      <w:numFmt w:val="bullet"/>
      <w:lvlText w:val="•"/>
      <w:lvlJc w:val="left"/>
      <w:pPr>
        <w:ind w:left="141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DFAAF56">
      <w:start w:val="1"/>
      <w:numFmt w:val="bullet"/>
      <w:lvlText w:val="•"/>
      <w:lvlJc w:val="left"/>
      <w:pPr>
        <w:ind w:left="141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82297A">
      <w:start w:val="1"/>
      <w:numFmt w:val="bullet"/>
      <w:lvlText w:val="•"/>
      <w:lvlJc w:val="left"/>
      <w:pPr>
        <w:ind w:left="141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8C65E5C">
      <w:start w:val="1"/>
      <w:numFmt w:val="bullet"/>
      <w:lvlText w:val="•"/>
      <w:lvlJc w:val="left"/>
      <w:pPr>
        <w:ind w:left="141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F582CBE">
      <w:start w:val="1"/>
      <w:numFmt w:val="bullet"/>
      <w:lvlText w:val="•"/>
      <w:lvlJc w:val="left"/>
      <w:pPr>
        <w:ind w:left="141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3CABEE">
      <w:start w:val="1"/>
      <w:numFmt w:val="bullet"/>
      <w:lvlText w:val="•"/>
      <w:lvlJc w:val="left"/>
      <w:pPr>
        <w:ind w:left="141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076E5FC">
      <w:start w:val="1"/>
      <w:numFmt w:val="bullet"/>
      <w:lvlText w:val="•"/>
      <w:lvlJc w:val="left"/>
      <w:pPr>
        <w:ind w:left="141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0761F16"/>
    <w:multiLevelType w:val="hybridMultilevel"/>
    <w:tmpl w:val="678E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B15E4B"/>
    <w:multiLevelType w:val="hybridMultilevel"/>
    <w:tmpl w:val="54CA49AA"/>
    <w:styleLink w:val="ImportierterStil5"/>
    <w:lvl w:ilvl="0" w:tplc="56149334">
      <w:start w:val="1"/>
      <w:numFmt w:val="decimal"/>
      <w:lvlText w:val="(%1)"/>
      <w:lvlJc w:val="left"/>
      <w:pPr>
        <w:ind w:left="850"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1FC9E48">
      <w:start w:val="1"/>
      <w:numFmt w:val="lowerLetter"/>
      <w:lvlText w:val="(%2)"/>
      <w:lvlJc w:val="left"/>
      <w:pPr>
        <w:ind w:left="850"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88CF018">
      <w:start w:val="1"/>
      <w:numFmt w:val="decimal"/>
      <w:lvlText w:val="(%3)"/>
      <w:lvlJc w:val="left"/>
      <w:pPr>
        <w:ind w:left="141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2A8CB22">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FB021F0">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6D609E7E">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C4D4775C">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90B03DF0">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A3A0C344">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73B5D13"/>
    <w:multiLevelType w:val="hybridMultilevel"/>
    <w:tmpl w:val="B394E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AA14E9"/>
    <w:multiLevelType w:val="hybridMultilevel"/>
    <w:tmpl w:val="AA12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nsid w:val="22E2774F"/>
    <w:multiLevelType w:val="hybridMultilevel"/>
    <w:tmpl w:val="C22E03B2"/>
    <w:styleLink w:val="ImportierterStil10"/>
    <w:lvl w:ilvl="0" w:tplc="03F41D94">
      <w:start w:val="1"/>
      <w:numFmt w:val="bullet"/>
      <w:lvlText w:val="–"/>
      <w:lvlJc w:val="left"/>
      <w:pPr>
        <w:tabs>
          <w:tab w:val="num" w:pos="709"/>
          <w:tab w:val="left" w:pos="1843"/>
        </w:tabs>
        <w:ind w:left="992" w:hanging="992"/>
      </w:pPr>
      <w:rPr>
        <w:rFonts w:hAnsi="Arial Unicode MS"/>
        <w:caps w:val="0"/>
        <w:smallCaps w:val="0"/>
        <w:strike w:val="0"/>
        <w:dstrike w:val="0"/>
        <w:outline w:val="0"/>
        <w:emboss w:val="0"/>
        <w:imprint w:val="0"/>
        <w:spacing w:val="0"/>
        <w:w w:val="100"/>
        <w:kern w:val="0"/>
        <w:position w:val="0"/>
        <w:highlight w:val="none"/>
        <w:vertAlign w:val="baseline"/>
      </w:rPr>
    </w:lvl>
    <w:lvl w:ilvl="1" w:tplc="1B32C0D8">
      <w:start w:val="1"/>
      <w:numFmt w:val="bullet"/>
      <w:lvlText w:val="–"/>
      <w:lvlJc w:val="left"/>
      <w:pPr>
        <w:tabs>
          <w:tab w:val="num" w:pos="1418"/>
          <w:tab w:val="left" w:pos="1843"/>
        </w:tabs>
        <w:ind w:left="1701" w:hanging="992"/>
      </w:pPr>
      <w:rPr>
        <w:rFonts w:hAnsi="Arial Unicode MS"/>
        <w:caps w:val="0"/>
        <w:smallCaps w:val="0"/>
        <w:strike w:val="0"/>
        <w:dstrike w:val="0"/>
        <w:outline w:val="0"/>
        <w:emboss w:val="0"/>
        <w:imprint w:val="0"/>
        <w:spacing w:val="0"/>
        <w:w w:val="100"/>
        <w:kern w:val="0"/>
        <w:position w:val="0"/>
        <w:highlight w:val="none"/>
        <w:vertAlign w:val="baseline"/>
      </w:rPr>
    </w:lvl>
    <w:lvl w:ilvl="2" w:tplc="BFA25342">
      <w:start w:val="1"/>
      <w:numFmt w:val="bullet"/>
      <w:lvlText w:val="–"/>
      <w:lvlJc w:val="left"/>
      <w:pPr>
        <w:tabs>
          <w:tab w:val="num" w:pos="1843"/>
        </w:tabs>
        <w:ind w:left="2126" w:hanging="7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034AF3E">
      <w:start w:val="1"/>
      <w:numFmt w:val="bullet"/>
      <w:lvlText w:val="•"/>
      <w:lvlJc w:val="left"/>
      <w:pPr>
        <w:tabs>
          <w:tab w:val="left" w:pos="1843"/>
          <w:tab w:val="num" w:pos="2835"/>
        </w:tabs>
        <w:ind w:left="3118"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2A84F0A">
      <w:start w:val="1"/>
      <w:numFmt w:val="bullet"/>
      <w:lvlText w:val="•"/>
      <w:lvlJc w:val="left"/>
      <w:pPr>
        <w:tabs>
          <w:tab w:val="left" w:pos="1843"/>
          <w:tab w:val="num" w:pos="3544"/>
        </w:tabs>
        <w:ind w:left="3827"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A12DF0C">
      <w:start w:val="1"/>
      <w:numFmt w:val="bullet"/>
      <w:lvlText w:val="•"/>
      <w:lvlJc w:val="left"/>
      <w:pPr>
        <w:tabs>
          <w:tab w:val="left" w:pos="1843"/>
          <w:tab w:val="num" w:pos="4252"/>
        </w:tabs>
        <w:ind w:left="4535"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D32DEF0">
      <w:start w:val="1"/>
      <w:numFmt w:val="bullet"/>
      <w:lvlText w:val="•"/>
      <w:lvlJc w:val="left"/>
      <w:pPr>
        <w:tabs>
          <w:tab w:val="left" w:pos="1843"/>
          <w:tab w:val="num" w:pos="4961"/>
        </w:tabs>
        <w:ind w:left="5244"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6641C">
      <w:start w:val="1"/>
      <w:numFmt w:val="bullet"/>
      <w:lvlText w:val="•"/>
      <w:lvlJc w:val="left"/>
      <w:pPr>
        <w:tabs>
          <w:tab w:val="left" w:pos="1843"/>
          <w:tab w:val="num" w:pos="5670"/>
        </w:tabs>
        <w:ind w:left="5953"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3680968">
      <w:start w:val="1"/>
      <w:numFmt w:val="bullet"/>
      <w:lvlText w:val="•"/>
      <w:lvlJc w:val="left"/>
      <w:pPr>
        <w:tabs>
          <w:tab w:val="left" w:pos="1843"/>
          <w:tab w:val="num" w:pos="6378"/>
        </w:tabs>
        <w:ind w:left="6661" w:hanging="9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7">
    <w:nsid w:val="3289744A"/>
    <w:multiLevelType w:val="multilevel"/>
    <w:tmpl w:val="82161D56"/>
    <w:styleLink w:val="ImportierterStil6"/>
    <w:lvl w:ilvl="0">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61973DA"/>
    <w:multiLevelType w:val="hybridMultilevel"/>
    <w:tmpl w:val="619E7A80"/>
    <w:styleLink w:val="ImportierterStil9"/>
    <w:lvl w:ilvl="0" w:tplc="16AE92E8">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0A2E94">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C22AE60">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AF688A4">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248186E">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C0C9ED6">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76EF6FA">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34C366">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234C082">
      <w:start w:val="1"/>
      <w:numFmt w:val="bullet"/>
      <w:lvlText w:val="–"/>
      <w:lvlJc w:val="left"/>
      <w:pPr>
        <w:ind w:left="1134"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3">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4">
    <w:nsid w:val="4E18265C"/>
    <w:multiLevelType w:val="hybridMultilevel"/>
    <w:tmpl w:val="619E7A80"/>
    <w:numStyleLink w:val="ImportierterStil9"/>
  </w:abstractNum>
  <w:abstractNum w:abstractNumId="2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nsid w:val="588372A4"/>
    <w:multiLevelType w:val="hybridMultilevel"/>
    <w:tmpl w:val="BAA4AA48"/>
    <w:styleLink w:val="ImportierterStil2"/>
    <w:lvl w:ilvl="0" w:tplc="2940037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DE983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B3AE1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9E053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34466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D9853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B3EB5A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24EBC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472E7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3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7851AA3"/>
    <w:multiLevelType w:val="hybridMultilevel"/>
    <w:tmpl w:val="22F20CFC"/>
    <w:styleLink w:val="ImportierterStil8"/>
    <w:lvl w:ilvl="0" w:tplc="813A1E48">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B54541A">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948AA8">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0AE18FC">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5CA6EE8">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C703800">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208ABD0">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984918C">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14E339E">
      <w:start w:val="1"/>
      <w:numFmt w:val="bullet"/>
      <w:lvlText w:val="–"/>
      <w:lvlJc w:val="left"/>
      <w:pPr>
        <w:ind w:left="1160"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4">
    <w:nsid w:val="6DE7753A"/>
    <w:multiLevelType w:val="multilevel"/>
    <w:tmpl w:val="04D4A280"/>
    <w:styleLink w:val="ImportierterStil1"/>
    <w:lvl w:ilvl="0">
      <w:start w:val="1"/>
      <w:numFmt w:val="decimal"/>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nsid w:val="6F1C5530"/>
    <w:multiLevelType w:val="hybridMultilevel"/>
    <w:tmpl w:val="A79A5E10"/>
    <w:styleLink w:val="ImportierterStil7"/>
    <w:lvl w:ilvl="0" w:tplc="E38AC6D0">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9D10F4D4">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8F293F6">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C00C0FE8">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C800080">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A883F12">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274045A4">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5B63284">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4C1A1568">
      <w:start w:val="1"/>
      <w:numFmt w:val="bullet"/>
      <w:lvlText w:val="–"/>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5AE6B09"/>
    <w:multiLevelType w:val="hybridMultilevel"/>
    <w:tmpl w:val="FFB8E32C"/>
    <w:styleLink w:val="ImportierterStil4"/>
    <w:lvl w:ilvl="0" w:tplc="9BF69B90">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7A22090A">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25EE9DA6">
      <w:start w:val="1"/>
      <w:numFmt w:val="decimal"/>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58CC01AE">
      <w:start w:val="1"/>
      <w:numFmt w:val="decimal"/>
      <w:lvlText w:val="(%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D49ABFA4">
      <w:start w:val="1"/>
      <w:numFmt w:val="decimal"/>
      <w:lvlText w:val="(%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72824A80">
      <w:start w:val="1"/>
      <w:numFmt w:val="decimal"/>
      <w:lvlText w:val="(%6)"/>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750E00C2">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6F185080">
      <w:start w:val="1"/>
      <w:numFmt w:val="decimal"/>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BA16802C">
      <w:start w:val="1"/>
      <w:numFmt w:val="decimal"/>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23"/>
  </w:num>
  <w:num w:numId="3">
    <w:abstractNumId w:val="22"/>
  </w:num>
  <w:num w:numId="4">
    <w:abstractNumId w:val="36"/>
  </w:num>
  <w:num w:numId="5">
    <w:abstractNumId w:val="30"/>
  </w:num>
  <w:num w:numId="6">
    <w:abstractNumId w:val="26"/>
  </w:num>
  <w:num w:numId="7">
    <w:abstractNumId w:val="7"/>
  </w:num>
  <w:num w:numId="8">
    <w:abstractNumId w:val="37"/>
  </w:num>
  <w:num w:numId="9">
    <w:abstractNumId w:val="38"/>
    <w:lvlOverride w:ilvl="0">
      <w:startOverride w:val="1"/>
    </w:lvlOverride>
  </w:num>
  <w:num w:numId="10">
    <w:abstractNumId w:val="9"/>
  </w:num>
  <w:num w:numId="11">
    <w:abstractNumId w:val="17"/>
  </w:num>
  <w:num w:numId="12">
    <w:abstractNumId w:val="14"/>
    <w:lvlOverride w:ilvl="0">
      <w:startOverride w:val="1"/>
    </w:lvlOverride>
  </w:num>
  <w:num w:numId="13">
    <w:abstractNumId w:val="14"/>
    <w:lvlOverride w:ilvl="0">
      <w:startOverride w:val="2"/>
    </w:lvlOverride>
  </w:num>
  <w:num w:numId="14">
    <w:abstractNumId w:val="14"/>
    <w:lvlOverride w:ilvl="0">
      <w:startOverride w:val="3"/>
    </w:lvlOverride>
  </w:num>
  <w:num w:numId="15">
    <w:abstractNumId w:val="14"/>
    <w:lvlOverride w:ilvl="0">
      <w:startOverride w:val="1"/>
    </w:lvlOverride>
  </w:num>
  <w:num w:numId="16">
    <w:abstractNumId w:val="14"/>
    <w:lvlOverride w:ilvl="0">
      <w:startOverride w:val="2"/>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35"/>
  </w:num>
  <w:num w:numId="26">
    <w:abstractNumId w:val="33"/>
    <w:lvlOverride w:ilvl="0">
      <w:startOverride w:val="1"/>
    </w:lvlOverride>
  </w:num>
  <w:num w:numId="27">
    <w:abstractNumId w:val="14"/>
    <w:lvlOverride w:ilvl="0">
      <w:startOverride w:val="3"/>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4"/>
    <w:lvlOverride w:ilvl="0">
      <w:startOverride w:val="2"/>
    </w:lvlOverride>
  </w:num>
  <w:num w:numId="35">
    <w:abstractNumId w:val="14"/>
    <w:lvlOverride w:ilvl="0">
      <w:startOverride w:val="3"/>
    </w:lvlOverride>
  </w:num>
  <w:num w:numId="36">
    <w:abstractNumId w:val="14"/>
    <w:lvlOverride w:ilvl="0">
      <w:startOverride w:val="1"/>
    </w:lvlOverride>
  </w:num>
  <w:num w:numId="37">
    <w:abstractNumId w:val="14"/>
    <w:lvlOverride w:ilvl="0">
      <w:startOverride w:val="4"/>
    </w:lvlOverride>
  </w:num>
  <w:num w:numId="38">
    <w:abstractNumId w:val="14"/>
    <w:lvlOverride w:ilvl="0">
      <w:startOverride w:val="1"/>
    </w:lvlOverride>
  </w:num>
  <w:num w:numId="39">
    <w:abstractNumId w:val="14"/>
    <w:lvlOverride w:ilvl="0">
      <w:startOverride w:val="1"/>
    </w:lvlOverride>
  </w:num>
  <w:num w:numId="40">
    <w:abstractNumId w:val="14"/>
    <w:lvlOverride w:ilvl="0">
      <w:startOverride w:val="1"/>
    </w:lvlOverride>
  </w:num>
  <w:num w:numId="41">
    <w:abstractNumId w:val="14"/>
    <w:lvlOverride w:ilvl="0">
      <w:startOverride w:val="1"/>
    </w:lvlOverride>
  </w:num>
  <w:num w:numId="42">
    <w:abstractNumId w:val="14"/>
    <w:lvlOverride w:ilvl="0">
      <w:startOverride w:val="1"/>
    </w:lvlOverride>
  </w:num>
  <w:num w:numId="43">
    <w:abstractNumId w:val="34"/>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21"/>
  </w:num>
  <w:num w:numId="47">
    <w:abstractNumId w:val="24"/>
  </w:num>
  <w:num w:numId="48">
    <w:abstractNumId w:val="13"/>
  </w:num>
  <w:num w:numId="49">
    <w:abstractNumId w:val="8"/>
  </w:num>
  <w:num w:numId="50">
    <w:abstractNumId w:val="10"/>
  </w:num>
  <w:num w:numId="51">
    <w:abstractNumId w:val="11"/>
  </w:num>
  <w:num w:numId="52">
    <w:abstractNumId w:val="5"/>
  </w:num>
  <w:num w:numId="53">
    <w:abstractNumId w:val="4"/>
  </w:num>
  <w:num w:numId="54">
    <w:abstractNumId w:val="3"/>
  </w:num>
  <w:num w:numId="55">
    <w:abstractNumId w:val="2"/>
  </w:num>
  <w:num w:numId="56">
    <w:abstractNumId w:val="1"/>
  </w:num>
  <w:num w:numId="57">
    <w:abstractNumId w:val="0"/>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num>
  <w:num w:numId="61">
    <w:abstractNumId w:val="18"/>
  </w:num>
  <w:num w:numId="62">
    <w:abstractNumId w:val="33"/>
  </w:num>
  <w:num w:numId="63">
    <w:abstractNumId w:val="16"/>
  </w:num>
  <w:num w:numId="64">
    <w:abstractNumId w:val="19"/>
  </w:num>
  <w:num w:numId="65">
    <w:abstractNumId w:val="14"/>
  </w:num>
  <w:num w:numId="66">
    <w:abstractNumId w:val="31"/>
  </w:num>
  <w:num w:numId="67">
    <w:abstractNumId w:val="12"/>
  </w:num>
  <w:num w:numId="68">
    <w:abstractNumId w:val="20"/>
  </w:num>
  <w:num w:numId="69">
    <w:abstractNumId w:val="27"/>
  </w:num>
  <w:num w:numId="70">
    <w:abstractNumId w:val="28"/>
  </w:num>
  <w:num w:numId="71">
    <w:abstractNumId w:val="15"/>
  </w:num>
  <w:num w:numId="72">
    <w:abstractNumId w:val="25"/>
  </w:num>
  <w:num w:numId="73">
    <w:abstractNumId w:val="3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4 09:23:4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20"/>
    <w:docVar w:name="DQCStatus" w:val="Green"/>
    <w:docVar w:name="DQCVersion" w:val="3"/>
    <w:docVar w:name="DQCWithWarnings" w:val="0"/>
    <w:docVar w:name="LW_CORRIGENDUM" w:val="&lt;UNUSED&gt;"/>
    <w:docVar w:name="LW_COVERPAGE_EXISTS" w:val="True"/>
    <w:docVar w:name="LW_COVERPAGE_GUID" w:val="D58C914F-FBC1-4ECC-9CB6-FB13716FBDCE"/>
    <w:docVar w:name="LW_COVERPAGE_TYPE" w:val="1"/>
    <w:docVar w:name="LW_CROSSREFERENCE" w:val="{SWD(2018) 317 final}_x000b_{SWD(2018) 318 final}_x000b_{SWD(2018) 319 final}"/>
    <w:docVar w:name="LW_DocType" w:val="COM"/>
    <w:docVar w:name="LW_EMISSION" w:val="11.6.2018"/>
    <w:docVar w:name="LW_EMISSION_ISODATE" w:val="2018-06-11"/>
    <w:docVar w:name="LW_EMISSION_LOCATION" w:val="BRX"/>
    <w:docVar w:name="LW_EMISSION_PREFIX" w:val="Brusse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Voor de EER relevante teks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230"/>
    <w:docVar w:name="LW_REF.II.NEW.CP_YEAR" w:val="2018"/>
    <w:docVar w:name="LW_REF.INST.NEW" w:val="COM"/>
    <w:docVar w:name="LW_REF.INST.NEW_ADOPTED" w:val="final"/>
    <w:docVar w:name="LW_REF.INST.NEW_TEXT" w:val="(2018) 4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tot vaststelling van het programma &quot;Europees Solidariteitskorps&quot; en tot intrekking van [verordening inzake het Europees Solidariteitskorps] en Verordening (EU) nr. 375/2014"/>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customStyle="1" w:styleId="Kopf-undFuzeilen">
    <w:name w:val="Kopf- und Fußzeilen"/>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Text">
    <w:name w:val="Text"/>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character" w:customStyle="1" w:styleId="Hyperlink0">
    <w:name w:val="Hyperlink.0"/>
    <w:basedOn w:val="Hyperlink"/>
    <w:rPr>
      <w:color w:val="0000FF"/>
      <w:u w:val="single" w:color="0000FF"/>
    </w:rPr>
  </w:style>
  <w:style w:type="numbering" w:customStyle="1" w:styleId="ImportierterStil2">
    <w:name w:val="Importierter Stil: 2"/>
    <w:pPr>
      <w:numPr>
        <w:numId w:val="6"/>
      </w:numPr>
    </w:pPr>
  </w:style>
  <w:style w:type="numbering" w:customStyle="1" w:styleId="ImportierterStil3">
    <w:name w:val="Importierter Stil: 3"/>
    <w:pPr>
      <w:numPr>
        <w:numId w:val="7"/>
      </w:numPr>
    </w:pPr>
  </w:style>
  <w:style w:type="numbering" w:customStyle="1" w:styleId="ImportierterStil4">
    <w:name w:val="Importierter Stil: 4"/>
    <w:pPr>
      <w:numPr>
        <w:numId w:val="8"/>
      </w:numPr>
    </w:pPr>
  </w:style>
  <w:style w:type="paragraph" w:customStyle="1" w:styleId="TitrearticleA">
    <w:name w:val="Titre article A"/>
    <w:next w:val="Text"/>
    <w:pPr>
      <w:keepNext/>
      <w:pBdr>
        <w:top w:val="nil"/>
        <w:left w:val="nil"/>
        <w:bottom w:val="nil"/>
        <w:right w:val="nil"/>
        <w:between w:val="nil"/>
        <w:bar w:val="nil"/>
      </w:pBdr>
      <w:spacing w:before="360" w:after="120" w:line="240" w:lineRule="auto"/>
      <w:jc w:val="center"/>
    </w:pPr>
    <w:rPr>
      <w:rFonts w:ascii="Times New Roman" w:eastAsia="Arial Unicode MS" w:hAnsi="Times New Roman" w:cs="Arial Unicode MS"/>
      <w:i/>
      <w:iCs/>
      <w:color w:val="000000"/>
      <w:sz w:val="24"/>
      <w:szCs w:val="24"/>
      <w:u w:color="000000"/>
      <w:bdr w:val="nil"/>
    </w:rPr>
  </w:style>
  <w:style w:type="numbering" w:customStyle="1" w:styleId="ImportierterStil5">
    <w:name w:val="Importierter Stil: 5"/>
    <w:pPr>
      <w:numPr>
        <w:numId w:val="10"/>
      </w:numPr>
    </w:pPr>
  </w:style>
  <w:style w:type="numbering" w:customStyle="1" w:styleId="ImportierterStil6">
    <w:name w:val="Importierter Stil: 6"/>
    <w:pPr>
      <w:numPr>
        <w:numId w:val="11"/>
      </w:numPr>
    </w:pPr>
  </w:style>
  <w:style w:type="numbering" w:customStyle="1" w:styleId="ImportierterStil7">
    <w:name w:val="Importierter Stil: 7"/>
    <w:pPr>
      <w:numPr>
        <w:numId w:val="25"/>
      </w:numPr>
    </w:pPr>
  </w:style>
  <w:style w:type="paragraph" w:customStyle="1" w:styleId="TitrearticleB">
    <w:name w:val="Titre article B"/>
    <w:next w:val="Text"/>
    <w:pPr>
      <w:keepNext/>
      <w:pBdr>
        <w:top w:val="nil"/>
        <w:left w:val="nil"/>
        <w:bottom w:val="nil"/>
        <w:right w:val="nil"/>
        <w:between w:val="nil"/>
        <w:bar w:val="nil"/>
      </w:pBdr>
      <w:spacing w:before="360" w:after="120" w:line="240" w:lineRule="auto"/>
      <w:jc w:val="center"/>
    </w:pPr>
    <w:rPr>
      <w:rFonts w:ascii="Times New Roman" w:eastAsia="Arial Unicode MS" w:hAnsi="Times New Roman" w:cs="Arial Unicode MS"/>
      <w:i/>
      <w:iCs/>
      <w:color w:val="000000"/>
      <w:sz w:val="24"/>
      <w:szCs w:val="24"/>
      <w:u w:color="000000"/>
      <w:bdr w:val="nil"/>
    </w:rPr>
  </w:style>
  <w:style w:type="paragraph" w:customStyle="1" w:styleId="TitrearticleC">
    <w:name w:val="Titre article C"/>
    <w:next w:val="Text"/>
    <w:pPr>
      <w:keepNext/>
      <w:pBdr>
        <w:top w:val="nil"/>
        <w:left w:val="nil"/>
        <w:bottom w:val="nil"/>
        <w:right w:val="nil"/>
        <w:between w:val="nil"/>
        <w:bar w:val="nil"/>
      </w:pBdr>
      <w:spacing w:before="360" w:after="120" w:line="240" w:lineRule="auto"/>
      <w:jc w:val="center"/>
    </w:pPr>
    <w:rPr>
      <w:rFonts w:ascii="Times New Roman" w:eastAsia="Arial Unicode MS" w:hAnsi="Times New Roman" w:cs="Arial Unicode MS"/>
      <w:i/>
      <w:iCs/>
      <w:color w:val="000000"/>
      <w:sz w:val="24"/>
      <w:szCs w:val="24"/>
      <w:u w:color="000000"/>
      <w:bdr w:val="nil"/>
    </w:rPr>
  </w:style>
  <w:style w:type="paragraph" w:customStyle="1" w:styleId="TitrearticleD">
    <w:name w:val="Titre article D"/>
    <w:next w:val="Text"/>
    <w:pPr>
      <w:keepNext/>
      <w:pBdr>
        <w:top w:val="nil"/>
        <w:left w:val="nil"/>
        <w:bottom w:val="nil"/>
        <w:right w:val="nil"/>
        <w:between w:val="nil"/>
        <w:bar w:val="nil"/>
      </w:pBdr>
      <w:spacing w:before="360" w:after="120" w:line="240" w:lineRule="auto"/>
      <w:jc w:val="center"/>
    </w:pPr>
    <w:rPr>
      <w:rFonts w:ascii="Times New Roman" w:eastAsia="Arial Unicode MS" w:hAnsi="Times New Roman" w:cs="Arial Unicode MS"/>
      <w:i/>
      <w:iCs/>
      <w:color w:val="000000"/>
      <w:sz w:val="24"/>
      <w:szCs w:val="24"/>
      <w:u w:color="000000"/>
      <w:bdr w:val="nil"/>
    </w:rPr>
  </w:style>
  <w:style w:type="paragraph" w:customStyle="1" w:styleId="berschrift">
    <w:name w:val="Überschrift"/>
    <w:next w:val="Text1"/>
    <w:pPr>
      <w:keepNext/>
      <w:pBdr>
        <w:top w:val="nil"/>
        <w:left w:val="nil"/>
        <w:bottom w:val="nil"/>
        <w:right w:val="nil"/>
        <w:between w:val="nil"/>
        <w:bar w:val="nil"/>
      </w:pBdr>
      <w:tabs>
        <w:tab w:val="left" w:pos="850"/>
      </w:tabs>
      <w:spacing w:before="360" w:after="120" w:line="240" w:lineRule="auto"/>
      <w:jc w:val="both"/>
      <w:outlineLvl w:val="0"/>
    </w:pPr>
    <w:rPr>
      <w:rFonts w:ascii="Times New Roman" w:eastAsia="Arial Unicode MS" w:hAnsi="Times New Roman" w:cs="Arial Unicode MS"/>
      <w:b/>
      <w:bCs/>
      <w:smallCaps/>
      <w:color w:val="000000"/>
      <w:sz w:val="24"/>
      <w:szCs w:val="24"/>
      <w:u w:color="000000"/>
      <w:bdr w:val="nil"/>
    </w:rPr>
  </w:style>
  <w:style w:type="numbering" w:customStyle="1" w:styleId="ImportierterStil1">
    <w:name w:val="Importierter Stil: 1"/>
    <w:pPr>
      <w:numPr>
        <w:numId w:val="43"/>
      </w:numPr>
    </w:pPr>
  </w:style>
  <w:style w:type="paragraph" w:customStyle="1" w:styleId="berschrift2">
    <w:name w:val="Überschrift 2"/>
    <w:next w:val="Text1"/>
    <w:pPr>
      <w:keepNext/>
      <w:pBdr>
        <w:top w:val="nil"/>
        <w:left w:val="nil"/>
        <w:bottom w:val="nil"/>
        <w:right w:val="nil"/>
        <w:between w:val="nil"/>
        <w:bar w:val="nil"/>
      </w:pBdr>
      <w:tabs>
        <w:tab w:val="left" w:pos="850"/>
      </w:tabs>
      <w:spacing w:before="120" w:after="120" w:line="240" w:lineRule="auto"/>
      <w:jc w:val="both"/>
      <w:outlineLvl w:val="1"/>
    </w:pPr>
    <w:rPr>
      <w:rFonts w:ascii="Times New Roman" w:eastAsia="Arial Unicode MS" w:hAnsi="Times New Roman" w:cs="Arial Unicode MS"/>
      <w:b/>
      <w:bCs/>
      <w:color w:val="000000"/>
      <w:sz w:val="24"/>
      <w:szCs w:val="24"/>
      <w:u w:color="000000"/>
      <w:bdr w:val="nil"/>
    </w:rPr>
  </w:style>
  <w:style w:type="paragraph" w:customStyle="1" w:styleId="berschrift3">
    <w:name w:val="Überschrift 3"/>
    <w:next w:val="Text1"/>
    <w:pPr>
      <w:keepNext/>
      <w:pBdr>
        <w:top w:val="nil"/>
        <w:left w:val="nil"/>
        <w:bottom w:val="nil"/>
        <w:right w:val="nil"/>
        <w:between w:val="nil"/>
        <w:bar w:val="nil"/>
      </w:pBdr>
      <w:tabs>
        <w:tab w:val="left" w:pos="850"/>
      </w:tabs>
      <w:spacing w:before="120" w:after="120" w:line="240" w:lineRule="auto"/>
      <w:jc w:val="both"/>
      <w:outlineLvl w:val="2"/>
    </w:pPr>
    <w:rPr>
      <w:rFonts w:ascii="Times New Roman" w:eastAsia="Arial Unicode MS" w:hAnsi="Times New Roman" w:cs="Arial Unicode MS"/>
      <w:i/>
      <w:iCs/>
      <w:color w:val="000000"/>
      <w:sz w:val="24"/>
      <w:szCs w:val="24"/>
      <w:u w:color="000000"/>
      <w:bdr w:val="nil"/>
    </w:rPr>
  </w:style>
  <w:style w:type="numbering" w:customStyle="1" w:styleId="ImportierterStil8">
    <w:name w:val="Importierter Stil: 8"/>
    <w:pPr>
      <w:numPr>
        <w:numId w:val="45"/>
      </w:numPr>
    </w:pPr>
  </w:style>
  <w:style w:type="numbering" w:customStyle="1" w:styleId="ImportierterStil9">
    <w:name w:val="Importierter Stil: 9"/>
    <w:pPr>
      <w:numPr>
        <w:numId w:val="46"/>
      </w:numPr>
    </w:pPr>
  </w:style>
  <w:style w:type="numbering" w:customStyle="1" w:styleId="ImportierterStil10">
    <w:name w:val="Importierter Stil: 10"/>
    <w:pPr>
      <w:numPr>
        <w:numId w:val="48"/>
      </w:numPr>
    </w:pPr>
  </w:style>
  <w:style w:type="paragraph" w:styleId="BalloonText">
    <w:name w:val="Balloon Text"/>
    <w:basedOn w:val="Normal"/>
    <w:link w:val="BalloonTextChar"/>
    <w:uiPriority w:val="99"/>
    <w:semiHidden/>
    <w:unhideWhenUsed/>
    <w:pPr>
      <w:pBdr>
        <w:top w:val="nil"/>
        <w:left w:val="nil"/>
        <w:bottom w:val="nil"/>
        <w:right w:val="nil"/>
        <w:between w:val="nil"/>
        <w:bar w:val="nil"/>
      </w:pBdr>
      <w:spacing w:before="0" w:after="0"/>
      <w:jc w:val="left"/>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Pr>
      <w:rFonts w:ascii="Tahoma" w:eastAsia="Arial Unicode MS" w:hAnsi="Tahoma" w:cs="Tahoma"/>
      <w:sz w:val="16"/>
      <w:szCs w:val="16"/>
      <w:bdr w:val="ni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spacing w:before="0" w:after="0"/>
      <w:jc w:val="left"/>
    </w:pPr>
    <w:rPr>
      <w:rFonts w:eastAsia="Arial Unicode MS"/>
      <w:sz w:val="20"/>
      <w:szCs w:val="20"/>
      <w:bdr w:val="nil"/>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Arial Unicode MS" w:hAnsi="Times New Roman" w:cs="Times New Roman"/>
      <w:b/>
      <w:bCs/>
      <w:sz w:val="20"/>
      <w:szCs w:val="20"/>
      <w:bdr w:val="ni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52"/>
      </w:numPr>
      <w:contextualSpacing/>
    </w:pPr>
  </w:style>
  <w:style w:type="paragraph" w:styleId="ListBullet3">
    <w:name w:val="List Bullet 3"/>
    <w:basedOn w:val="Normal"/>
    <w:uiPriority w:val="99"/>
    <w:semiHidden/>
    <w:unhideWhenUsed/>
    <w:pPr>
      <w:numPr>
        <w:numId w:val="53"/>
      </w:numPr>
      <w:contextualSpacing/>
    </w:pPr>
  </w:style>
  <w:style w:type="paragraph" w:styleId="ListBullet4">
    <w:name w:val="List Bullet 4"/>
    <w:basedOn w:val="Normal"/>
    <w:uiPriority w:val="99"/>
    <w:semiHidden/>
    <w:unhideWhenUsed/>
    <w:pPr>
      <w:numPr>
        <w:numId w:val="54"/>
      </w:numPr>
      <w:contextualSpacing/>
    </w:pPr>
  </w:style>
  <w:style w:type="paragraph" w:styleId="ListNumber2">
    <w:name w:val="List Number 2"/>
    <w:basedOn w:val="Normal"/>
    <w:uiPriority w:val="99"/>
    <w:semiHidden/>
    <w:unhideWhenUsed/>
    <w:pPr>
      <w:numPr>
        <w:numId w:val="55"/>
      </w:numPr>
      <w:contextualSpacing/>
    </w:pPr>
  </w:style>
  <w:style w:type="paragraph" w:styleId="ListNumber3">
    <w:name w:val="List Number 3"/>
    <w:basedOn w:val="Normal"/>
    <w:uiPriority w:val="99"/>
    <w:semiHidden/>
    <w:unhideWhenUsed/>
    <w:pPr>
      <w:numPr>
        <w:numId w:val="56"/>
      </w:numPr>
      <w:contextualSpacing/>
    </w:pPr>
  </w:style>
  <w:style w:type="paragraph" w:styleId="ListNumber4">
    <w:name w:val="List Number 4"/>
    <w:basedOn w:val="Normal"/>
    <w:uiPriority w:val="99"/>
    <w:semiHidden/>
    <w:unhideWhenUsed/>
    <w:pPr>
      <w:numPr>
        <w:numId w:val="57"/>
      </w:numPr>
      <w:contextualSpacing/>
    </w:pPr>
  </w:style>
  <w:style w:type="paragraph" w:styleId="NormalIndent">
    <w:name w:val="Normal Indent"/>
    <w:basedOn w:val="Normal"/>
    <w:uiPriority w:val="99"/>
    <w:unhideWhenUsed/>
    <w:pPr>
      <w:ind w:left="720"/>
    </w:pPr>
  </w:style>
  <w:style w:type="paragraph" w:customStyle="1" w:styleId="Noraml">
    <w:name w:val="Noraml"/>
    <w:basedOn w:val="Text"/>
    <w:rPr>
      <w:rFonts w:eastAsia="Arial Unicode MS"/>
      <w:color w:val="auto"/>
      <w:sz w:val="20"/>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0"/>
      </w:numPr>
    </w:pPr>
  </w:style>
  <w:style w:type="paragraph" w:customStyle="1" w:styleId="Tiret1">
    <w:name w:val="Tiret 1"/>
    <w:basedOn w:val="Point1"/>
    <w:pPr>
      <w:numPr>
        <w:numId w:val="61"/>
      </w:numPr>
    </w:pPr>
  </w:style>
  <w:style w:type="paragraph" w:customStyle="1" w:styleId="Tiret2">
    <w:name w:val="Tiret 2"/>
    <w:basedOn w:val="Point2"/>
    <w:pPr>
      <w:numPr>
        <w:numId w:val="62"/>
      </w:numPr>
    </w:pPr>
  </w:style>
  <w:style w:type="paragraph" w:customStyle="1" w:styleId="Tiret3">
    <w:name w:val="Tiret 3"/>
    <w:basedOn w:val="Point3"/>
    <w:pPr>
      <w:numPr>
        <w:numId w:val="63"/>
      </w:numPr>
    </w:pPr>
  </w:style>
  <w:style w:type="paragraph" w:customStyle="1" w:styleId="Tiret4">
    <w:name w:val="Tiret 4"/>
    <w:basedOn w:val="Point4"/>
    <w:pPr>
      <w:numPr>
        <w:numId w:val="6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5"/>
      </w:numPr>
    </w:pPr>
  </w:style>
  <w:style w:type="paragraph" w:customStyle="1" w:styleId="NumPar2">
    <w:name w:val="NumPar 2"/>
    <w:basedOn w:val="Normal"/>
    <w:next w:val="Text1"/>
    <w:pPr>
      <w:numPr>
        <w:ilvl w:val="1"/>
        <w:numId w:val="65"/>
      </w:numPr>
    </w:pPr>
  </w:style>
  <w:style w:type="paragraph" w:customStyle="1" w:styleId="NumPar3">
    <w:name w:val="NumPar 3"/>
    <w:basedOn w:val="Normal"/>
    <w:next w:val="Text1"/>
    <w:pPr>
      <w:numPr>
        <w:ilvl w:val="2"/>
        <w:numId w:val="65"/>
      </w:numPr>
    </w:pPr>
  </w:style>
  <w:style w:type="paragraph" w:customStyle="1" w:styleId="NumPar4">
    <w:name w:val="NumPar 4"/>
    <w:basedOn w:val="Normal"/>
    <w:next w:val="Text1"/>
    <w:pPr>
      <w:numPr>
        <w:ilvl w:val="3"/>
        <w:numId w:val="6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7"/>
      </w:numPr>
    </w:pPr>
  </w:style>
  <w:style w:type="paragraph" w:customStyle="1" w:styleId="Point1number">
    <w:name w:val="Point 1 (number)"/>
    <w:basedOn w:val="Normal"/>
    <w:pPr>
      <w:numPr>
        <w:ilvl w:val="2"/>
        <w:numId w:val="67"/>
      </w:numPr>
    </w:pPr>
  </w:style>
  <w:style w:type="paragraph" w:customStyle="1" w:styleId="Point2number">
    <w:name w:val="Point 2 (number)"/>
    <w:basedOn w:val="Normal"/>
    <w:pPr>
      <w:numPr>
        <w:ilvl w:val="4"/>
        <w:numId w:val="67"/>
      </w:numPr>
    </w:pPr>
  </w:style>
  <w:style w:type="paragraph" w:customStyle="1" w:styleId="Point3number">
    <w:name w:val="Point 3 (number)"/>
    <w:basedOn w:val="Normal"/>
    <w:pPr>
      <w:numPr>
        <w:ilvl w:val="6"/>
        <w:numId w:val="67"/>
      </w:numPr>
    </w:pPr>
  </w:style>
  <w:style w:type="paragraph" w:customStyle="1" w:styleId="Point0letter">
    <w:name w:val="Point 0 (letter)"/>
    <w:basedOn w:val="Normal"/>
    <w:pPr>
      <w:numPr>
        <w:ilvl w:val="1"/>
        <w:numId w:val="67"/>
      </w:numPr>
    </w:pPr>
  </w:style>
  <w:style w:type="paragraph" w:customStyle="1" w:styleId="Point1letter">
    <w:name w:val="Point 1 (letter)"/>
    <w:basedOn w:val="Normal"/>
    <w:pPr>
      <w:numPr>
        <w:ilvl w:val="3"/>
        <w:numId w:val="67"/>
      </w:numPr>
    </w:pPr>
  </w:style>
  <w:style w:type="paragraph" w:customStyle="1" w:styleId="Point2letter">
    <w:name w:val="Point 2 (letter)"/>
    <w:basedOn w:val="Normal"/>
    <w:pPr>
      <w:numPr>
        <w:ilvl w:val="5"/>
        <w:numId w:val="67"/>
      </w:numPr>
    </w:pPr>
  </w:style>
  <w:style w:type="paragraph" w:customStyle="1" w:styleId="Point3letter">
    <w:name w:val="Point 3 (letter)"/>
    <w:basedOn w:val="Normal"/>
    <w:pPr>
      <w:numPr>
        <w:ilvl w:val="7"/>
        <w:numId w:val="67"/>
      </w:numPr>
    </w:pPr>
  </w:style>
  <w:style w:type="paragraph" w:customStyle="1" w:styleId="Point4letter">
    <w:name w:val="Point 4 (letter)"/>
    <w:basedOn w:val="Normal"/>
    <w:pPr>
      <w:numPr>
        <w:ilvl w:val="8"/>
        <w:numId w:val="67"/>
      </w:numPr>
    </w:pPr>
  </w:style>
  <w:style w:type="paragraph" w:customStyle="1" w:styleId="Bullet0">
    <w:name w:val="Bullet 0"/>
    <w:basedOn w:val="Normal"/>
    <w:pPr>
      <w:numPr>
        <w:numId w:val="68"/>
      </w:numPr>
    </w:pPr>
  </w:style>
  <w:style w:type="paragraph" w:customStyle="1" w:styleId="Bullet1">
    <w:name w:val="Bullet 1"/>
    <w:basedOn w:val="Normal"/>
    <w:pPr>
      <w:numPr>
        <w:numId w:val="69"/>
      </w:numPr>
    </w:pPr>
  </w:style>
  <w:style w:type="paragraph" w:customStyle="1" w:styleId="Bullet2">
    <w:name w:val="Bullet 2"/>
    <w:basedOn w:val="Normal"/>
    <w:pPr>
      <w:numPr>
        <w:numId w:val="70"/>
      </w:numPr>
    </w:pPr>
  </w:style>
  <w:style w:type="paragraph" w:customStyle="1" w:styleId="Bullet3">
    <w:name w:val="Bullet 3"/>
    <w:basedOn w:val="Normal"/>
    <w:pPr>
      <w:numPr>
        <w:numId w:val="71"/>
      </w:numPr>
    </w:pPr>
  </w:style>
  <w:style w:type="paragraph" w:customStyle="1" w:styleId="Bullet4">
    <w:name w:val="Bullet 4"/>
    <w:basedOn w:val="Normal"/>
    <w:pPr>
      <w:numPr>
        <w:numId w:val="7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customStyle="1" w:styleId="Kopf-undFuzeilen">
    <w:name w:val="Kopf- und Fußzeilen"/>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Text">
    <w:name w:val="Text"/>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character" w:customStyle="1" w:styleId="Hyperlink0">
    <w:name w:val="Hyperlink.0"/>
    <w:basedOn w:val="Hyperlink"/>
    <w:rPr>
      <w:color w:val="0000FF"/>
      <w:u w:val="single" w:color="0000FF"/>
    </w:rPr>
  </w:style>
  <w:style w:type="numbering" w:customStyle="1" w:styleId="ImportierterStil2">
    <w:name w:val="Importierter Stil: 2"/>
    <w:pPr>
      <w:numPr>
        <w:numId w:val="6"/>
      </w:numPr>
    </w:pPr>
  </w:style>
  <w:style w:type="numbering" w:customStyle="1" w:styleId="ImportierterStil3">
    <w:name w:val="Importierter Stil: 3"/>
    <w:pPr>
      <w:numPr>
        <w:numId w:val="7"/>
      </w:numPr>
    </w:pPr>
  </w:style>
  <w:style w:type="numbering" w:customStyle="1" w:styleId="ImportierterStil4">
    <w:name w:val="Importierter Stil: 4"/>
    <w:pPr>
      <w:numPr>
        <w:numId w:val="8"/>
      </w:numPr>
    </w:pPr>
  </w:style>
  <w:style w:type="paragraph" w:customStyle="1" w:styleId="TitrearticleA">
    <w:name w:val="Titre article A"/>
    <w:next w:val="Text"/>
    <w:pPr>
      <w:keepNext/>
      <w:pBdr>
        <w:top w:val="nil"/>
        <w:left w:val="nil"/>
        <w:bottom w:val="nil"/>
        <w:right w:val="nil"/>
        <w:between w:val="nil"/>
        <w:bar w:val="nil"/>
      </w:pBdr>
      <w:spacing w:before="360" w:after="120" w:line="240" w:lineRule="auto"/>
      <w:jc w:val="center"/>
    </w:pPr>
    <w:rPr>
      <w:rFonts w:ascii="Times New Roman" w:eastAsia="Arial Unicode MS" w:hAnsi="Times New Roman" w:cs="Arial Unicode MS"/>
      <w:i/>
      <w:iCs/>
      <w:color w:val="000000"/>
      <w:sz w:val="24"/>
      <w:szCs w:val="24"/>
      <w:u w:color="000000"/>
      <w:bdr w:val="nil"/>
    </w:rPr>
  </w:style>
  <w:style w:type="numbering" w:customStyle="1" w:styleId="ImportierterStil5">
    <w:name w:val="Importierter Stil: 5"/>
    <w:pPr>
      <w:numPr>
        <w:numId w:val="10"/>
      </w:numPr>
    </w:pPr>
  </w:style>
  <w:style w:type="numbering" w:customStyle="1" w:styleId="ImportierterStil6">
    <w:name w:val="Importierter Stil: 6"/>
    <w:pPr>
      <w:numPr>
        <w:numId w:val="11"/>
      </w:numPr>
    </w:pPr>
  </w:style>
  <w:style w:type="numbering" w:customStyle="1" w:styleId="ImportierterStil7">
    <w:name w:val="Importierter Stil: 7"/>
    <w:pPr>
      <w:numPr>
        <w:numId w:val="25"/>
      </w:numPr>
    </w:pPr>
  </w:style>
  <w:style w:type="paragraph" w:customStyle="1" w:styleId="TitrearticleB">
    <w:name w:val="Titre article B"/>
    <w:next w:val="Text"/>
    <w:pPr>
      <w:keepNext/>
      <w:pBdr>
        <w:top w:val="nil"/>
        <w:left w:val="nil"/>
        <w:bottom w:val="nil"/>
        <w:right w:val="nil"/>
        <w:between w:val="nil"/>
        <w:bar w:val="nil"/>
      </w:pBdr>
      <w:spacing w:before="360" w:after="120" w:line="240" w:lineRule="auto"/>
      <w:jc w:val="center"/>
    </w:pPr>
    <w:rPr>
      <w:rFonts w:ascii="Times New Roman" w:eastAsia="Arial Unicode MS" w:hAnsi="Times New Roman" w:cs="Arial Unicode MS"/>
      <w:i/>
      <w:iCs/>
      <w:color w:val="000000"/>
      <w:sz w:val="24"/>
      <w:szCs w:val="24"/>
      <w:u w:color="000000"/>
      <w:bdr w:val="nil"/>
    </w:rPr>
  </w:style>
  <w:style w:type="paragraph" w:customStyle="1" w:styleId="TitrearticleC">
    <w:name w:val="Titre article C"/>
    <w:next w:val="Text"/>
    <w:pPr>
      <w:keepNext/>
      <w:pBdr>
        <w:top w:val="nil"/>
        <w:left w:val="nil"/>
        <w:bottom w:val="nil"/>
        <w:right w:val="nil"/>
        <w:between w:val="nil"/>
        <w:bar w:val="nil"/>
      </w:pBdr>
      <w:spacing w:before="360" w:after="120" w:line="240" w:lineRule="auto"/>
      <w:jc w:val="center"/>
    </w:pPr>
    <w:rPr>
      <w:rFonts w:ascii="Times New Roman" w:eastAsia="Arial Unicode MS" w:hAnsi="Times New Roman" w:cs="Arial Unicode MS"/>
      <w:i/>
      <w:iCs/>
      <w:color w:val="000000"/>
      <w:sz w:val="24"/>
      <w:szCs w:val="24"/>
      <w:u w:color="000000"/>
      <w:bdr w:val="nil"/>
    </w:rPr>
  </w:style>
  <w:style w:type="paragraph" w:customStyle="1" w:styleId="TitrearticleD">
    <w:name w:val="Titre article D"/>
    <w:next w:val="Text"/>
    <w:pPr>
      <w:keepNext/>
      <w:pBdr>
        <w:top w:val="nil"/>
        <w:left w:val="nil"/>
        <w:bottom w:val="nil"/>
        <w:right w:val="nil"/>
        <w:between w:val="nil"/>
        <w:bar w:val="nil"/>
      </w:pBdr>
      <w:spacing w:before="360" w:after="120" w:line="240" w:lineRule="auto"/>
      <w:jc w:val="center"/>
    </w:pPr>
    <w:rPr>
      <w:rFonts w:ascii="Times New Roman" w:eastAsia="Arial Unicode MS" w:hAnsi="Times New Roman" w:cs="Arial Unicode MS"/>
      <w:i/>
      <w:iCs/>
      <w:color w:val="000000"/>
      <w:sz w:val="24"/>
      <w:szCs w:val="24"/>
      <w:u w:color="000000"/>
      <w:bdr w:val="nil"/>
    </w:rPr>
  </w:style>
  <w:style w:type="paragraph" w:customStyle="1" w:styleId="berschrift">
    <w:name w:val="Überschrift"/>
    <w:next w:val="Text1"/>
    <w:pPr>
      <w:keepNext/>
      <w:pBdr>
        <w:top w:val="nil"/>
        <w:left w:val="nil"/>
        <w:bottom w:val="nil"/>
        <w:right w:val="nil"/>
        <w:between w:val="nil"/>
        <w:bar w:val="nil"/>
      </w:pBdr>
      <w:tabs>
        <w:tab w:val="left" w:pos="850"/>
      </w:tabs>
      <w:spacing w:before="360" w:after="120" w:line="240" w:lineRule="auto"/>
      <w:jc w:val="both"/>
      <w:outlineLvl w:val="0"/>
    </w:pPr>
    <w:rPr>
      <w:rFonts w:ascii="Times New Roman" w:eastAsia="Arial Unicode MS" w:hAnsi="Times New Roman" w:cs="Arial Unicode MS"/>
      <w:b/>
      <w:bCs/>
      <w:smallCaps/>
      <w:color w:val="000000"/>
      <w:sz w:val="24"/>
      <w:szCs w:val="24"/>
      <w:u w:color="000000"/>
      <w:bdr w:val="nil"/>
    </w:rPr>
  </w:style>
  <w:style w:type="numbering" w:customStyle="1" w:styleId="ImportierterStil1">
    <w:name w:val="Importierter Stil: 1"/>
    <w:pPr>
      <w:numPr>
        <w:numId w:val="43"/>
      </w:numPr>
    </w:pPr>
  </w:style>
  <w:style w:type="paragraph" w:customStyle="1" w:styleId="berschrift2">
    <w:name w:val="Überschrift 2"/>
    <w:next w:val="Text1"/>
    <w:pPr>
      <w:keepNext/>
      <w:pBdr>
        <w:top w:val="nil"/>
        <w:left w:val="nil"/>
        <w:bottom w:val="nil"/>
        <w:right w:val="nil"/>
        <w:between w:val="nil"/>
        <w:bar w:val="nil"/>
      </w:pBdr>
      <w:tabs>
        <w:tab w:val="left" w:pos="850"/>
      </w:tabs>
      <w:spacing w:before="120" w:after="120" w:line="240" w:lineRule="auto"/>
      <w:jc w:val="both"/>
      <w:outlineLvl w:val="1"/>
    </w:pPr>
    <w:rPr>
      <w:rFonts w:ascii="Times New Roman" w:eastAsia="Arial Unicode MS" w:hAnsi="Times New Roman" w:cs="Arial Unicode MS"/>
      <w:b/>
      <w:bCs/>
      <w:color w:val="000000"/>
      <w:sz w:val="24"/>
      <w:szCs w:val="24"/>
      <w:u w:color="000000"/>
      <w:bdr w:val="nil"/>
    </w:rPr>
  </w:style>
  <w:style w:type="paragraph" w:customStyle="1" w:styleId="berschrift3">
    <w:name w:val="Überschrift 3"/>
    <w:next w:val="Text1"/>
    <w:pPr>
      <w:keepNext/>
      <w:pBdr>
        <w:top w:val="nil"/>
        <w:left w:val="nil"/>
        <w:bottom w:val="nil"/>
        <w:right w:val="nil"/>
        <w:between w:val="nil"/>
        <w:bar w:val="nil"/>
      </w:pBdr>
      <w:tabs>
        <w:tab w:val="left" w:pos="850"/>
      </w:tabs>
      <w:spacing w:before="120" w:after="120" w:line="240" w:lineRule="auto"/>
      <w:jc w:val="both"/>
      <w:outlineLvl w:val="2"/>
    </w:pPr>
    <w:rPr>
      <w:rFonts w:ascii="Times New Roman" w:eastAsia="Arial Unicode MS" w:hAnsi="Times New Roman" w:cs="Arial Unicode MS"/>
      <w:i/>
      <w:iCs/>
      <w:color w:val="000000"/>
      <w:sz w:val="24"/>
      <w:szCs w:val="24"/>
      <w:u w:color="000000"/>
      <w:bdr w:val="nil"/>
    </w:rPr>
  </w:style>
  <w:style w:type="numbering" w:customStyle="1" w:styleId="ImportierterStil8">
    <w:name w:val="Importierter Stil: 8"/>
    <w:pPr>
      <w:numPr>
        <w:numId w:val="45"/>
      </w:numPr>
    </w:pPr>
  </w:style>
  <w:style w:type="numbering" w:customStyle="1" w:styleId="ImportierterStil9">
    <w:name w:val="Importierter Stil: 9"/>
    <w:pPr>
      <w:numPr>
        <w:numId w:val="46"/>
      </w:numPr>
    </w:pPr>
  </w:style>
  <w:style w:type="numbering" w:customStyle="1" w:styleId="ImportierterStil10">
    <w:name w:val="Importierter Stil: 10"/>
    <w:pPr>
      <w:numPr>
        <w:numId w:val="48"/>
      </w:numPr>
    </w:pPr>
  </w:style>
  <w:style w:type="paragraph" w:styleId="BalloonText">
    <w:name w:val="Balloon Text"/>
    <w:basedOn w:val="Normal"/>
    <w:link w:val="BalloonTextChar"/>
    <w:uiPriority w:val="99"/>
    <w:semiHidden/>
    <w:unhideWhenUsed/>
    <w:pPr>
      <w:pBdr>
        <w:top w:val="nil"/>
        <w:left w:val="nil"/>
        <w:bottom w:val="nil"/>
        <w:right w:val="nil"/>
        <w:between w:val="nil"/>
        <w:bar w:val="nil"/>
      </w:pBdr>
      <w:spacing w:before="0" w:after="0"/>
      <w:jc w:val="left"/>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Pr>
      <w:rFonts w:ascii="Tahoma" w:eastAsia="Arial Unicode MS" w:hAnsi="Tahoma" w:cs="Tahoma"/>
      <w:sz w:val="16"/>
      <w:szCs w:val="16"/>
      <w:bdr w:val="ni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spacing w:before="0" w:after="0"/>
      <w:jc w:val="left"/>
    </w:pPr>
    <w:rPr>
      <w:rFonts w:eastAsia="Arial Unicode MS"/>
      <w:sz w:val="20"/>
      <w:szCs w:val="20"/>
      <w:bdr w:val="nil"/>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Arial Unicode MS" w:hAnsi="Times New Roman" w:cs="Times New Roman"/>
      <w:b/>
      <w:bCs/>
      <w:sz w:val="20"/>
      <w:szCs w:val="20"/>
      <w:bdr w:val="ni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52"/>
      </w:numPr>
      <w:contextualSpacing/>
    </w:pPr>
  </w:style>
  <w:style w:type="paragraph" w:styleId="ListBullet3">
    <w:name w:val="List Bullet 3"/>
    <w:basedOn w:val="Normal"/>
    <w:uiPriority w:val="99"/>
    <w:semiHidden/>
    <w:unhideWhenUsed/>
    <w:pPr>
      <w:numPr>
        <w:numId w:val="53"/>
      </w:numPr>
      <w:contextualSpacing/>
    </w:pPr>
  </w:style>
  <w:style w:type="paragraph" w:styleId="ListBullet4">
    <w:name w:val="List Bullet 4"/>
    <w:basedOn w:val="Normal"/>
    <w:uiPriority w:val="99"/>
    <w:semiHidden/>
    <w:unhideWhenUsed/>
    <w:pPr>
      <w:numPr>
        <w:numId w:val="54"/>
      </w:numPr>
      <w:contextualSpacing/>
    </w:pPr>
  </w:style>
  <w:style w:type="paragraph" w:styleId="ListNumber2">
    <w:name w:val="List Number 2"/>
    <w:basedOn w:val="Normal"/>
    <w:uiPriority w:val="99"/>
    <w:semiHidden/>
    <w:unhideWhenUsed/>
    <w:pPr>
      <w:numPr>
        <w:numId w:val="55"/>
      </w:numPr>
      <w:contextualSpacing/>
    </w:pPr>
  </w:style>
  <w:style w:type="paragraph" w:styleId="ListNumber3">
    <w:name w:val="List Number 3"/>
    <w:basedOn w:val="Normal"/>
    <w:uiPriority w:val="99"/>
    <w:semiHidden/>
    <w:unhideWhenUsed/>
    <w:pPr>
      <w:numPr>
        <w:numId w:val="56"/>
      </w:numPr>
      <w:contextualSpacing/>
    </w:pPr>
  </w:style>
  <w:style w:type="paragraph" w:styleId="ListNumber4">
    <w:name w:val="List Number 4"/>
    <w:basedOn w:val="Normal"/>
    <w:uiPriority w:val="99"/>
    <w:semiHidden/>
    <w:unhideWhenUsed/>
    <w:pPr>
      <w:numPr>
        <w:numId w:val="57"/>
      </w:numPr>
      <w:contextualSpacing/>
    </w:pPr>
  </w:style>
  <w:style w:type="paragraph" w:styleId="NormalIndent">
    <w:name w:val="Normal Indent"/>
    <w:basedOn w:val="Normal"/>
    <w:uiPriority w:val="99"/>
    <w:unhideWhenUsed/>
    <w:pPr>
      <w:ind w:left="720"/>
    </w:pPr>
  </w:style>
  <w:style w:type="paragraph" w:customStyle="1" w:styleId="Noraml">
    <w:name w:val="Noraml"/>
    <w:basedOn w:val="Text"/>
    <w:rPr>
      <w:rFonts w:eastAsia="Arial Unicode MS"/>
      <w:color w:val="auto"/>
      <w:sz w:val="20"/>
      <w:szCs w:val="20"/>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0"/>
      </w:numPr>
    </w:pPr>
  </w:style>
  <w:style w:type="paragraph" w:customStyle="1" w:styleId="Tiret1">
    <w:name w:val="Tiret 1"/>
    <w:basedOn w:val="Point1"/>
    <w:pPr>
      <w:numPr>
        <w:numId w:val="61"/>
      </w:numPr>
    </w:pPr>
  </w:style>
  <w:style w:type="paragraph" w:customStyle="1" w:styleId="Tiret2">
    <w:name w:val="Tiret 2"/>
    <w:basedOn w:val="Point2"/>
    <w:pPr>
      <w:numPr>
        <w:numId w:val="62"/>
      </w:numPr>
    </w:pPr>
  </w:style>
  <w:style w:type="paragraph" w:customStyle="1" w:styleId="Tiret3">
    <w:name w:val="Tiret 3"/>
    <w:basedOn w:val="Point3"/>
    <w:pPr>
      <w:numPr>
        <w:numId w:val="63"/>
      </w:numPr>
    </w:pPr>
  </w:style>
  <w:style w:type="paragraph" w:customStyle="1" w:styleId="Tiret4">
    <w:name w:val="Tiret 4"/>
    <w:basedOn w:val="Point4"/>
    <w:pPr>
      <w:numPr>
        <w:numId w:val="6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5"/>
      </w:numPr>
    </w:pPr>
  </w:style>
  <w:style w:type="paragraph" w:customStyle="1" w:styleId="NumPar2">
    <w:name w:val="NumPar 2"/>
    <w:basedOn w:val="Normal"/>
    <w:next w:val="Text1"/>
    <w:pPr>
      <w:numPr>
        <w:ilvl w:val="1"/>
        <w:numId w:val="65"/>
      </w:numPr>
    </w:pPr>
  </w:style>
  <w:style w:type="paragraph" w:customStyle="1" w:styleId="NumPar3">
    <w:name w:val="NumPar 3"/>
    <w:basedOn w:val="Normal"/>
    <w:next w:val="Text1"/>
    <w:pPr>
      <w:numPr>
        <w:ilvl w:val="2"/>
        <w:numId w:val="65"/>
      </w:numPr>
    </w:pPr>
  </w:style>
  <w:style w:type="paragraph" w:customStyle="1" w:styleId="NumPar4">
    <w:name w:val="NumPar 4"/>
    <w:basedOn w:val="Normal"/>
    <w:next w:val="Text1"/>
    <w:pPr>
      <w:numPr>
        <w:ilvl w:val="3"/>
        <w:numId w:val="6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7"/>
      </w:numPr>
    </w:pPr>
  </w:style>
  <w:style w:type="paragraph" w:customStyle="1" w:styleId="Point1number">
    <w:name w:val="Point 1 (number)"/>
    <w:basedOn w:val="Normal"/>
    <w:pPr>
      <w:numPr>
        <w:ilvl w:val="2"/>
        <w:numId w:val="67"/>
      </w:numPr>
    </w:pPr>
  </w:style>
  <w:style w:type="paragraph" w:customStyle="1" w:styleId="Point2number">
    <w:name w:val="Point 2 (number)"/>
    <w:basedOn w:val="Normal"/>
    <w:pPr>
      <w:numPr>
        <w:ilvl w:val="4"/>
        <w:numId w:val="67"/>
      </w:numPr>
    </w:pPr>
  </w:style>
  <w:style w:type="paragraph" w:customStyle="1" w:styleId="Point3number">
    <w:name w:val="Point 3 (number)"/>
    <w:basedOn w:val="Normal"/>
    <w:pPr>
      <w:numPr>
        <w:ilvl w:val="6"/>
        <w:numId w:val="67"/>
      </w:numPr>
    </w:pPr>
  </w:style>
  <w:style w:type="paragraph" w:customStyle="1" w:styleId="Point0letter">
    <w:name w:val="Point 0 (letter)"/>
    <w:basedOn w:val="Normal"/>
    <w:pPr>
      <w:numPr>
        <w:ilvl w:val="1"/>
        <w:numId w:val="67"/>
      </w:numPr>
    </w:pPr>
  </w:style>
  <w:style w:type="paragraph" w:customStyle="1" w:styleId="Point1letter">
    <w:name w:val="Point 1 (letter)"/>
    <w:basedOn w:val="Normal"/>
    <w:pPr>
      <w:numPr>
        <w:ilvl w:val="3"/>
        <w:numId w:val="67"/>
      </w:numPr>
    </w:pPr>
  </w:style>
  <w:style w:type="paragraph" w:customStyle="1" w:styleId="Point2letter">
    <w:name w:val="Point 2 (letter)"/>
    <w:basedOn w:val="Normal"/>
    <w:pPr>
      <w:numPr>
        <w:ilvl w:val="5"/>
        <w:numId w:val="67"/>
      </w:numPr>
    </w:pPr>
  </w:style>
  <w:style w:type="paragraph" w:customStyle="1" w:styleId="Point3letter">
    <w:name w:val="Point 3 (letter)"/>
    <w:basedOn w:val="Normal"/>
    <w:pPr>
      <w:numPr>
        <w:ilvl w:val="7"/>
        <w:numId w:val="67"/>
      </w:numPr>
    </w:pPr>
  </w:style>
  <w:style w:type="paragraph" w:customStyle="1" w:styleId="Point4letter">
    <w:name w:val="Point 4 (letter)"/>
    <w:basedOn w:val="Normal"/>
    <w:pPr>
      <w:numPr>
        <w:ilvl w:val="8"/>
        <w:numId w:val="67"/>
      </w:numPr>
    </w:pPr>
  </w:style>
  <w:style w:type="paragraph" w:customStyle="1" w:styleId="Bullet0">
    <w:name w:val="Bullet 0"/>
    <w:basedOn w:val="Normal"/>
    <w:pPr>
      <w:numPr>
        <w:numId w:val="68"/>
      </w:numPr>
    </w:pPr>
  </w:style>
  <w:style w:type="paragraph" w:customStyle="1" w:styleId="Bullet1">
    <w:name w:val="Bullet 1"/>
    <w:basedOn w:val="Normal"/>
    <w:pPr>
      <w:numPr>
        <w:numId w:val="69"/>
      </w:numPr>
    </w:pPr>
  </w:style>
  <w:style w:type="paragraph" w:customStyle="1" w:styleId="Bullet2">
    <w:name w:val="Bullet 2"/>
    <w:basedOn w:val="Normal"/>
    <w:pPr>
      <w:numPr>
        <w:numId w:val="70"/>
      </w:numPr>
    </w:pPr>
  </w:style>
  <w:style w:type="paragraph" w:customStyle="1" w:styleId="Bullet3">
    <w:name w:val="Bullet 3"/>
    <w:basedOn w:val="Normal"/>
    <w:pPr>
      <w:numPr>
        <w:numId w:val="71"/>
      </w:numPr>
    </w:pPr>
  </w:style>
  <w:style w:type="paragraph" w:customStyle="1" w:styleId="Bullet4">
    <w:name w:val="Bullet 4"/>
    <w:basedOn w:val="Normal"/>
    <w:pPr>
      <w:numPr>
        <w:numId w:val="7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myintracomm.ec.europa.eu/budgweb/EN/bud/mff/Pages/mff-post-2020.aspx" TargetMode="Externa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s>
</file>

<file path=word/_rels/footnotes.xml.rels><?xml version="1.0" encoding="UTF-8" standalone="yes"?>
<Relationships xmlns="http://schemas.openxmlformats.org/package/2006/relationships"><Relationship Id="rId3" Type="http://schemas.openxmlformats.org/officeDocument/2006/relationships/hyperlink" Target="https://myintracomm.ec.europa.eu/budgweb/EN/man/budgmanag/Pages/budgmanag.aspx" TargetMode="External"/><Relationship Id="rId2" Type="http://schemas.openxmlformats.org/officeDocument/2006/relationships/hyperlink" Target="https://ec.europa.eu/programmes/erasmus-plus/resources/documents.evaluations_nl" TargetMode="External"/><Relationship Id="rId1" Type="http://schemas.openxmlformats.org/officeDocument/2006/relationships/hyperlink" Target="http://www.consilium.europa.eu/en/press/press-releases/2017/03/25-rome-decla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1A32E-D922-44DB-A658-3EF0FD4C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52</Pages>
  <Words>19390</Words>
  <Characters>120027</Characters>
  <Application>Microsoft Office Word</Application>
  <DocSecurity>0</DocSecurity>
  <Lines>2400</Lines>
  <Paragraphs>1080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2018-05-31T17:53:00Z</cp:lastPrinted>
  <dcterms:created xsi:type="dcterms:W3CDTF">2018-06-13T14:43:00Z</dcterms:created>
  <dcterms:modified xsi:type="dcterms:W3CDTF">2018-06-14T07:23:00Z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