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356C31C-08A2-48E6-8C7A-AFF698E81176" style="width:450.75pt;height:40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jc w:val="both"/>
        <w:rPr>
          <w:noProof/>
        </w:rPr>
      </w:pPr>
      <w:bookmarkStart w:id="0" w:name="_GoBack"/>
      <w:bookmarkEnd w:id="0"/>
      <w:r>
        <w:rPr>
          <w:noProof/>
        </w:rPr>
        <w:lastRenderedPageBreak/>
        <w:t>DÔVODOVÁ SPRÁVA</w:t>
      </w:r>
    </w:p>
    <w:p>
      <w:pPr>
        <w:pStyle w:val="ManualHeading1"/>
        <w:spacing w:before="120"/>
        <w:rPr>
          <w:noProof/>
        </w:rPr>
      </w:pPr>
      <w:r>
        <w:rPr>
          <w:noProof/>
        </w:rPr>
        <w:t>1.</w:t>
      </w:r>
      <w:r>
        <w:rPr>
          <w:noProof/>
        </w:rPr>
        <w:tab/>
        <w:t>KONTEXT NÁVRHU</w:t>
      </w:r>
    </w:p>
    <w:p>
      <w:pPr>
        <w:pStyle w:val="ManualHeading2"/>
        <w:rPr>
          <w:noProof/>
        </w:rPr>
      </w:pPr>
      <w:r>
        <w:rPr>
          <w:noProof/>
        </w:rPr>
        <w:t>•</w:t>
      </w:r>
      <w:r>
        <w:rPr>
          <w:noProof/>
        </w:rPr>
        <w:tab/>
        <w:t>Dôvody a ciele</w:t>
      </w:r>
    </w:p>
    <w:p>
      <w:pPr>
        <w:rPr>
          <w:noProof/>
        </w:rPr>
      </w:pPr>
      <w:r>
        <w:rPr>
          <w:noProof/>
        </w:rPr>
        <w:t>Európska únia je založená na solidarite, spoločnej hodnote, ktorá je výrazne prítomná v celej európskej spoločnosti. Solidarita je pre európsky projekt zásadná, keďže funguje ako jasný kompas, podľa ktorého sa európska mládež môže riadiť pri svojich snahách o lepšiu EÚ. V Rímskej deklarácii pri príležitosti 60. výročia podpísania Rímskej zmluvy vedúci predstavitelia 27 členských štátov, Európskej rady, Európskeho parlamentu a Európskej komisie znovu potvrdili svoj záväzok posilňovať jednotu a solidaritu s cieľom zvýšiť silu a odolnosť EÚ</w:t>
      </w:r>
      <w:r>
        <w:rPr>
          <w:rStyle w:val="FootnoteReference"/>
          <w:rFonts w:eastAsiaTheme="majorEastAsia"/>
          <w:noProof/>
        </w:rPr>
        <w:footnoteReference w:id="1"/>
      </w:r>
      <w:r>
        <w:rPr>
          <w:noProof/>
        </w:rPr>
        <w:t>.</w:t>
      </w:r>
    </w:p>
    <w:p>
      <w:pPr>
        <w:rPr>
          <w:noProof/>
        </w:rPr>
      </w:pPr>
      <w:r>
        <w:rPr>
          <w:noProof/>
        </w:rPr>
        <w:t>Predseda Európskej komisie vo svojej správe o stave Únie zo 14. septembra 2016 zdôraznil potrebu investovať do mladých ľudí a oznámil myšlienku Európskeho zboru solidarity. Úlohou zboru bude vytvárať príležitosti pre mladých ľudí z celej EÚ, aby mohli zmysluplne prispievať k fungovaniu spoločnosti, prejaviť solidaritu a rozvíjať svoje zručnosti, čím „získajú nielen prácu, ale aj neoceniteľnú životnú skúsenosť“. Na bratislavskom samite zo 16. septembra 2016 odznela výzva na zvýšenie politického impulzu v oblasti podpory mladých Európanov a na zavedenie nových programov EÚ na zlepšenie ich príležitostí. Európska komisia svojím oznámením zo 7. decembra 2016 s názvom Európsky zbor solidarity</w:t>
      </w:r>
      <w:r>
        <w:rPr>
          <w:rStyle w:val="FootnoteReference"/>
          <w:rFonts w:eastAsiaTheme="majorEastAsia"/>
          <w:noProof/>
        </w:rPr>
        <w:footnoteReference w:id="2"/>
      </w:r>
      <w:r>
        <w:rPr>
          <w:noProof/>
        </w:rPr>
        <w:t xml:space="preserve"> otvorila prvú fázu zboru a zopakovala v ňom cieľ, aby sa do roku 2020 do tohto programu zapojilo 100 000 mladých Európanov. Počas tejto úvodnej fázy sa zmobilizovalo osem rôznych programov EÚ</w:t>
      </w:r>
      <w:r>
        <w:rPr>
          <w:rStyle w:val="FootnoteReference"/>
          <w:rFonts w:eastAsiaTheme="majorEastAsia"/>
          <w:noProof/>
        </w:rPr>
        <w:footnoteReference w:id="3"/>
      </w:r>
      <w:r>
        <w:rPr>
          <w:noProof/>
        </w:rPr>
        <w:t xml:space="preserve"> ponúkajúcich dobrovoľnícku činnosť, stáž alebo pracovné príležitosti pre mladých ľudí v celej EÚ.</w:t>
      </w:r>
    </w:p>
    <w:p>
      <w:pPr>
        <w:rPr>
          <w:noProof/>
        </w:rPr>
      </w:pPr>
      <w:r>
        <w:rPr>
          <w:noProof/>
        </w:rPr>
        <w:t xml:space="preserve">Keďže existuje potenciál na ďalší rozvoj solidarity s obeťami kríz a katastrof v krajinách mimo EÚ, v tomto návrhu sa stanovuje také rozšírenie rozsahu pôsobnosti Európskeho zboru solidarity, aby zahŕňal podporu operáciám humanitárnej pomoci v krajinách mimo EÚ vrátane susedných krajín najvzdialenejších regiónov EÚ. Ako vyplýva z hodnotenia </w:t>
      </w:r>
      <w:r>
        <w:rPr>
          <w:i/>
          <w:noProof/>
        </w:rPr>
        <w:t>ex ante</w:t>
      </w:r>
      <w:r>
        <w:rPr>
          <w:noProof/>
        </w:rPr>
        <w:t xml:space="preserve"> pripojeného k tomuto návrhu, takéto rozšírenie by slúžilo na viacero účelov, napríklad na vytvorenie jednotného kontaktného miesta pre solidárne činnosti. Bude sem patriť dobrovoľnícka činnosť dobrovoľníkov humanitárnej pomoci, t. j. činnosť, ktorá je v súčasnosti podporovaná z iniciatívy Dobrovoľníci pomoci EÚ. Táto iniciatíva prispieva k úsiliu zvyšovať kapacitu EÚ v oblasti poskytovania humanitárnej pomoci vychádzajúcej z potrieb a posilňovať kapacity a odolnosť zraniteľných komunít alebo komunít zasiahnutých katastrofou v krajinách mimo EÚ.</w:t>
      </w:r>
    </w:p>
    <w:p>
      <w:pPr>
        <w:rPr>
          <w:noProof/>
        </w:rPr>
      </w:pPr>
      <w:r>
        <w:rPr>
          <w:noProof/>
        </w:rPr>
        <w:t>Tento návrh vytvára právny rámec pre Európsky zbor solidarity s cieľom zvýšiť počet príležitostí pre mladých ľudí na zapojenie sa do solidárnych činností, a to prostredníctvom rozšírenia jeho činností, ako aj rozšírenia jeho geografickej pôsobnosti v tejto oblasti. Tým sa prispeje nielen k plneniu neuspokojených spoločenských potrieb v Európe, ale aj k riešeniu humanitárnych problémov v krajinách mimo EÚ. Zároveň sa zabezpečí osobný, vzdelávací, sociálny, občiansky a profesijný rozvoj mladých ľudí.</w:t>
      </w:r>
    </w:p>
    <w:p>
      <w:pPr>
        <w:rPr>
          <w:noProof/>
        </w:rPr>
      </w:pPr>
      <w:r>
        <w:rPr>
          <w:noProof/>
        </w:rPr>
        <w:t>Je veľa mladých ľudí, ktorí sa chcú zapojiť do solidárnych činností a v komunitách existuje množstvo neuspokojených potrieb, ktoré by sa dali riešiť práve ich zapojením do týchto činností. Mnohé organizácie hľadajú motivovaných mladých ľudí, ktorí by im pomohli v ich úsilí. Keby sa tieto organizácie podporili, mohli by komunitám ponúknuť ešte viac pomoci. V rámci ponuky a dopytu však existuje nerovnováha. Existujú aj prekážky súvisiace s dostupnosťou zdrojov, so zabezpečovaním kvality, ako aj s rôznymi právnymi aspektmi.</w:t>
      </w:r>
    </w:p>
    <w:p>
      <w:pPr>
        <w:rPr>
          <w:noProof/>
        </w:rPr>
      </w:pPr>
      <w:r>
        <w:rPr>
          <w:noProof/>
        </w:rPr>
        <w:t xml:space="preserve">Keďže chýbajú opatrenia slúžiace na prepojenie organizácií a mladých ľudí s cieľom podporovať solidaritu, existuje riziko, že sa nevyužije významný potenciál solidárnych činností, čo by mohlo mať za následok zbytočný pokles prosperity na strane organizácií, mladých ľudí a spoločnosti ako celku. Navyše ako vyplýva z hodnotení </w:t>
      </w:r>
      <w:r>
        <w:rPr>
          <w:i/>
          <w:noProof/>
        </w:rPr>
        <w:t>ex ante</w:t>
      </w:r>
      <w:r>
        <w:rPr>
          <w:noProof/>
        </w:rPr>
        <w:t xml:space="preserve"> a z predchádzajúcich hodnotení programu Erasmus+ a iniciatívy Dobrovoľníci pomoci EÚ, zjednodušením postupov vznikne priestor na zlepšenie a zisky, ktoré možno vytvoriť väčšou efektívnosťou odvodenou z úspor z rozsahu a zo sortimentu.</w:t>
      </w:r>
    </w:p>
    <w:p>
      <w:pPr>
        <w:rPr>
          <w:noProof/>
        </w:rPr>
      </w:pPr>
      <w:r>
        <w:rPr>
          <w:noProof/>
        </w:rPr>
        <w:t>Vzhľadom na tieto skutočnosti je cieľom Európskeho zboru solidarity zvýšiť účasť mladých ľudí a organizácií na dostupných a vysokokvalitných solidárnych činnostiach. Európsky zbor solidarity je prostriedkom na posilnenie súdržnosti, solidarity a demokracie v Európe a vo svete a na riešenie spoločenských a humanitárnych výziev na mieste s osobitným dôrazom na podporu sociálneho začlenenia.</w:t>
      </w:r>
    </w:p>
    <w:p>
      <w:pPr>
        <w:rPr>
          <w:noProof/>
        </w:rPr>
      </w:pPr>
      <w:r>
        <w:rPr>
          <w:noProof/>
        </w:rPr>
        <w:t>Na dosiahnutie tohto všeobecného cieľa poskytne Európsky zbor solidarity mladým ľuďom ľahko dostupné príležitosti na zapojenie sa do dobrovoľníckych činností, stáží alebo pracovných miest v sektoroch súvisiacich so solidaritou, ako je sociálne hospodárstvo, ako aj na navrhnutie a vypracovanie solidaritných projektov na základe ich vlastnej iniciatívy, čím sa prispeje aj k osobnému, sociálnemu a profesijnému rozvoju, ako aj k ich zamestnateľnosti zlepšením ich zručností a schopností. Zbor poskytne svojim účastníkom a organizáciám takisto podporu na činnosti súvisiace s vytváraním sietí. Cieľom týchto sietí je rozvíjať ducha Európskeho zboru solidarity a pocit spolupatričnosti so širšou komunitou, ktorá sa zaviazala konať solidárne, ako aj podporovať výmenu užitočných postupov a skúseností. Cieľom zboru je zabezpečiť aj:</w:t>
      </w:r>
    </w:p>
    <w:p>
      <w:pPr>
        <w:pStyle w:val="ListBullet"/>
        <w:numPr>
          <w:ilvl w:val="0"/>
          <w:numId w:val="49"/>
        </w:numPr>
        <w:rPr>
          <w:rFonts w:eastAsia="Calibri"/>
          <w:noProof/>
        </w:rPr>
      </w:pPr>
      <w:r>
        <w:rPr>
          <w:noProof/>
        </w:rPr>
        <w:t>aby solidárne činnosti ponúkané mladým účastníkom prispievali k riešeniu konkrétnych spoločenských výziev a k operáciám humanitárnej pomoci vychádzajúcej z potrieb a k posilňovaniu komunít a</w:t>
      </w:r>
    </w:p>
    <w:p>
      <w:pPr>
        <w:pStyle w:val="ListBullet"/>
        <w:numPr>
          <w:ilvl w:val="0"/>
          <w:numId w:val="49"/>
        </w:numPr>
        <w:rPr>
          <w:rFonts w:eastAsia="Calibri"/>
          <w:noProof/>
        </w:rPr>
      </w:pPr>
      <w:r>
        <w:rPr>
          <w:noProof/>
        </w:rPr>
        <w:t>aby sa výsledky vzdelávania vyplývajúce z účasti mladých ľudí na týchto činnostiach dali náležitým spôsobom potvrdiť.</w:t>
      </w:r>
    </w:p>
    <w:p>
      <w:pPr>
        <w:rPr>
          <w:noProof/>
        </w:rPr>
      </w:pPr>
      <w:r>
        <w:rPr>
          <w:noProof/>
        </w:rPr>
        <w:t>V tomto návrhu sa stanovuje dátum uplatňovania od 1. januára 2021 a návrh sa predkladá pre Úniu s 27 členskými štátmi v súlade s oznámením Spojeného kráľovstva o jeho úmysle vystúpiť z Európskej únie a Euratomu na základe článku 50 Zmluvy o Európskej únii, ktoré bolo doručené Európskej rade 29. marca 2017.</w:t>
      </w:r>
    </w:p>
    <w:p>
      <w:pPr>
        <w:pStyle w:val="ManualHeading2"/>
        <w:rPr>
          <w:noProof/>
        </w:rPr>
      </w:pPr>
      <w:r>
        <w:rPr>
          <w:noProof/>
        </w:rPr>
        <w:t>•</w:t>
      </w:r>
      <w:r>
        <w:rPr>
          <w:noProof/>
        </w:rPr>
        <w:tab/>
        <w:t>Súlad s existujúcimi ustanoveniami v tejto oblasti politiky</w:t>
      </w:r>
    </w:p>
    <w:p>
      <w:pPr>
        <w:rPr>
          <w:noProof/>
        </w:rPr>
      </w:pPr>
      <w:r>
        <w:rPr>
          <w:noProof/>
        </w:rPr>
        <w:t>Európsky zbor solidarity čerpá z bohatej a dlhodobej tradície a skúseností členských štátov pri činnostiach, ktoré slúžia verejnému záujmu, napríklad prostredníctvom dobrovoľníckych činností. V niektorých členských štátoch fungujú programy národných občianskych služieb, ktoré mladým ľuďom ponúkajú možnosť zapojiť sa do rôznych činností, zatiaľ čo v rámci iných programov sa uľahčujú činnosti realizované občianskou spoločnosťou.</w:t>
      </w:r>
    </w:p>
    <w:p>
      <w:pPr>
        <w:rPr>
          <w:noProof/>
        </w:rPr>
      </w:pPr>
      <w:r>
        <w:rPr>
          <w:noProof/>
        </w:rPr>
        <w:t>Na úrovni EÚ poskytuje dobrovoľnícke príležitosti mladým ľuďom už 20 rokov Európska dobrovoľnícka služba. Politiky a programy, ako napríklad záruka pre mladých ľudí a iniciatíva Tvoje prvé pracovné miesto EURES, pomáhajú mladým ľuďom získať stáže a pracovné miesta. Iniciatíva Dobrovoľníci pomoci EÚ, ktorá sa začala v roku 2014, sprostredkúva jednotlivcom príležitosť získať dobrovoľnícke skúsenosti v krajine mimo EÚ. Takéto skúsenosti prispievajú k poskytovaniu humanitárnej pomoci v miestach, kde je najviac potrebná.</w:t>
      </w:r>
    </w:p>
    <w:p>
      <w:pPr>
        <w:rPr>
          <w:noProof/>
        </w:rPr>
      </w:pPr>
      <w:r>
        <w:rPr>
          <w:noProof/>
        </w:rPr>
        <w:t>Tieto iniciatívy poskytujú pevný základ, na ktorom Európsky zbor solidarity nielen stavia, ale rozširuje aj svoj rozsah, aby ponúkal nové príležitosti, lepšiu viditeľnosť a intenzívnejší dosah. Európsky zbor solidarity ponúkne nové príležitosti v oblasti humanitárnej pomoci, ktoré sa v rámci iniciatívy Dobrovoľníci pomoci EÚ (ktorej pokračovanie sa po roku 2020 skončí) už nebudú podporovať, a zároveň zjednoduší prístup pre zainteresovaných mladých ľudí a organizácie. Zbor bude aj naďalej poskytovať jednotné, ľahko dostupné kontaktné miesto prostredníctvom svojho portálu a pokúsi sa osloviť čo najviac účastníckych organizácií a zapojených mladých ľudí. Bude takisto rozvíjať a zlepšovať odbornú prípravu pred činnosťou, ako aj príslušnú podporu a potvrdenie výsledkov vzdelávania po jej skončení.</w:t>
      </w:r>
    </w:p>
    <w:p>
      <w:pPr>
        <w:rPr>
          <w:noProof/>
        </w:rPr>
      </w:pPr>
      <w:r>
        <w:rPr>
          <w:noProof/>
        </w:rPr>
        <w:t>S cieľom zabezpečiť efektívnu a účinnú implementáciu Európskeho zboru solidarity bude v maximálnej možnej miere využívať už zavedené mechanizmy riadenia. Vďaka tomu sa bude môcť sústrediť na maximalizáciu realizácie a výkonnosti a zároveň na minimalizáciu administratívnej záťaže. Z tohto dôvodu sa implementáciou Európskeho zboru solidarity poveria existujúce štruktúry.</w:t>
      </w:r>
    </w:p>
    <w:p>
      <w:pPr>
        <w:pStyle w:val="ManualHeading2"/>
        <w:rPr>
          <w:noProof/>
        </w:rPr>
      </w:pPr>
      <w:r>
        <w:rPr>
          <w:noProof/>
        </w:rPr>
        <w:t>•</w:t>
      </w:r>
      <w:r>
        <w:rPr>
          <w:noProof/>
        </w:rPr>
        <w:tab/>
        <w:t>Súlad s ostatnými politikami Únie</w:t>
      </w:r>
    </w:p>
    <w:p>
      <w:pPr>
        <w:rPr>
          <w:noProof/>
        </w:rPr>
      </w:pPr>
      <w:r>
        <w:rPr>
          <w:noProof/>
        </w:rPr>
        <w:t>Akcie Európskeho zboru solidarity sú v súlade s rôznymi príslušnými politikami a programami EÚ a dopĺňajú ich. Patria sem najmä tie, ktoré sa týkajú:</w:t>
      </w:r>
    </w:p>
    <w:p>
      <w:pPr>
        <w:pStyle w:val="ListBullet"/>
        <w:numPr>
          <w:ilvl w:val="0"/>
          <w:numId w:val="50"/>
        </w:numPr>
        <w:pBdr>
          <w:top w:val="nil"/>
          <w:left w:val="nil"/>
          <w:bottom w:val="nil"/>
          <w:right w:val="nil"/>
          <w:between w:val="nil"/>
          <w:bar w:val="nil"/>
        </w:pBdr>
        <w:tabs>
          <w:tab w:val="left" w:pos="360"/>
        </w:tabs>
        <w:rPr>
          <w:noProof/>
        </w:rPr>
      </w:pPr>
      <w:r>
        <w:rPr>
          <w:noProof/>
        </w:rPr>
        <w:t>vzdelávania a odbornej prípravy,</w:t>
      </w:r>
    </w:p>
    <w:p>
      <w:pPr>
        <w:pStyle w:val="ListBullet"/>
        <w:numPr>
          <w:ilvl w:val="0"/>
          <w:numId w:val="50"/>
        </w:numPr>
        <w:pBdr>
          <w:top w:val="nil"/>
          <w:left w:val="nil"/>
          <w:bottom w:val="nil"/>
          <w:right w:val="nil"/>
          <w:between w:val="nil"/>
          <w:bar w:val="nil"/>
        </w:pBdr>
        <w:tabs>
          <w:tab w:val="left" w:pos="360"/>
        </w:tabs>
        <w:rPr>
          <w:noProof/>
        </w:rPr>
      </w:pPr>
      <w:r>
        <w:rPr>
          <w:noProof/>
        </w:rPr>
        <w:t>zamestnanosti,</w:t>
      </w:r>
    </w:p>
    <w:p>
      <w:pPr>
        <w:pStyle w:val="ListBullet"/>
        <w:numPr>
          <w:ilvl w:val="0"/>
          <w:numId w:val="50"/>
        </w:numPr>
        <w:pBdr>
          <w:top w:val="nil"/>
          <w:left w:val="nil"/>
          <w:bottom w:val="nil"/>
          <w:right w:val="nil"/>
          <w:between w:val="nil"/>
          <w:bar w:val="nil"/>
        </w:pBdr>
        <w:tabs>
          <w:tab w:val="left" w:pos="360"/>
        </w:tabs>
        <w:rPr>
          <w:noProof/>
        </w:rPr>
      </w:pPr>
      <w:r>
        <w:rPr>
          <w:noProof/>
        </w:rPr>
        <w:t>rodovej rovnosti,</w:t>
      </w:r>
    </w:p>
    <w:p>
      <w:pPr>
        <w:pStyle w:val="ListBullet"/>
        <w:numPr>
          <w:ilvl w:val="0"/>
          <w:numId w:val="50"/>
        </w:numPr>
        <w:pBdr>
          <w:top w:val="nil"/>
          <w:left w:val="nil"/>
          <w:bottom w:val="nil"/>
          <w:right w:val="nil"/>
          <w:between w:val="nil"/>
          <w:bar w:val="nil"/>
        </w:pBdr>
        <w:tabs>
          <w:tab w:val="left" w:pos="360"/>
        </w:tabs>
        <w:rPr>
          <w:noProof/>
        </w:rPr>
      </w:pPr>
      <w:r>
        <w:rPr>
          <w:noProof/>
        </w:rPr>
        <w:t>podnikania (najmä sociálneho podnikania),</w:t>
      </w:r>
    </w:p>
    <w:p>
      <w:pPr>
        <w:pStyle w:val="ListBullet"/>
        <w:numPr>
          <w:ilvl w:val="0"/>
          <w:numId w:val="50"/>
        </w:numPr>
        <w:pBdr>
          <w:top w:val="nil"/>
          <w:left w:val="nil"/>
          <w:bottom w:val="nil"/>
          <w:right w:val="nil"/>
          <w:between w:val="nil"/>
          <w:bar w:val="nil"/>
        </w:pBdr>
        <w:tabs>
          <w:tab w:val="left" w:pos="360"/>
        </w:tabs>
        <w:rPr>
          <w:noProof/>
        </w:rPr>
      </w:pPr>
      <w:r>
        <w:rPr>
          <w:noProof/>
        </w:rPr>
        <w:t>občianstva a demokratickej angažovanosti,</w:t>
      </w:r>
    </w:p>
    <w:p>
      <w:pPr>
        <w:pStyle w:val="ListBullet"/>
        <w:numPr>
          <w:ilvl w:val="0"/>
          <w:numId w:val="50"/>
        </w:numPr>
        <w:pBdr>
          <w:top w:val="nil"/>
          <w:left w:val="nil"/>
          <w:bottom w:val="nil"/>
          <w:right w:val="nil"/>
          <w:between w:val="nil"/>
          <w:bar w:val="nil"/>
        </w:pBdr>
        <w:tabs>
          <w:tab w:val="left" w:pos="360"/>
        </w:tabs>
        <w:rPr>
          <w:noProof/>
        </w:rPr>
      </w:pPr>
      <w:r>
        <w:rPr>
          <w:noProof/>
        </w:rPr>
        <w:t>životného prostredia a ochrany prírody,</w:t>
      </w:r>
    </w:p>
    <w:p>
      <w:pPr>
        <w:pStyle w:val="ListBullet"/>
        <w:numPr>
          <w:ilvl w:val="0"/>
          <w:numId w:val="50"/>
        </w:numPr>
        <w:pBdr>
          <w:top w:val="nil"/>
          <w:left w:val="nil"/>
          <w:bottom w:val="nil"/>
          <w:right w:val="nil"/>
          <w:between w:val="nil"/>
          <w:bar w:val="nil"/>
        </w:pBdr>
        <w:tabs>
          <w:tab w:val="left" w:pos="360"/>
        </w:tabs>
        <w:rPr>
          <w:noProof/>
        </w:rPr>
      </w:pPr>
      <w:r>
        <w:rPr>
          <w:noProof/>
        </w:rPr>
        <w:t>opatrení v oblasti klímy,</w:t>
      </w:r>
    </w:p>
    <w:p>
      <w:pPr>
        <w:pStyle w:val="ListBullet"/>
        <w:numPr>
          <w:ilvl w:val="0"/>
          <w:numId w:val="50"/>
        </w:numPr>
        <w:pBdr>
          <w:top w:val="nil"/>
          <w:left w:val="nil"/>
          <w:bottom w:val="nil"/>
          <w:right w:val="nil"/>
          <w:between w:val="nil"/>
          <w:bar w:val="nil"/>
        </w:pBdr>
        <w:tabs>
          <w:tab w:val="left" w:pos="360"/>
        </w:tabs>
        <w:rPr>
          <w:noProof/>
        </w:rPr>
      </w:pPr>
      <w:r>
        <w:rPr>
          <w:noProof/>
        </w:rPr>
        <w:t>predchádzania katastrofám, pripravenosti na ne a obnovy po nich,</w:t>
      </w:r>
    </w:p>
    <w:p>
      <w:pPr>
        <w:pStyle w:val="ListBullet"/>
        <w:numPr>
          <w:ilvl w:val="0"/>
          <w:numId w:val="50"/>
        </w:numPr>
        <w:pBdr>
          <w:top w:val="nil"/>
          <w:left w:val="nil"/>
          <w:bottom w:val="nil"/>
          <w:right w:val="nil"/>
          <w:between w:val="nil"/>
          <w:bar w:val="nil"/>
        </w:pBdr>
        <w:tabs>
          <w:tab w:val="left" w:pos="360"/>
        </w:tabs>
        <w:rPr>
          <w:noProof/>
        </w:rPr>
      </w:pPr>
      <w:r>
        <w:rPr>
          <w:noProof/>
        </w:rPr>
        <w:t>poľnohospodárstva a rozvoja vidieka,</w:t>
      </w:r>
    </w:p>
    <w:p>
      <w:pPr>
        <w:pStyle w:val="ListBullet"/>
        <w:numPr>
          <w:ilvl w:val="0"/>
          <w:numId w:val="50"/>
        </w:numPr>
        <w:pBdr>
          <w:top w:val="nil"/>
          <w:left w:val="nil"/>
          <w:bottom w:val="nil"/>
          <w:right w:val="nil"/>
          <w:between w:val="nil"/>
          <w:bar w:val="nil"/>
        </w:pBdr>
        <w:tabs>
          <w:tab w:val="left" w:pos="360"/>
        </w:tabs>
        <w:rPr>
          <w:noProof/>
        </w:rPr>
      </w:pPr>
      <w:r>
        <w:rPr>
          <w:noProof/>
        </w:rPr>
        <w:t>potravinovej a nepotravinovej pomoci,</w:t>
      </w:r>
    </w:p>
    <w:p>
      <w:pPr>
        <w:pStyle w:val="ListBullet"/>
        <w:numPr>
          <w:ilvl w:val="0"/>
          <w:numId w:val="50"/>
        </w:numPr>
        <w:pBdr>
          <w:top w:val="nil"/>
          <w:left w:val="nil"/>
          <w:bottom w:val="nil"/>
          <w:right w:val="nil"/>
          <w:between w:val="nil"/>
          <w:bar w:val="nil"/>
        </w:pBdr>
        <w:tabs>
          <w:tab w:val="left" w:pos="360"/>
        </w:tabs>
        <w:rPr>
          <w:noProof/>
        </w:rPr>
      </w:pPr>
      <w:r>
        <w:rPr>
          <w:noProof/>
        </w:rPr>
        <w:t>zdravia a dobrých životných podmienok,</w:t>
      </w:r>
    </w:p>
    <w:p>
      <w:pPr>
        <w:pStyle w:val="ListBullet"/>
        <w:numPr>
          <w:ilvl w:val="0"/>
          <w:numId w:val="50"/>
        </w:numPr>
        <w:pBdr>
          <w:top w:val="nil"/>
          <w:left w:val="nil"/>
          <w:bottom w:val="nil"/>
          <w:right w:val="nil"/>
          <w:between w:val="nil"/>
          <w:bar w:val="nil"/>
        </w:pBdr>
        <w:tabs>
          <w:tab w:val="left" w:pos="360"/>
        </w:tabs>
        <w:rPr>
          <w:noProof/>
        </w:rPr>
      </w:pPr>
      <w:r>
        <w:rPr>
          <w:noProof/>
        </w:rPr>
        <w:t>tvorivosti a kultúry,</w:t>
      </w:r>
    </w:p>
    <w:p>
      <w:pPr>
        <w:pStyle w:val="ListBullet"/>
        <w:numPr>
          <w:ilvl w:val="0"/>
          <w:numId w:val="50"/>
        </w:numPr>
        <w:pBdr>
          <w:top w:val="nil"/>
          <w:left w:val="nil"/>
          <w:bottom w:val="nil"/>
          <w:right w:val="nil"/>
          <w:between w:val="nil"/>
          <w:bar w:val="nil"/>
        </w:pBdr>
        <w:tabs>
          <w:tab w:val="left" w:pos="360"/>
        </w:tabs>
        <w:rPr>
          <w:noProof/>
        </w:rPr>
      </w:pPr>
      <w:r>
        <w:rPr>
          <w:noProof/>
        </w:rPr>
        <w:t>telesnej výchovy a športu,</w:t>
      </w:r>
    </w:p>
    <w:p>
      <w:pPr>
        <w:pStyle w:val="ListBullet"/>
        <w:numPr>
          <w:ilvl w:val="0"/>
          <w:numId w:val="50"/>
        </w:numPr>
        <w:pBdr>
          <w:top w:val="nil"/>
          <w:left w:val="nil"/>
          <w:bottom w:val="nil"/>
          <w:right w:val="nil"/>
          <w:between w:val="nil"/>
          <w:bar w:val="nil"/>
        </w:pBdr>
        <w:tabs>
          <w:tab w:val="left" w:pos="360"/>
        </w:tabs>
        <w:rPr>
          <w:noProof/>
        </w:rPr>
      </w:pPr>
      <w:r>
        <w:rPr>
          <w:noProof/>
        </w:rPr>
        <w:t>sociálnej pomoci a zabezpečenia,</w:t>
      </w:r>
    </w:p>
    <w:p>
      <w:pPr>
        <w:pStyle w:val="ListBullet"/>
        <w:numPr>
          <w:ilvl w:val="0"/>
          <w:numId w:val="50"/>
        </w:numPr>
        <w:pBdr>
          <w:top w:val="nil"/>
          <w:left w:val="nil"/>
          <w:bottom w:val="nil"/>
          <w:right w:val="nil"/>
          <w:between w:val="nil"/>
          <w:bar w:val="nil"/>
        </w:pBdr>
        <w:tabs>
          <w:tab w:val="left" w:pos="360"/>
        </w:tabs>
        <w:rPr>
          <w:noProof/>
        </w:rPr>
      </w:pPr>
      <w:r>
        <w:rPr>
          <w:noProof/>
        </w:rPr>
        <w:t>prijímania a integrácie štátnych príslušníkov tretích krajín,</w:t>
      </w:r>
    </w:p>
    <w:p>
      <w:pPr>
        <w:pStyle w:val="ListBullet"/>
        <w:numPr>
          <w:ilvl w:val="0"/>
          <w:numId w:val="50"/>
        </w:numPr>
        <w:pBdr>
          <w:top w:val="nil"/>
          <w:left w:val="nil"/>
          <w:bottom w:val="nil"/>
          <w:right w:val="nil"/>
          <w:between w:val="nil"/>
          <w:bar w:val="nil"/>
        </w:pBdr>
        <w:tabs>
          <w:tab w:val="left" w:pos="360"/>
        </w:tabs>
        <w:rPr>
          <w:noProof/>
        </w:rPr>
      </w:pPr>
      <w:r>
        <w:rPr>
          <w:noProof/>
        </w:rPr>
        <w:t>územnej spolupráce a súdržnosti,</w:t>
      </w:r>
    </w:p>
    <w:p>
      <w:pPr>
        <w:pStyle w:val="ListBullet"/>
        <w:numPr>
          <w:ilvl w:val="0"/>
          <w:numId w:val="50"/>
        </w:numPr>
        <w:pBdr>
          <w:top w:val="nil"/>
          <w:left w:val="nil"/>
          <w:bottom w:val="nil"/>
          <w:right w:val="nil"/>
          <w:between w:val="nil"/>
          <w:bar w:val="nil"/>
        </w:pBdr>
        <w:tabs>
          <w:tab w:val="left" w:pos="360"/>
        </w:tabs>
        <w:rPr>
          <w:noProof/>
        </w:rPr>
      </w:pPr>
      <w:r>
        <w:rPr>
          <w:noProof/>
        </w:rPr>
        <w:t>cezhraničnej spolupráce a</w:t>
      </w:r>
    </w:p>
    <w:p>
      <w:pPr>
        <w:pStyle w:val="ListBullet"/>
        <w:numPr>
          <w:ilvl w:val="0"/>
          <w:numId w:val="50"/>
        </w:numPr>
        <w:pBdr>
          <w:top w:val="nil"/>
          <w:left w:val="nil"/>
          <w:bottom w:val="nil"/>
          <w:right w:val="nil"/>
          <w:between w:val="nil"/>
          <w:bar w:val="nil"/>
        </w:pBdr>
        <w:tabs>
          <w:tab w:val="left" w:pos="360"/>
        </w:tabs>
        <w:rPr>
          <w:noProof/>
        </w:rPr>
      </w:pPr>
      <w:r>
        <w:rPr>
          <w:noProof/>
        </w:rPr>
        <w:t>humanitárnej pomoci.</w:t>
      </w:r>
    </w:p>
    <w:p>
      <w:pPr>
        <w:rPr>
          <w:noProof/>
        </w:rPr>
      </w:pPr>
      <w:r>
        <w:rPr>
          <w:noProof/>
        </w:rPr>
        <w:t>V prvej a druhej fáze Európskeho zboru solidarity sa zmobilizovalo niekoľko rôznych programov EÚ, ktoré ponúkajú dobrovoľnícke činnosti, stáže alebo pracovné príležitosti pre mladých ľudí v celej EÚ.</w:t>
      </w:r>
    </w:p>
    <w:p>
      <w:pPr>
        <w:rPr>
          <w:noProof/>
        </w:rPr>
      </w:pPr>
      <w:r>
        <w:rPr>
          <w:noProof/>
        </w:rPr>
        <w:t>Tento návrh predstavuje základ tretej fázy Európskeho zboru solidarity, ktorého vlastné, riadne vymedzené finančné krytie umožní rozvoj všetkých činností podľa rovnakého súboru pravidiel a podmienok týkajúcich sa solidárnych činností bez ohľadu na oblasť politiky, ktorá je cieľom akcie. Keďže nový rozšírený rozsah zahŕňa činnosti na podporu operácií humanitárnej pomoci, Európsky zbor solidarity bude využívať dodatočné príspevky na podporu nového rozsahu činností. Vykonávanie týchto činností sa uskutoční v úzkej koordinácii s príslušnými útvarmi Komisie.</w:t>
      </w:r>
    </w:p>
    <w:p>
      <w:pPr>
        <w:rPr>
          <w:noProof/>
        </w:rPr>
      </w:pPr>
      <w:r>
        <w:rPr>
          <w:noProof/>
        </w:rPr>
        <w:t>V návrhu viacročného finančného rámca na roky 2021 – 2027 vypracovanom Komisiou sa stanovuje ambicióznejší cieľ pre zohľadňovanie problematiky klímy vo všetkých programoch EÚ so všeobecným cieľom zamerať 25 % výdavkov EÚ na ciele v oblasti ochrany klímy</w:t>
      </w:r>
      <w:r>
        <w:rPr>
          <w:rStyle w:val="FootnoteReference"/>
          <w:rFonts w:eastAsiaTheme="majorEastAsia"/>
          <w:noProof/>
        </w:rPr>
        <w:footnoteReference w:id="4"/>
      </w:r>
      <w:r>
        <w:rPr>
          <w:noProof/>
        </w:rPr>
        <w:t>. Príspevok tohto programu k dosiahnutiu tohto celkového cieľa sa bude sledovať prostredníctvom markerového systému EÚ na ochranu klímy na primeranej úrovni členenia vrátane použitia presnejších metodík, ak sú k dispozícii. Komisia bude naďalej každoročne predkladať informácie o viazaných rozpočtových prostriedkoch v súvislosti s ročným návrhom rozpočtu.</w:t>
      </w:r>
    </w:p>
    <w:p>
      <w:pPr>
        <w:rPr>
          <w:noProof/>
        </w:rPr>
      </w:pPr>
      <w:r>
        <w:rPr>
          <w:noProof/>
        </w:rPr>
        <w:t>S cieľom podporiť plné využitie potenciálu programu v prispievaní k cieľom v oblasti klímy sa Komisia bude snažiť identifikovať príslušné akcie počas celého procesu prípravy, implementácie, preskúmania a hodnotenia programu.</w:t>
      </w:r>
    </w:p>
    <w:p>
      <w:pPr>
        <w:pStyle w:val="ManualHeading1"/>
        <w:spacing w:before="120"/>
        <w:rPr>
          <w:noProof/>
        </w:rPr>
      </w:pPr>
      <w:r>
        <w:rPr>
          <w:noProof/>
        </w:rPr>
        <w:t>2.</w:t>
      </w:r>
      <w:r>
        <w:rPr>
          <w:noProof/>
        </w:rPr>
        <w:tab/>
        <w:t>PRÁVNY ZÁKLAD, SUBSIDIARITA A PROPORCIONALITA</w:t>
      </w:r>
    </w:p>
    <w:p>
      <w:pPr>
        <w:pStyle w:val="ManualHeading2"/>
        <w:rPr>
          <w:noProof/>
        </w:rPr>
      </w:pPr>
      <w:r>
        <w:rPr>
          <w:noProof/>
        </w:rPr>
        <w:t>•</w:t>
      </w:r>
      <w:r>
        <w:rPr>
          <w:noProof/>
        </w:rPr>
        <w:tab/>
        <w:t>Právny základ</w:t>
      </w:r>
    </w:p>
    <w:p>
      <w:pPr>
        <w:rPr>
          <w:noProof/>
        </w:rPr>
      </w:pPr>
      <w:r>
        <w:rPr>
          <w:noProof/>
        </w:rPr>
        <w:t>Tento návrh je založený na dvoch zložkách: „účasť mladých ľudí na solidárnych činnostiach zameraných na riešenie spoločenských výziev“ a „Európsky dobrovoľnícky zbor pre humanitárnu pomoc“.</w:t>
      </w:r>
    </w:p>
    <w:p>
      <w:pPr>
        <w:rPr>
          <w:noProof/>
        </w:rPr>
      </w:pPr>
      <w:r>
        <w:rPr>
          <w:noProof/>
        </w:rPr>
        <w:t>Návrh teda vychádza z článku 165 ods. 4, článku 166 ods. 4 a článku 214 ods. 5 Zmluvy o fungovaní Európskej únie. Článok 165 ods. 4 umožňuje činnosť EÚ zameranú na „</w:t>
      </w:r>
      <w:r>
        <w:rPr>
          <w:i/>
          <w:noProof/>
        </w:rPr>
        <w:t>podporu rozvoja výmeny mládeže (…) a podporu účasti mladých ľudí na demokratickom živote v Európe</w:t>
      </w:r>
      <w:r>
        <w:rPr>
          <w:noProof/>
        </w:rPr>
        <w:t>“. Vhodným právnym základom aktu, akým je tento návrh, je činnosť EÚ na základe článku 166 ods. 4, ktorej zámerom je zabezpečiť „</w:t>
      </w:r>
      <w:r>
        <w:rPr>
          <w:i/>
          <w:noProof/>
        </w:rPr>
        <w:t>zlepšenie základného a ďalšieho odborného vzdelávania s cieľom uľahčenia profesijného začlenenia a opätovného začlenenia do trhu práce</w:t>
      </w:r>
      <w:r>
        <w:rPr>
          <w:noProof/>
        </w:rPr>
        <w:t>“ a „</w:t>
      </w:r>
      <w:r>
        <w:rPr>
          <w:i/>
          <w:noProof/>
        </w:rPr>
        <w:t>uľahčenie prístupu k odbornému vzdelávaniu a podporu mobility inštruktorov a stážistov, najmä mladých ľudí</w:t>
      </w:r>
      <w:r>
        <w:rPr>
          <w:noProof/>
        </w:rPr>
        <w:t>“. V článku 214 ods. 5 sa stanovuje právny základ pre vytvorenie „</w:t>
      </w:r>
      <w:r>
        <w:rPr>
          <w:i/>
          <w:noProof/>
        </w:rPr>
        <w:t>rámca pre spoločné príspevky mladých Európanov na humanitárne činnosti Únie, Európskeho dobrovoľníckeho zboru pre humanitárnu pomoc</w:t>
      </w:r>
      <w:r>
        <w:rPr>
          <w:noProof/>
        </w:rPr>
        <w:t>“.</w:t>
      </w:r>
    </w:p>
    <w:p>
      <w:pPr>
        <w:pStyle w:val="ManualHeading2"/>
        <w:rPr>
          <w:noProof/>
        </w:rPr>
      </w:pPr>
      <w:r>
        <w:rPr>
          <w:noProof/>
        </w:rPr>
        <w:t>•</w:t>
      </w:r>
      <w:r>
        <w:rPr>
          <w:noProof/>
        </w:rPr>
        <w:tab/>
        <w:t>Subsidiarita (v prípade inej ako výlučnej právomoci)</w:t>
      </w:r>
    </w:p>
    <w:p>
      <w:pPr>
        <w:rPr>
          <w:noProof/>
        </w:rPr>
      </w:pPr>
      <w:r>
        <w:rPr>
          <w:noProof/>
        </w:rPr>
        <w:t>Vzhľadom na európsky rozsah navrhovaných cieľov – mobilizovať mladých ľudí v záujme solidarity v celej EÚ a mladých dobrovoľníkov, aby sa podieľali na humanitárnej pomoci v krajinách mimo EÚ – je akcia na úrovni EÚ primeraná.</w:t>
      </w:r>
    </w:p>
    <w:p>
      <w:pPr>
        <w:rPr>
          <w:noProof/>
        </w:rPr>
      </w:pPr>
      <w:r>
        <w:rPr>
          <w:noProof/>
        </w:rPr>
        <w:t>Akcia vykonávaná prostredníctvom Európskeho zboru solidarity nenahradí podobné akcie členských štátov určené pre mladých ľudí, poslúži však na ich doplnenie a podporu, a to plne v súlade so zásadou subsidiarity. Programy a nástroje na podporu činností slúžiacich verejnému záujmu sa bežne realizujú vo všetkých členských štátoch, a to najmä prostredníctvom dobrovoľníckych činností, ktoré sú pomerne rôznorodé. Niektoré krajiny v praxi uprednostňujú štátne zásahy, kým v iných vedenie preberá občianska spoločnosť. Aj samotné solidárne a dobrovoľnícke činnosti sa vymedzujú a vykladajú rôzne, pričom jednotlivé druhy činností sa líšia obsahom aj dĺžkou trvania. Okrem toho sa odlišne vníma aj to, aká sociálna ochrana sa vzťahuje na dobrovoľníctvo, pričom v členských štátoch existujú aj rôzne úrovne právneho postavenia, vzdelávania a uznávania. Toto všetko vedie k roztrieštenosti na úrovni EÚ, čo znamená, že mladí ľudia v EÚ nemajú rovnaký prístup k ponúkaným príležitostiam.</w:t>
      </w:r>
    </w:p>
    <w:p>
      <w:pPr>
        <w:rPr>
          <w:noProof/>
        </w:rPr>
      </w:pPr>
      <w:r>
        <w:rPr>
          <w:noProof/>
        </w:rPr>
        <w:t xml:space="preserve">Akcia EÚ vykonávaná prostredníctvom Európskeho zboru solidarity pomáha prekonať túto roztrieštenosť, ako to dokazuje hodnotenie </w:t>
      </w:r>
      <w:r>
        <w:rPr>
          <w:i/>
          <w:noProof/>
        </w:rPr>
        <w:t>ex ante</w:t>
      </w:r>
      <w:r>
        <w:rPr>
          <w:noProof/>
        </w:rPr>
        <w:t>, ktoré tvorí sprievodný dokument k tomuto návrhu. Zároveň nadväzuje na rôzne skúsenosti a poznatky získané v členských štátoch. Takisto podporuje dobrovoľníctvo v tých členských štátoch, v ktorých sa v súčasnosti veľmi nevykonáva, ako uviedli zainteresované strany, s ktorými sa konzultovalo počas prípravy [nariadenia o Európskom zbore solidarity]</w:t>
      </w:r>
      <w:r>
        <w:rPr>
          <w:rStyle w:val="FootnoteReference"/>
          <w:noProof/>
        </w:rPr>
        <w:footnoteReference w:id="5"/>
      </w:r>
      <w:r>
        <w:rPr>
          <w:noProof/>
        </w:rPr>
        <w:t>. Európsky zbor solidarity pomáha zlepšovať kvalitu rôznych činností ponúkaných pre mladých ľudí v EÚ aj v zahraničí, ako aj potvrdenie ich výsledkov vzdelávania. Dosahuje to uplatňovaním množstva záruk kvality, ako sú napr. značka kvality pre účastnícke organizácie a zásady vymedzené v rámci kvality pre stáže</w:t>
      </w:r>
      <w:r>
        <w:rPr>
          <w:rStyle w:val="FootnoteReference"/>
          <w:noProof/>
        </w:rPr>
        <w:footnoteReference w:id="6"/>
      </w:r>
      <w:r>
        <w:rPr>
          <w:noProof/>
        </w:rPr>
        <w:t>.</w:t>
      </w:r>
    </w:p>
    <w:p>
      <w:pPr>
        <w:rPr>
          <w:noProof/>
        </w:rPr>
      </w:pPr>
      <w:r>
        <w:rPr>
          <w:noProof/>
        </w:rPr>
        <w:t>Európsky zbor solidarity navyše rozšírením rozsahu na činnosti v oblasti podpory operácií humanitárnej pomoci ponúka jednotné kontaktné miesto pre kvalitné dobrovoľnícke a pracovné solidárne činnosti pre mladých ľudí v celej EÚ a v zahraničí. V súčasnosti sú tieto činnosti dostupné len prostredníctvom dvoch rôznych programov. Zbor teda zabezpečí, aby mali všetci mladí ľudia v celej EÚ, ktorí prejavia záujem, rovnaké príležitosti týkajúce sa prístupu k širokému okruhu činností a aby k nim mali jednoduchší prístup. Začlenením dobrovoľníckych príležitostí na podporu humanitárnej pomoci pod existujúcu značku Európskeho zboru solidarity sa pomôže aj k zlepšeniu informovanosti o príležitostiach, ktoré majú mladí ľudia k dispozícii, a k ich lepšej viditeľnosti.</w:t>
      </w:r>
    </w:p>
    <w:p>
      <w:pPr>
        <w:rPr>
          <w:noProof/>
        </w:rPr>
      </w:pPr>
      <w:r>
        <w:rPr>
          <w:noProof/>
        </w:rPr>
        <w:t>Európsky zbor solidarity bude ponúkať činnosti, ktoré možno vykonávať v krajine, ktorá nie je krajinou trvalého pobytu účastníkov (cezhraničné činnosti a dobrovoľnícke činnosti na podporu humanitárnej pomoci), a činnosti, ktoré možno vykonávať v krajine ich trvalého pobytu (v rámci krajiny). Pokiaľ ide o cezhraničné činnosti, akcie jednotlivých členských štátov nemôžu nahradiť akciu EÚ. Dôvodom je roztrieštenosť štruktúr a programov ponúkajúcich dobrovoľnícku činnosť a stáže, ako aj rozdielne chápanie a výklad pojmov v sektore ponúkajúcom solidárne činnosti. Pokiaľ ide o činnosti v rámci krajiny, Európsky zbor solidarity pomôže pri riešení miestnych alebo vnútroštátnych problémov zo širšieho európskeho hľadiska. Akcia EÚ môže pomôcť predovšetkým pri prekonávaní roztrieštenosti v ponuke činností a pri zaistení začlenenia všetkých mladých ľudí vrátane tých, ktorí pri zapájaní sa do medzinárodných činností čelia prekážkam. Poskytuje aj európsky kontext a pomáha pri nachádzaní európskych riešení konkrétnych problémov, ktoré presahujú štátne hranice.</w:t>
      </w:r>
    </w:p>
    <w:p>
      <w:pPr>
        <w:rPr>
          <w:noProof/>
        </w:rPr>
      </w:pPr>
      <w:r>
        <w:rPr>
          <w:noProof/>
        </w:rPr>
        <w:t>V neposlednom rade sa využívaním existujúcich štruktúr, ktorých užitočnosť sa už preukázala, pomôže zaistiť účinná a efektívna implementácia Európskeho zboru solidarity, ako aj maximalizácia synergie a komplementarity s akciami členských štátov v prospech mládeže a humanitárnej pomoci. Hoci národnými rámcami by sa v skutočnosti mohli dosiahnuť podobné výsledky, podľa zistení hodnotenia programu Erasmus+ v polovici jeho trvania (2014 – 2020)</w:t>
      </w:r>
      <w:r>
        <w:rPr>
          <w:rStyle w:val="FootnoteReference"/>
          <w:rFonts w:eastAsiaTheme="majorEastAsia"/>
          <w:noProof/>
        </w:rPr>
        <w:footnoteReference w:id="7"/>
      </w:r>
      <w:r>
        <w:rPr>
          <w:noProof/>
        </w:rPr>
        <w:t xml:space="preserve"> by sa náklady zdvojnásobili.</w:t>
      </w:r>
    </w:p>
    <w:p>
      <w:pPr>
        <w:pStyle w:val="ManualHeading2"/>
        <w:rPr>
          <w:noProof/>
        </w:rPr>
      </w:pPr>
      <w:r>
        <w:rPr>
          <w:noProof/>
        </w:rPr>
        <w:t>•</w:t>
      </w:r>
      <w:r>
        <w:rPr>
          <w:noProof/>
        </w:rPr>
        <w:tab/>
        <w:t>Proporcionalita</w:t>
      </w:r>
    </w:p>
    <w:p>
      <w:pPr>
        <w:rPr>
          <w:noProof/>
        </w:rPr>
      </w:pPr>
      <w:r>
        <w:rPr>
          <w:noProof/>
        </w:rPr>
        <w:t>Navrhnuté zlepšenia sa integrujú do existujúcej architektúry programu a budú využívať existujúce mechanizmy realizácie na zabezpečenie maximálnej kontinuity a stability</w:t>
      </w:r>
      <w:r>
        <w:rPr>
          <w:b/>
          <w:noProof/>
        </w:rPr>
        <w:t xml:space="preserve"> </w:t>
      </w:r>
      <w:r>
        <w:rPr>
          <w:noProof/>
        </w:rPr>
        <w:t>s predchádzajúcimi programami. Návrhom sa riešia nedostatky zistené v rámci ponuky ľahko dostupných príležitostí na zapojenie sa do solidárnych činností, ktorú majú mladí ľudia k dispozícii. Návrh neprekračuje rámec nevyhnutných opatrení na dosiahnutie jeho cieľov.</w:t>
      </w:r>
    </w:p>
    <w:p>
      <w:pPr>
        <w:pStyle w:val="ManualHeading2"/>
        <w:rPr>
          <w:noProof/>
        </w:rPr>
      </w:pPr>
      <w:r>
        <w:rPr>
          <w:noProof/>
        </w:rPr>
        <w:t>•</w:t>
      </w:r>
      <w:r>
        <w:rPr>
          <w:noProof/>
        </w:rPr>
        <w:tab/>
        <w:t>Výber nástroja</w:t>
      </w:r>
    </w:p>
    <w:p>
      <w:pPr>
        <w:rPr>
          <w:noProof/>
        </w:rPr>
      </w:pPr>
      <w:r>
        <w:rPr>
          <w:noProof/>
        </w:rPr>
        <w:t>Navrhovaným nástrojom je nariadenie Európskeho parlamentu a Rady.</w:t>
      </w:r>
    </w:p>
    <w:p>
      <w:pPr>
        <w:pStyle w:val="ManualHeading1"/>
        <w:spacing w:before="120"/>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ManualHeading2"/>
        <w:rPr>
          <w:noProof/>
        </w:rPr>
      </w:pPr>
      <w:r>
        <w:rPr>
          <w:noProof/>
        </w:rPr>
        <w:t>•</w:t>
      </w:r>
      <w:r>
        <w:rPr>
          <w:noProof/>
        </w:rPr>
        <w:tab/>
        <w:t xml:space="preserve">Hodnotenia </w:t>
      </w:r>
      <w:r>
        <w:rPr>
          <w:i/>
          <w:noProof/>
        </w:rPr>
        <w:t>ex post</w:t>
      </w:r>
      <w:r>
        <w:rPr>
          <w:noProof/>
        </w:rPr>
        <w:t>/kontroly vhodnosti existujúcich právnych predpisov</w:t>
      </w:r>
    </w:p>
    <w:p>
      <w:pPr>
        <w:rPr>
          <w:noProof/>
        </w:rPr>
      </w:pPr>
      <w:r>
        <w:rPr>
          <w:noProof/>
        </w:rPr>
        <w:t>Uskutočnilo sa hodnotenie iniciatívy Dobrovoľníci pomoci EÚ v polovici jej trvania</w:t>
      </w:r>
      <w:r>
        <w:rPr>
          <w:rStyle w:val="FootnoteReference"/>
          <w:rFonts w:eastAsiaTheme="majorEastAsia"/>
          <w:noProof/>
        </w:rPr>
        <w:footnoteReference w:id="8"/>
      </w:r>
      <w:r>
        <w:rPr>
          <w:noProof/>
        </w:rPr>
        <w:t xml:space="preserve"> v období od polovice roku 2014 do polovice roku 2017. Výsledkom hodnotenia boli užitočné analýzy a poznatky týkajúce sa implementácie iniciatívy, ako aj nedostatkov a oblastí na ďalšie zlepšenie. Konkrétne treba poukázať na nízku mieru prijímania dobrovoľníkov, keďže sa nemusí dosiahnuť pôvodný cieľ týkajúci sa ich počtu. V správe o externom hodnotení</w:t>
      </w:r>
      <w:r>
        <w:rPr>
          <w:rStyle w:val="FootnoteReference"/>
          <w:rFonts w:eastAsiaTheme="majorEastAsia"/>
          <w:noProof/>
        </w:rPr>
        <w:footnoteReference w:id="9"/>
      </w:r>
      <w:r>
        <w:rPr>
          <w:noProof/>
        </w:rPr>
        <w:t xml:space="preserve"> možno poukázať na niekoľko odporúčaní. Napríklad sa odporúča používať jednu značku a komunikačné činnosti, ktorými by sa zvýšila viditeľnosť činností na podporu operácií humanitárnej pomoci. V ďalšom odporúčaní bola uvedená možnosť prechodu od žiadostí podávaných na základe voľných miest (ako v rámci iniciatívy Dobrovoľníci pomoci EÚ) k prijímaniu na základe zoznamov (ako v prípade Európskeho zboru solidarity). A nakoniec, v hodnotení sa poukázalo aj na dôležitosť ešte ďalšieho zjednodušenia postupov, čo sa dosiahne zosúladením procesu existujúcimi procesmi v rámci Európskeho zboru solidarity.</w:t>
      </w:r>
    </w:p>
    <w:p>
      <w:pPr>
        <w:rPr>
          <w:noProof/>
        </w:rPr>
      </w:pPr>
      <w:r>
        <w:rPr>
          <w:noProof/>
        </w:rPr>
        <w:t>Keďže Európsky zbor solidarity okrem toho veľmi výrazne vychádza z predchádzajúcej Európskej dobrovoľníckej služby implementovanej v rámci programu Erasmus+, cenné poznatky poskytuje hodnotenie programu Erasmus+ v polovici trvania</w:t>
      </w:r>
      <w:r>
        <w:rPr>
          <w:rStyle w:val="FootnoteReference"/>
          <w:rFonts w:eastAsiaTheme="majorEastAsia"/>
          <w:noProof/>
        </w:rPr>
        <w:footnoteReference w:id="10"/>
      </w:r>
      <w:r>
        <w:rPr>
          <w:noProof/>
        </w:rPr>
        <w:t>. V hlavných výsledkoch sa poukazuje na účinnosť programu Erasmus+ v rámci rozvoja zručností a schopností, na jeho nespornú európsku pridanú hodnotu, na vysoký stupeň súdržnosti, a to najmä z dôvodu zlučovania programov a používania jednej značky, a efektívnosť a jednoduchosť, ktoré zdôrazňujú nákladovú účinnosť opatrení v oblasti mobility a nižšie náklady na riadenie (ktoré sú menej než polovičné v porovnaní s podobnými národnými programami).</w:t>
      </w:r>
    </w:p>
    <w:p>
      <w:pPr>
        <w:rPr>
          <w:noProof/>
        </w:rPr>
      </w:pPr>
      <w:r>
        <w:rPr>
          <w:noProof/>
        </w:rPr>
        <w:t>Tieto výsledky podporujú myšlienku, že rozšírenie rozsahu činností Európskeho zboru solidarity tak, aby zahŕňal činnosti, ktoré sa v súčasnosti vykonávajú v rámci iniciatívy Dobrovoľníci pomoci EÚ, sa prejaví zvýšením efektívnosti, prehľadnejšou značkou a umiestňovaním a vyšším počtom príležitostí pre mladých ľudí.</w:t>
      </w:r>
    </w:p>
    <w:p>
      <w:pPr>
        <w:pStyle w:val="ManualHeading2"/>
        <w:rPr>
          <w:noProof/>
        </w:rPr>
      </w:pPr>
      <w:r>
        <w:rPr>
          <w:noProof/>
        </w:rPr>
        <w:t>•</w:t>
      </w:r>
      <w:r>
        <w:rPr>
          <w:noProof/>
        </w:rPr>
        <w:tab/>
        <w:t>Konzultácie so zainteresovanými stranami</w:t>
      </w:r>
    </w:p>
    <w:p>
      <w:pPr>
        <w:rPr>
          <w:noProof/>
        </w:rPr>
      </w:pPr>
      <w:r>
        <w:rPr>
          <w:noProof/>
        </w:rPr>
        <w:t>Nedávna verejná konzultácia o fondoch EÚ v oblasti hodnôt a mobility</w:t>
      </w:r>
      <w:r>
        <w:rPr>
          <w:rStyle w:val="FootnoteReference"/>
          <w:rFonts w:eastAsiaTheme="majorEastAsia"/>
          <w:noProof/>
        </w:rPr>
        <w:footnoteReference w:id="11"/>
      </w:r>
      <w:r>
        <w:rPr>
          <w:noProof/>
        </w:rPr>
        <w:t xml:space="preserve"> poskytuje určité informácie a analýzu, ktorá je podstatná pre iniciatívu Dobrovoľníci pomoci EÚ, ako aj pre súčasný Európsky zbor solidarity. Reakcia na konzultáciu bola pomerne veľká, zúčastnilo sa na nej 1 839 jednotlivých respondentov, z ktorých 1 199 zastupovalo nejakú organizáciu. Hoci zatiaľ nebola vypracovaná nijaká podrobná analýza výsledkov, možno z nich vyvodiť určité predbežné pozorovania. Napríklad vyše 75 % respondentov je presvedčených o dôležitosti podpory solidarity, sociálneho začlenenia a rozvoja zručností prostredníctvom mobility. O tom, že sa riešeniu týchto problémov venuje plná alebo riadna pozornosť, je však presvedčených menej než 40 % respondentov. Respondenti však jednako jasne vidia pridanú hodnotu opatrenia EÚ v tomto sektore: vyše 75 % z nich je presvedčených, že súčasné programy na rozdiel od toho, čo by členské štáty mohli dosiahnuť na vnútroštátnej, regionálnej a/alebo miestnej úrovni, vytvárajú pridanú hodnotu.</w:t>
      </w:r>
    </w:p>
    <w:p>
      <w:pPr>
        <w:rPr>
          <w:noProof/>
        </w:rPr>
      </w:pPr>
      <w:r>
        <w:rPr>
          <w:noProof/>
        </w:rPr>
        <w:t>Spomedzi respondentov ich 135 odpovedalo so zreteľom na iniciatívu Dobrovoľníci pomoci EÚ a/alebo Európsky zbor solidarity. Z nich je 82 % presvedčených, že absencia rozpočtu na uspokojenie dopytu predstavuje jednu z hlavných prekážok, ktoré bránia súčasným programom, aby aspoň do určitej miery dosiahli svoje ciele. V spojení so zjednodušením, ktoré sa má dosiahnuť ich zlúčením, sa takisto musí poukázať na to, že vyše 68 % respondentov je presvedčených, že zjednodušenie formulárov a výberového konania na udelenie grantu by pomohlo zlepšiť výsledky programov.</w:t>
      </w:r>
    </w:p>
    <w:p>
      <w:pPr>
        <w:pStyle w:val="ManualHeading2"/>
        <w:rPr>
          <w:noProof/>
        </w:rPr>
      </w:pPr>
      <w:r>
        <w:rPr>
          <w:noProof/>
        </w:rPr>
        <w:t>•</w:t>
      </w:r>
      <w:r>
        <w:rPr>
          <w:noProof/>
        </w:rPr>
        <w:tab/>
        <w:t>Posúdenie vplyvu</w:t>
      </w:r>
    </w:p>
    <w:p>
      <w:pPr>
        <w:rPr>
          <w:noProof/>
        </w:rPr>
      </w:pPr>
      <w:r>
        <w:rPr>
          <w:noProof/>
        </w:rPr>
        <w:t>Posúdenie vplyvu sa neuskutočnilo, keďže obsah tohto návrhu je v súlade s existujúcim Európskym zborom solidarity. Návrh sa však vzhľadom na to, že sú s ním spojené značné výdavky, dopĺňa o </w:t>
      </w:r>
      <w:r>
        <w:rPr>
          <w:i/>
          <w:noProof/>
        </w:rPr>
        <w:t>ex ante</w:t>
      </w:r>
      <w:r>
        <w:rPr>
          <w:noProof/>
        </w:rPr>
        <w:t>, aby sa splnili požiadavky stanovené v nariadení o rozpočtových pravidlách</w:t>
      </w:r>
      <w:r>
        <w:rPr>
          <w:rStyle w:val="FootnoteReference"/>
          <w:noProof/>
        </w:rPr>
        <w:footnoteReference w:id="12"/>
      </w:r>
      <w:r>
        <w:rPr>
          <w:noProof/>
        </w:rPr>
        <w:t>.</w:t>
      </w:r>
    </w:p>
    <w:p>
      <w:pPr>
        <w:rPr>
          <w:noProof/>
        </w:rPr>
      </w:pPr>
      <w:r>
        <w:rPr>
          <w:noProof/>
        </w:rPr>
        <w:t>V hodnotení sa skúmali problémy, ktoré sa môžu vyskytnúť z dôvodu rozšírenia rozsahu činností a geografickej pôsobnosti, ako aj problémy zistené pri implementácii súčasných programov Európsky zbor solidarity a Dobrovoľníci pomoci EÚ. Z hodnotenia vyplynulo, že EÚ by mala riešiť tieto hlavné problémy v rámci rozšíreného Európskeho zboru solidarity:</w:t>
      </w:r>
    </w:p>
    <w:p>
      <w:pPr>
        <w:pStyle w:val="ListBullet"/>
        <w:numPr>
          <w:ilvl w:val="0"/>
          <w:numId w:val="49"/>
        </w:numPr>
        <w:rPr>
          <w:rFonts w:eastAsia="Calibri"/>
          <w:noProof/>
        </w:rPr>
      </w:pPr>
      <w:r>
        <w:rPr>
          <w:noProof/>
        </w:rPr>
        <w:t>Komunikácia: v rámci prvej fázy Európskeho zboru solidarity sa medzi potenciálnymi účastníkmi vyskytli určité nejasnosti týkajúce sa jeho úlohy. Vzťahovalo sa to najmä na príslušné programy, ktoré tvoria súčasť prvej fázy, a rozdiely od iniciatívy Dobrovoľníci pomoci EÚ.</w:t>
      </w:r>
    </w:p>
    <w:p>
      <w:pPr>
        <w:pStyle w:val="ListBullet"/>
        <w:numPr>
          <w:ilvl w:val="0"/>
          <w:numId w:val="49"/>
        </w:numPr>
        <w:rPr>
          <w:rFonts w:eastAsia="Calibri"/>
          <w:noProof/>
        </w:rPr>
      </w:pPr>
      <w:r>
        <w:rPr>
          <w:noProof/>
        </w:rPr>
        <w:t>Koherentnosť: dva najviac viditeľné dobrovoľnícke programy EÚ sú oddelené.</w:t>
      </w:r>
    </w:p>
    <w:p>
      <w:pPr>
        <w:pStyle w:val="ListBullet"/>
        <w:numPr>
          <w:ilvl w:val="0"/>
          <w:numId w:val="49"/>
        </w:numPr>
        <w:rPr>
          <w:rFonts w:eastAsia="Calibri"/>
          <w:noProof/>
        </w:rPr>
      </w:pPr>
      <w:r>
        <w:rPr>
          <w:noProof/>
        </w:rPr>
        <w:t>Pomalé zavádzanie ponúk pracovných činností: ponúk stáží v podniku a pracovných miest je menej než sa očakávalo.</w:t>
      </w:r>
    </w:p>
    <w:p>
      <w:pPr>
        <w:pStyle w:val="ListBullet"/>
        <w:numPr>
          <w:ilvl w:val="0"/>
          <w:numId w:val="49"/>
        </w:numPr>
        <w:rPr>
          <w:rFonts w:eastAsia="Calibri"/>
          <w:noProof/>
        </w:rPr>
      </w:pPr>
      <w:r>
        <w:rPr>
          <w:noProof/>
        </w:rPr>
        <w:t>Spolupráca s vnútroštátnymi systémami: s cieľom zabrániť možnému prekrývaniu programov by sa mala zvýšiť spolupráca s vnútroštátnymi rámcami, iniciatívami a systémami, ako napríklad s programami občianskych služieb alebo so súkromne prevádzkovanými iniciatívami.</w:t>
      </w:r>
    </w:p>
    <w:p>
      <w:pPr>
        <w:pStyle w:val="ListBullet"/>
        <w:numPr>
          <w:ilvl w:val="0"/>
          <w:numId w:val="49"/>
        </w:numPr>
        <w:rPr>
          <w:rFonts w:eastAsia="Calibri"/>
          <w:noProof/>
        </w:rPr>
      </w:pPr>
      <w:r>
        <w:rPr>
          <w:noProof/>
        </w:rPr>
        <w:t>Medzigeneračný rozmer: medzi bývalými, súčasnými a budúcim účastníkmi neexistuje prepojenie. To sa prejavuje v strate odborných znalostí, ktoré sa neprenesú z jednej generácie na druhú.</w:t>
      </w:r>
    </w:p>
    <w:p>
      <w:pPr>
        <w:pStyle w:val="ListBullet"/>
        <w:numPr>
          <w:ilvl w:val="0"/>
          <w:numId w:val="49"/>
        </w:numPr>
        <w:rPr>
          <w:rFonts w:eastAsia="Calibri"/>
          <w:noProof/>
        </w:rPr>
      </w:pPr>
      <w:r>
        <w:rPr>
          <w:noProof/>
        </w:rPr>
        <w:t>Budovanie komunity: zručnosti získané prostredníctvom Európskeho zboru solidarity by nemali byť prínosom iba pre projekty, ktoré už boli dokončené, ale mali by byť zdieľané medzi mladými ľuďmi aj mimo nich. Zbor prichádza o tieto znalosti a výmenu skúseností.</w:t>
      </w:r>
    </w:p>
    <w:p>
      <w:pPr>
        <w:pStyle w:val="ListBullet"/>
        <w:numPr>
          <w:ilvl w:val="0"/>
          <w:numId w:val="49"/>
        </w:numPr>
        <w:rPr>
          <w:rFonts w:eastAsia="Calibri"/>
          <w:noProof/>
        </w:rPr>
      </w:pPr>
      <w:r>
        <w:rPr>
          <w:noProof/>
        </w:rPr>
        <w:t>Vytvorenie systému riadenia vedomostí: v záujme zvýšenia kvality vykazovania výsledkov musí program lepšie riešiť tento problém, a to od zberu údajov po určovanie a šírenie najlepších postupov pri riadení projektov.</w:t>
      </w:r>
    </w:p>
    <w:p>
      <w:pPr>
        <w:pStyle w:val="ListBullet"/>
        <w:numPr>
          <w:ilvl w:val="0"/>
          <w:numId w:val="49"/>
        </w:numPr>
        <w:rPr>
          <w:rFonts w:eastAsia="Calibri"/>
          <w:noProof/>
        </w:rPr>
      </w:pPr>
      <w:r>
        <w:rPr>
          <w:noProof/>
        </w:rPr>
        <w:t>Zjednodušenie procesu a postupov, ktorými sa riadi program: zlepšením prístupu k elektronickým formulárom a ich zjednodušením by sa zvýšilo množstvo ponúk organizácií. Výzvy by mohli vzniknúť v dôsledku zložitých právnych predpisov alebo súboru legislatívnych aktov, ktorým chýba pružnosť na prispôsobenie sa meniacim sa potrebám programu.</w:t>
      </w:r>
    </w:p>
    <w:p>
      <w:pPr>
        <w:pStyle w:val="ListBullet"/>
        <w:numPr>
          <w:ilvl w:val="0"/>
          <w:numId w:val="49"/>
        </w:numPr>
        <w:rPr>
          <w:rFonts w:eastAsia="Calibri"/>
          <w:noProof/>
        </w:rPr>
      </w:pPr>
      <w:r>
        <w:rPr>
          <w:noProof/>
        </w:rPr>
        <w:t>Vysielanie dobrovoľníkov na činnosti humanitárnej pomoci: jedným z hlavných problémov je zdĺhavé zdržanie, ktoré uplynie od prihlásenia kandidátov do ich vyslania.</w:t>
      </w:r>
    </w:p>
    <w:p>
      <w:pPr>
        <w:rPr>
          <w:noProof/>
        </w:rPr>
      </w:pPr>
      <w:r>
        <w:rPr>
          <w:noProof/>
        </w:rPr>
        <w:t>Všetky tieto výzvy sú podrobnejšie vysvetlené v hodnotení priloženom k tomuto návrhu. Tieto výzvy sa riešia v tomto nariadení.</w:t>
      </w:r>
    </w:p>
    <w:p>
      <w:pPr>
        <w:pStyle w:val="ManualHeading2"/>
        <w:rPr>
          <w:noProof/>
        </w:rPr>
      </w:pPr>
      <w:r>
        <w:rPr>
          <w:noProof/>
        </w:rPr>
        <w:t>•</w:t>
      </w:r>
      <w:r>
        <w:rPr>
          <w:noProof/>
        </w:rPr>
        <w:tab/>
        <w:t>Zjednodušenie</w:t>
      </w:r>
    </w:p>
    <w:p>
      <w:pPr>
        <w:rPr>
          <w:noProof/>
        </w:rPr>
      </w:pPr>
      <w:r>
        <w:rPr>
          <w:noProof/>
        </w:rPr>
        <w:t>Týmto návrhom sa zavádza niekoľko zjednodušení, ktoré sa delia na tri široké kategórie.</w:t>
      </w:r>
    </w:p>
    <w:p>
      <w:pPr>
        <w:pStyle w:val="ListBullet"/>
        <w:numPr>
          <w:ilvl w:val="0"/>
          <w:numId w:val="49"/>
        </w:numPr>
        <w:rPr>
          <w:rFonts w:eastAsia="Calibri"/>
          <w:noProof/>
        </w:rPr>
      </w:pPr>
      <w:r>
        <w:rPr>
          <w:noProof/>
        </w:rPr>
        <w:t>V prípade jednotlivcov: rozšírenie rozsahu bude znamenať, že všetky dobrovoľnícke činnosti a solidárne činnosti budú patriť do toho istého programu. Tým sa výrazne zjednoduší prístup k príležitostiam pre mladých ľudí, ktorí majú záujem zapojiť sa do solidárnych činností.</w:t>
      </w:r>
    </w:p>
    <w:p>
      <w:pPr>
        <w:pStyle w:val="ListBullet"/>
        <w:numPr>
          <w:ilvl w:val="0"/>
          <w:numId w:val="49"/>
        </w:numPr>
        <w:rPr>
          <w:rFonts w:eastAsia="Calibri"/>
          <w:noProof/>
        </w:rPr>
      </w:pPr>
      <w:r>
        <w:rPr>
          <w:noProof/>
        </w:rPr>
        <w:t>V prípade organizácií: zladením všetkých pravidiel programu, od pravidiel týkajúcich sa žiadostí o akreditáciu po požiadavky na podávanie správ na konci projektu, sa zreteľne zjednoduší práca účastníckych organizácií vo všetkých fázach projektového cyklu. Zníži sa aj počet výziev na predkladanie návrhov, čo sa prejaví znížením objemu práce organizácií.</w:t>
      </w:r>
    </w:p>
    <w:p>
      <w:pPr>
        <w:pStyle w:val="ListBullet"/>
        <w:numPr>
          <w:ilvl w:val="0"/>
          <w:numId w:val="49"/>
        </w:numPr>
        <w:rPr>
          <w:rFonts w:eastAsia="Calibri"/>
          <w:noProof/>
        </w:rPr>
      </w:pPr>
      <w:r>
        <w:rPr>
          <w:noProof/>
        </w:rPr>
        <w:t>Na inštitucionálnej úrovni: začlenenie činností, ktoré sa v súčasnosti vykonávajú v rámci iniciatívy Dobrovoľníci pomoci EÚ, do Európskeho zboru solidarity pomôže zjednodušiť prácu, ktorú je potrebné vykonať pri každom prvku programu. Napríklad v prípade poistenia bude potrebná iba jedna výzva na predloženie ponuky namiesto dvoch. Ďalším príkladom je hodnotenie návrhov prijatých na vnútroštátnej aj centralizovanej úrovni, ktoré sa zlúči, pričom sa bude ďalej brať aj na osobitné prvky jednotlivých činností.</w:t>
      </w:r>
    </w:p>
    <w:p>
      <w:pPr>
        <w:rPr>
          <w:noProof/>
        </w:rPr>
      </w:pPr>
      <w:r>
        <w:rPr>
          <w:noProof/>
        </w:rPr>
        <w:t>Okrem toho sa zvažujú ďalšie zjednodušenia existujúcich postupov. Dobrým príkladom sú elektronické formuláre, ktoré organizácie musia vypĺňať, ak chcú požiadať o poskytnutie finančných prostriedkov alebo o udelenie značky kvality. Tieto formuláre sa neustále zjednodušujú a vyžadujú si od organizácií čoraz menej práce, pričom naďalej zaručujú vysokú kvalitu ponúkaných činností.</w:t>
      </w:r>
    </w:p>
    <w:p>
      <w:pPr>
        <w:pStyle w:val="ManualHeading2"/>
        <w:rPr>
          <w:noProof/>
        </w:rPr>
      </w:pPr>
      <w:r>
        <w:rPr>
          <w:noProof/>
        </w:rPr>
        <w:t>•</w:t>
      </w:r>
      <w:r>
        <w:rPr>
          <w:noProof/>
        </w:rPr>
        <w:tab/>
        <w:t>Základné práva</w:t>
      </w:r>
    </w:p>
    <w:p>
      <w:pPr>
        <w:rPr>
          <w:noProof/>
        </w:rPr>
      </w:pPr>
      <w:r>
        <w:rPr>
          <w:noProof/>
        </w:rPr>
        <w:t>Tento návrh je plne v súlade s Chartou základných práv EÚ</w:t>
      </w:r>
      <w:r>
        <w:rPr>
          <w:rStyle w:val="FootnoteReference"/>
          <w:rFonts w:eastAsiaTheme="majorEastAsia"/>
          <w:noProof/>
        </w:rPr>
        <w:footnoteReference w:id="13"/>
      </w:r>
      <w:r>
        <w:rPr>
          <w:noProof/>
        </w:rPr>
        <w:t>, v ktorej sa uznáva, že solidarita patrí medzi univerzálne hodnoty, na ktorých je založená EÚ. V tomto návrhu sa v plnej miere zohľadňujú predovšetkým práva a zákazy stanovené v týchto článkoch Charty:</w:t>
      </w:r>
    </w:p>
    <w:p>
      <w:pPr>
        <w:pStyle w:val="ListBullet"/>
        <w:numPr>
          <w:ilvl w:val="0"/>
          <w:numId w:val="51"/>
        </w:numPr>
        <w:pBdr>
          <w:top w:val="nil"/>
          <w:left w:val="nil"/>
          <w:bottom w:val="nil"/>
          <w:right w:val="nil"/>
          <w:between w:val="nil"/>
          <w:bar w:val="nil"/>
        </w:pBdr>
        <w:tabs>
          <w:tab w:val="left" w:pos="360"/>
        </w:tabs>
        <w:rPr>
          <w:rFonts w:eastAsia="Calibri"/>
          <w:noProof/>
        </w:rPr>
      </w:pPr>
      <w:r>
        <w:rPr>
          <w:noProof/>
        </w:rPr>
        <w:t>5 (Zákaz otroctva a nútených prác),</w:t>
      </w:r>
    </w:p>
    <w:p>
      <w:pPr>
        <w:pStyle w:val="ListBullet"/>
        <w:numPr>
          <w:ilvl w:val="0"/>
          <w:numId w:val="51"/>
        </w:numPr>
        <w:pBdr>
          <w:top w:val="nil"/>
          <w:left w:val="nil"/>
          <w:bottom w:val="nil"/>
          <w:right w:val="nil"/>
          <w:between w:val="nil"/>
          <w:bar w:val="nil"/>
        </w:pBdr>
        <w:tabs>
          <w:tab w:val="left" w:pos="360"/>
        </w:tabs>
        <w:rPr>
          <w:rFonts w:eastAsia="Calibri"/>
          <w:noProof/>
        </w:rPr>
      </w:pPr>
      <w:r>
        <w:rPr>
          <w:noProof/>
        </w:rPr>
        <w:t>14 (Právo na vzdelanie),</w:t>
      </w:r>
    </w:p>
    <w:p>
      <w:pPr>
        <w:pStyle w:val="ListBullet"/>
        <w:numPr>
          <w:ilvl w:val="0"/>
          <w:numId w:val="51"/>
        </w:numPr>
        <w:pBdr>
          <w:top w:val="nil"/>
          <w:left w:val="nil"/>
          <w:bottom w:val="nil"/>
          <w:right w:val="nil"/>
          <w:between w:val="nil"/>
          <w:bar w:val="nil"/>
        </w:pBdr>
        <w:tabs>
          <w:tab w:val="left" w:pos="360"/>
        </w:tabs>
        <w:rPr>
          <w:rFonts w:eastAsia="Calibri"/>
          <w:noProof/>
        </w:rPr>
      </w:pPr>
      <w:r>
        <w:rPr>
          <w:noProof/>
        </w:rPr>
        <w:t>15 (Slobodná voľba povolania a právo na prácu),</w:t>
      </w:r>
    </w:p>
    <w:p>
      <w:pPr>
        <w:pStyle w:val="ListBullet"/>
        <w:numPr>
          <w:ilvl w:val="0"/>
          <w:numId w:val="51"/>
        </w:numPr>
        <w:pBdr>
          <w:top w:val="nil"/>
          <w:left w:val="nil"/>
          <w:bottom w:val="nil"/>
          <w:right w:val="nil"/>
          <w:between w:val="nil"/>
          <w:bar w:val="nil"/>
        </w:pBdr>
        <w:tabs>
          <w:tab w:val="left" w:pos="360"/>
        </w:tabs>
        <w:rPr>
          <w:rFonts w:eastAsia="Calibri"/>
          <w:noProof/>
        </w:rPr>
      </w:pPr>
      <w:r>
        <w:rPr>
          <w:noProof/>
        </w:rPr>
        <w:t>21 (Nediskriminácia),</w:t>
      </w:r>
    </w:p>
    <w:p>
      <w:pPr>
        <w:pStyle w:val="ListBullet"/>
        <w:numPr>
          <w:ilvl w:val="0"/>
          <w:numId w:val="51"/>
        </w:numPr>
        <w:pBdr>
          <w:top w:val="nil"/>
          <w:left w:val="nil"/>
          <w:bottom w:val="nil"/>
          <w:right w:val="nil"/>
          <w:between w:val="nil"/>
          <w:bar w:val="nil"/>
        </w:pBdr>
        <w:tabs>
          <w:tab w:val="left" w:pos="360"/>
        </w:tabs>
        <w:rPr>
          <w:rFonts w:eastAsia="Calibri"/>
          <w:noProof/>
        </w:rPr>
      </w:pPr>
      <w:r>
        <w:rPr>
          <w:noProof/>
        </w:rPr>
        <w:t>23 (Rovnosť medzi ženami a mužmi),</w:t>
      </w:r>
    </w:p>
    <w:p>
      <w:pPr>
        <w:pStyle w:val="ListBullet"/>
        <w:numPr>
          <w:ilvl w:val="0"/>
          <w:numId w:val="51"/>
        </w:numPr>
        <w:pBdr>
          <w:top w:val="nil"/>
          <w:left w:val="nil"/>
          <w:bottom w:val="nil"/>
          <w:right w:val="nil"/>
          <w:between w:val="nil"/>
          <w:bar w:val="nil"/>
        </w:pBdr>
        <w:tabs>
          <w:tab w:val="left" w:pos="360"/>
        </w:tabs>
        <w:rPr>
          <w:rFonts w:eastAsia="Calibri"/>
          <w:noProof/>
        </w:rPr>
      </w:pPr>
      <w:r>
        <w:rPr>
          <w:noProof/>
        </w:rPr>
        <w:t>24 (Práva dieťaťa),</w:t>
      </w:r>
    </w:p>
    <w:p>
      <w:pPr>
        <w:pStyle w:val="ListBullet"/>
        <w:numPr>
          <w:ilvl w:val="0"/>
          <w:numId w:val="51"/>
        </w:numPr>
        <w:pBdr>
          <w:top w:val="nil"/>
          <w:left w:val="nil"/>
          <w:bottom w:val="nil"/>
          <w:right w:val="nil"/>
          <w:between w:val="nil"/>
          <w:bar w:val="nil"/>
        </w:pBdr>
        <w:tabs>
          <w:tab w:val="left" w:pos="360"/>
        </w:tabs>
        <w:rPr>
          <w:rFonts w:eastAsia="Calibri"/>
          <w:noProof/>
        </w:rPr>
      </w:pPr>
      <w:r>
        <w:rPr>
          <w:noProof/>
        </w:rPr>
        <w:t>26 (Integrácia osôb so zdravotným postihnutím),</w:t>
      </w:r>
    </w:p>
    <w:p>
      <w:pPr>
        <w:pStyle w:val="ListBullet"/>
        <w:numPr>
          <w:ilvl w:val="0"/>
          <w:numId w:val="51"/>
        </w:numPr>
        <w:pBdr>
          <w:top w:val="nil"/>
          <w:left w:val="nil"/>
          <w:bottom w:val="nil"/>
          <w:right w:val="nil"/>
          <w:between w:val="nil"/>
          <w:bar w:val="nil"/>
        </w:pBdr>
        <w:tabs>
          <w:tab w:val="left" w:pos="360"/>
        </w:tabs>
        <w:rPr>
          <w:rFonts w:eastAsia="Calibri"/>
          <w:noProof/>
        </w:rPr>
      </w:pPr>
      <w:r>
        <w:rPr>
          <w:noProof/>
        </w:rPr>
        <w:t>31 (Spravodlivé a primerané pracovné podmienky) a</w:t>
      </w:r>
    </w:p>
    <w:p>
      <w:pPr>
        <w:pStyle w:val="ListBullet"/>
        <w:numPr>
          <w:ilvl w:val="0"/>
          <w:numId w:val="51"/>
        </w:numPr>
        <w:pBdr>
          <w:top w:val="nil"/>
          <w:left w:val="nil"/>
          <w:bottom w:val="nil"/>
          <w:right w:val="nil"/>
          <w:between w:val="nil"/>
          <w:bar w:val="nil"/>
        </w:pBdr>
        <w:tabs>
          <w:tab w:val="left" w:pos="360"/>
        </w:tabs>
        <w:rPr>
          <w:rFonts w:eastAsia="Calibri"/>
          <w:noProof/>
        </w:rPr>
      </w:pPr>
      <w:r>
        <w:rPr>
          <w:noProof/>
        </w:rPr>
        <w:t>32 (Zákaz detskej práce a ochrana mladistvých pri práci).</w:t>
      </w:r>
    </w:p>
    <w:p>
      <w:pPr>
        <w:rPr>
          <w:noProof/>
        </w:rPr>
      </w:pPr>
      <w:r>
        <w:rPr>
          <w:noProof/>
        </w:rPr>
        <w:t>Rozšírenie rozsahu tak, aby zahŕňal podporu operáciám humanitárnej pomoci v krajinách mimo EÚ, navyše pomôže nediskriminačnému poskytovaniu podpory, pomoci a ochranných činností v týchto krajinách. Okrem toho by sa niektoré činnosti mohli zamerať na podporu zraniteľných skupín poskytovanú organizáciami občianskej spoločnosti krajín mimo EÚ, ktoré sa zaoberajú záležitosťami v oblasti migrácie alebo poskytovaním potravinovej a nepotravinovej pomoci v dôsledku prírodnej katastrofy. V každom prípade a bez ohľadu na ich cieľ by činnosti na podporu humanitárnej pomoci mali podporovať hodnoty EÚ vrátane ochrany základných práv v komunitách, kde sa činnosti vykonávajú.</w:t>
      </w:r>
    </w:p>
    <w:p>
      <w:pPr>
        <w:pStyle w:val="ManualHeading1"/>
        <w:spacing w:before="120"/>
        <w:rPr>
          <w:noProof/>
        </w:rPr>
      </w:pPr>
      <w:r>
        <w:rPr>
          <w:noProof/>
        </w:rPr>
        <w:t>4.</w:t>
      </w:r>
      <w:r>
        <w:rPr>
          <w:noProof/>
        </w:rPr>
        <w:tab/>
        <w:t>VPLYV NA ROZPOČET</w:t>
      </w:r>
    </w:p>
    <w:p>
      <w:pPr>
        <w:rPr>
          <w:noProof/>
        </w:rPr>
      </w:pPr>
      <w:r>
        <w:rPr>
          <w:noProof/>
        </w:rPr>
        <w:t>V súlade s návrhom Komisie týkajúcim sa viacročného finančného rámca na roky 2021 – 2027 sa finančná alokácia na implementáciu programu v uvedenom období stanovuje na 1 260 000 000 EUR v bežných cenách</w:t>
      </w:r>
      <w:r>
        <w:rPr>
          <w:rStyle w:val="FootnoteReference"/>
          <w:rFonts w:eastAsiaTheme="majorEastAsia"/>
          <w:noProof/>
        </w:rPr>
        <w:footnoteReference w:id="14"/>
      </w:r>
      <w:r>
        <w:rPr>
          <w:noProof/>
        </w:rPr>
        <w:t>.</w:t>
      </w:r>
    </w:p>
    <w:p>
      <w:pPr>
        <w:rPr>
          <w:noProof/>
        </w:rPr>
      </w:pPr>
      <w:r>
        <w:rPr>
          <w:noProof/>
        </w:rPr>
        <w:t>Ďalšie podrobnosti o vplyve na rozpočet a o potrebných ľudských a administratívnych zdrojoch sa uvádzajú v legislatívnom finančnom výkaze pripojenom k tomuto návrhu.</w:t>
      </w:r>
    </w:p>
    <w:p>
      <w:pPr>
        <w:pStyle w:val="ManualHeading1"/>
        <w:spacing w:before="120"/>
        <w:rPr>
          <w:noProof/>
        </w:rPr>
      </w:pPr>
      <w:r>
        <w:rPr>
          <w:noProof/>
        </w:rPr>
        <w:t>5.</w:t>
      </w:r>
      <w:r>
        <w:rPr>
          <w:noProof/>
        </w:rPr>
        <w:tab/>
        <w:t>ĎALŠIE PRVKY</w:t>
      </w:r>
    </w:p>
    <w:p>
      <w:pPr>
        <w:pStyle w:val="ManualHeading2"/>
        <w:rPr>
          <w:noProof/>
        </w:rPr>
      </w:pPr>
      <w:r>
        <w:rPr>
          <w:noProof/>
        </w:rPr>
        <w:t>•</w:t>
      </w:r>
      <w:r>
        <w:rPr>
          <w:noProof/>
        </w:rPr>
        <w:tab/>
        <w:t>Plány vykonávania, spôsob monitorovania, hodnotenia a podávania správ</w:t>
      </w:r>
    </w:p>
    <w:p>
      <w:pPr>
        <w:rPr>
          <w:noProof/>
        </w:rPr>
      </w:pPr>
      <w:r>
        <w:rPr>
          <w:noProof/>
        </w:rPr>
        <w:t xml:space="preserve">V Európskom zbore solidarity sa využijú riadiace a vykonávacie opatrenia, ktoré už boli zavedené v rámci programu Erasmus+. Tento postup je v súlade s analýzou, ktorá sa vykonala v rámci hodnotenia </w:t>
      </w:r>
      <w:r>
        <w:rPr>
          <w:i/>
          <w:noProof/>
        </w:rPr>
        <w:t>ex ante</w:t>
      </w:r>
      <w:r>
        <w:rPr>
          <w:noProof/>
        </w:rPr>
        <w:t>, ktoré tvorí sprievodný dokument k tomuto návrhu. Zabezpečí sa tým aj efektívne a účinné vykonávanie, maximálne sa využije synergia a minimalizuje sa administratívna záťaž.</w:t>
      </w:r>
    </w:p>
    <w:p>
      <w:pPr>
        <w:rPr>
          <w:noProof/>
        </w:rPr>
      </w:pPr>
      <w:r>
        <w:rPr>
          <w:noProof/>
        </w:rPr>
        <w:t>Monitorovacie a hodnotiace opatrenia pre Európsky zbor solidarity budú pozostávať zo stáleho monitorovania v záujme posúdenia pokroku a z hodnotenia v záujme posúdenia dostupných dôkazov o účinnosti dosiahnutých výsledkov.</w:t>
      </w:r>
    </w:p>
    <w:p>
      <w:pPr>
        <w:rPr>
          <w:noProof/>
        </w:rPr>
      </w:pPr>
      <w:r>
        <w:rPr>
          <w:noProof/>
        </w:rPr>
        <w:t>Monitorovacie opatrenia budú vychádzať z rozsiahlej analýzy kvantitatívnych výstupov a kvalitatívnych výsledkov zboru. Kvantitatívne výstupy sa budú systematicky získavať prostredníctvom systémov IT zavedených na riadenie akcií zboru. Kvalitatívne výsledky sa budú monitorovať prostredníctvom pravidelných prieskumov zameraných na jednotlivcov, ako aj na účastnícke organizácie. Mechanizmami predkladania správ a posudzovania zo strany všetkých vykonávacích orgánov sa zabezpečí komplexné monitorovanie vykonávania návrhu.</w:t>
      </w:r>
    </w:p>
    <w:p>
      <w:pPr>
        <w:rPr>
          <w:noProof/>
        </w:rPr>
      </w:pPr>
      <w:r>
        <w:rPr>
          <w:noProof/>
        </w:rPr>
        <w:t>Program sa okrem toho nezávisle vyhodnotí po štyroch rokoch odo dňa jeho prijatia v záujme posúdenia kvalitatívnych výsledkov podporovaných akcií. Vyhodnotí sa aj ich vplyv na zapojených mladých ľudí a organizácie, ako aj na zvýšenie efektívnosti pozorované počas prvých štyroch rokov. V hodnotení by sa mali zohľadniť existujúce dôkazy o účinnosti a vplyve výsledkov zboru. Medzi zdroje overovania budú patriť údaje z monitorovania, informácie obsiahnuté v pracovných plánoch a správach od vykonávacích orgánov, výsledky vyplývajúce zo šírenia, dôkazové štúdie, prieskumy atď.</w:t>
      </w:r>
    </w:p>
    <w:p>
      <w:pPr>
        <w:rPr>
          <w:noProof/>
        </w:rPr>
      </w:pPr>
      <w:r>
        <w:rPr>
          <w:noProof/>
        </w:rPr>
        <w:t>Hodnotenia sa vykonajú v súlade s odsekmi 22 a 23 Medziinštitucionálnej dohody z 13. apríla 2016</w:t>
      </w:r>
      <w:r>
        <w:rPr>
          <w:rStyle w:val="FootnoteReference"/>
          <w:rFonts w:eastAsiaTheme="majorEastAsia"/>
          <w:noProof/>
        </w:rPr>
        <w:footnoteReference w:id="15"/>
      </w:r>
      <w:r>
        <w:rPr>
          <w:noProof/>
        </w:rPr>
        <w:t>, v rámci ktorej tri inštitúcie potvrdili, že hodnotenia existujúcich právnych predpisov a politiky by mali tvoriť základ posúdení vplyvu stanovísk pre ďalšie akcie. V rámci hodnotení sa posúdia účinky programu na mieste na základe ukazovateľov/cieľov programu a podrobnej analýzy stupňa, v akom možno program považovať za relevantný, efektívny, účinný, poskytujúci dostatočnú pridanú hodnotu EÚ a v súlade s ostatnými politikami EÚ. Budú zahŕňať získané ponaučenia na identifikáciu nedostatkov/problémov alebo akéhokoľvek potenciálu na ďalšie zlepšenie akcií alebo ich výsledkov a na pomoc maximalizovať ich využitie/vplyv.</w:t>
      </w:r>
    </w:p>
    <w:p>
      <w:pPr>
        <w:pStyle w:val="ManualHeading2"/>
        <w:rPr>
          <w:noProof/>
        </w:rPr>
      </w:pPr>
      <w:r>
        <w:rPr>
          <w:noProof/>
        </w:rPr>
        <w:t>•</w:t>
      </w:r>
      <w:r>
        <w:rPr>
          <w:noProof/>
        </w:rPr>
        <w:tab/>
        <w:t>Podrobné vysvetlenie konkrétnych ustanovení návrhu</w:t>
      </w:r>
    </w:p>
    <w:p>
      <w:pPr>
        <w:rPr>
          <w:noProof/>
        </w:rPr>
      </w:pPr>
      <w:r>
        <w:rPr>
          <w:noProof/>
        </w:rPr>
        <w:t>V kapitole I – „Všeobecné ustanovenia“ navrhovaného nariadenia sa stanovuje predmet úpravy, vymedzenie určitých opakujúcich sa pojmov a všeobecné a špecifické ciele činností Európskeho zboru solidarity. Cieľom zboru je zvýšiť účasť mladých ľudí a organizácií na solidárnych činnostiach, ktoré sú kvalitné a dostupné pre všetkých mladých ľudí. Znamená to, že prispeje k posilneniu súdržnosti a solidarity v Európe a vo svete, k podpore komunít a k reagovaniu na spoločenské a humanitárne výzvy.</w:t>
      </w:r>
    </w:p>
    <w:p>
      <w:pPr>
        <w:rPr>
          <w:noProof/>
        </w:rPr>
      </w:pPr>
      <w:r>
        <w:rPr>
          <w:noProof/>
        </w:rPr>
        <w:t>Kapitola II – „Akcie Európskeho zboru solidarity“ obsahuje opis činností plánovaných na dosiahnutie cieľov navrhovaného nariadenia. Medzi podporné opatrenia EÚ patria dobrovoľnícke činnosti, stáže a pracovné miesta, projekty a činnosti súvisiace s vytváraním sietí, ktoré sa rozdeľujú na dve zložky, a opatrenia v oblasti kvality, ako aj podporné opatrenia, ktoré sú spoločné pre obe zložky.</w:t>
      </w:r>
    </w:p>
    <w:p>
      <w:pPr>
        <w:rPr>
          <w:noProof/>
        </w:rPr>
      </w:pPr>
      <w:r>
        <w:rPr>
          <w:noProof/>
        </w:rPr>
        <w:t>V kapitole III – „Účasť mladých ľudí na solidárnych činnostiach zameraných na riešenie spoločenských výziev“ sa opisujú akcie, ktoré sa majú implementovať v rámci prvej zložky. Medzi tieto akcie patria dobrovoľnícke činnosti, stáže a pracovné miesta, ako aj solidaritné projekty.</w:t>
      </w:r>
    </w:p>
    <w:p>
      <w:pPr>
        <w:rPr>
          <w:noProof/>
        </w:rPr>
      </w:pPr>
      <w:r>
        <w:rPr>
          <w:noProof/>
        </w:rPr>
        <w:t>V kapitole IV – „Európsky dobrovoľnícky zbor pre humanitárnu pomoc“ sú opísané akcie, ktoré sa majú implementovať v rámci druhej zložky, ktorú tvoria iba dobrovoľnícke činnosti.</w:t>
      </w:r>
    </w:p>
    <w:p>
      <w:pPr>
        <w:rPr>
          <w:noProof/>
        </w:rPr>
      </w:pPr>
      <w:r>
        <w:rPr>
          <w:noProof/>
        </w:rPr>
        <w:t>V kapitole V – „Finančné ustanovenia“ sa uvádzajú podrobné údaje o rozpočtových prostriedkoch pridelených na program.</w:t>
      </w:r>
    </w:p>
    <w:p>
      <w:pPr>
        <w:rPr>
          <w:noProof/>
        </w:rPr>
      </w:pPr>
      <w:r>
        <w:rPr>
          <w:noProof/>
        </w:rPr>
        <w:t>V kapitole VI – „Účasť na Európskom zbore solidarity“ sa stanovujú kritériá pre účastnícke krajiny, jednotlivcov a organizácie. Účastníckymi krajinami sú členské štáty EÚ, krajiny mimo EÚ pridružené k programu a tretie krajiny, ktoré nie sú pridružené k programu. Do Európskeho zboru solidarity sa na portáli Európskeho zboru solidarity môžu zaregistrovať mladí ľudia vo veku 17 až 30 rokov, ale svoju účasť môžu začať až vtedy, ak dosiahnu 18. Účastníckou organizáciou, ktorá môže ponúkať solidárne činnosti zaregistrovaným jednotlivcom, je akýkoľvek verejný alebo súkromný subjekt alebo medzinárodná organizácia, ktorá vykonáva solidárne činnosti, za predpokladu, že jej bola udelená značka kvality.</w:t>
      </w:r>
    </w:p>
    <w:p>
      <w:pPr>
        <w:rPr>
          <w:noProof/>
        </w:rPr>
      </w:pPr>
      <w:r>
        <w:rPr>
          <w:noProof/>
        </w:rPr>
        <w:t>V kapitole VII – „Programovanie, monitorovanie a hodnotenie“ sa stanovujú požiadavky v týchto oblastiach a uvádza sa v nej zoznam troch ukazovateľov, ktoré sa majú sledovať.</w:t>
      </w:r>
    </w:p>
    <w:p>
      <w:pPr>
        <w:rPr>
          <w:noProof/>
        </w:rPr>
      </w:pPr>
      <w:r>
        <w:rPr>
          <w:noProof/>
        </w:rPr>
        <w:t>V kapitole VIII – „Informácie, komunikácia a šírenie“ sa uvádzajú požiadavky týkajúce sa komunikácie.</w:t>
      </w:r>
    </w:p>
    <w:p>
      <w:pPr>
        <w:rPr>
          <w:noProof/>
        </w:rPr>
      </w:pPr>
      <w:r>
        <w:rPr>
          <w:noProof/>
        </w:rPr>
        <w:t xml:space="preserve">V kapitole IX – „Systém riadenia a auditu“ sa stanovujú vykonávacie orgány programu Európsky zbor solidarity. Z hľadiska riadenia je navrhovaným mechanizmom realizácie kombinácia nepriameho a priameho riadenia. Kombinácia spôsobov riadenia vychádza z pozitívnych skúseností z implementácie programu Erasmus+ a opiera sa o existujúce štruktúry tohto programu. </w:t>
      </w:r>
    </w:p>
    <w:p>
      <w:pPr>
        <w:rPr>
          <w:noProof/>
        </w:rPr>
      </w:pPr>
      <w:r>
        <w:rPr>
          <w:noProof/>
        </w:rPr>
        <w:t>V kapitole X – „Systém kontroly“ sa stanovuje potrebný systém dohľadu s cieľom zabezpečiť náležité zohľadnenie ochrany finančných záujmov EÚ pri implementácii akcií financovaných na základe nariadenia o Európskom zbore solidarity.</w:t>
      </w:r>
    </w:p>
    <w:p>
      <w:pPr>
        <w:rPr>
          <w:noProof/>
        </w:rPr>
      </w:pPr>
      <w:r>
        <w:rPr>
          <w:noProof/>
        </w:rPr>
        <w:t>V kapitole XI – „Komplementarita“ sa vyzdvihuje súlad a komplementarita požiadaviek týkajúcich sa ostatných politík a programov Únie. Stanovujú sa v nej aj osobitné pravidlá, ktoré umožňujú komplementaritu medzi programom a európskymi štrukturálnymi a investičnými fondmi.</w:t>
      </w:r>
    </w:p>
    <w:p>
      <w:pPr>
        <w:rPr>
          <w:noProof/>
        </w:rPr>
      </w:pPr>
      <w:r>
        <w:rPr>
          <w:noProof/>
        </w:rPr>
        <w:t>V kapitole XII – „Prechodné a záverečné ustanovenia“ sa uvádzajú ustanovenia potrebné na delegovanie určitých právomocí na Komisiu, aby mohla prijímať pracovné programy prostredníctvom vykonávacích aktov, a stanovuje sa dátum nadobudnutia účinnosti navrhovaného nariadenia. Toto nariadenie je záväzné v celom rozsahu a priamo uplatniteľné vo všetkých členských štátoch od 1. januára 2021.</w:t>
      </w:r>
    </w:p>
    <w:p>
      <w:pPr>
        <w:rPr>
          <w:noProof/>
        </w:rPr>
      </w:pPr>
      <w:r>
        <w:rPr>
          <w:noProof/>
        </w:rPr>
        <w:br w:type="column"/>
      </w:r>
    </w:p>
    <w:p>
      <w:pPr>
        <w:pStyle w:val="Rfrenceinterinstitutionnelle"/>
        <w:rPr>
          <w:noProof/>
        </w:rPr>
      </w:pPr>
      <w:r>
        <w:rPr>
          <w:noProof/>
        </w:rPr>
        <w:t>2018/0230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ktorým sa stanovuje program Európsky zbor solidarity a zrušujú [nariadenie o Európskom zbore solidarity] a nariadenie (EÚ) č. 375/2014</w:t>
      </w:r>
    </w:p>
    <w:p>
      <w:pPr>
        <w:pStyle w:val="IntrtEEE"/>
        <w:rPr>
          <w:noProof/>
        </w:rPr>
      </w:pPr>
      <w:r>
        <w:rPr>
          <w:noProof/>
        </w:rPr>
        <w:t>(Text s významom pre EHP)</w:t>
      </w:r>
    </w:p>
    <w:p>
      <w:pPr>
        <w:pStyle w:val="Institutionquiagit"/>
        <w:spacing w:before="120"/>
        <w:rPr>
          <w:noProof/>
        </w:rPr>
      </w:pPr>
      <w:r>
        <w:rPr>
          <w:noProof/>
        </w:rPr>
        <w:t>EURÓPSKY PARLAMENT A RADA EURÓPSKEJ ÚNIE,</w:t>
      </w:r>
    </w:p>
    <w:p>
      <w:pPr>
        <w:rPr>
          <w:noProof/>
        </w:rPr>
      </w:pPr>
      <w:r>
        <w:rPr>
          <w:noProof/>
        </w:rPr>
        <w:t>so zreteľom na Zmluvu o fungovaní Európskej únie, a najmä na jej článok 165 ods. 4, článok 166 ods. 4 a článok 214 ods. 5,</w:t>
      </w:r>
    </w:p>
    <w:p>
      <w:pPr>
        <w:rPr>
          <w:noProof/>
        </w:rPr>
      </w:pPr>
      <w:r>
        <w:rPr>
          <w:noProof/>
        </w:rPr>
        <w:t>so zreteľom na návrh Európskej komisie,</w:t>
      </w:r>
    </w:p>
    <w:p>
      <w:pPr>
        <w:rPr>
          <w:noProof/>
        </w:rPr>
      </w:pPr>
      <w:r>
        <w:rPr>
          <w:noProof/>
        </w:rPr>
        <w:t>po postúpení návrhu legislatívneho aktu národným parlamentom,</w:t>
      </w:r>
    </w:p>
    <w:p>
      <w:pPr>
        <w:rPr>
          <w:i/>
          <w:iCs/>
          <w:noProof/>
        </w:rPr>
      </w:pPr>
      <w:r>
        <w:rPr>
          <w:noProof/>
        </w:rPr>
        <w:t>so zreteľom na stanovisko Európskeho hospodárskeho a sociálneho výboru</w:t>
      </w:r>
      <w:r>
        <w:rPr>
          <w:rStyle w:val="FootnoteReference"/>
          <w:rFonts w:eastAsiaTheme="majorEastAsia"/>
          <w:noProof/>
        </w:rPr>
        <w:footnoteReference w:id="16"/>
      </w:r>
      <w:r>
        <w:rPr>
          <w:noProof/>
        </w:rPr>
        <w:t>,</w:t>
      </w:r>
    </w:p>
    <w:p>
      <w:pPr>
        <w:rPr>
          <w:noProof/>
        </w:rPr>
      </w:pPr>
      <w:r>
        <w:rPr>
          <w:noProof/>
        </w:rPr>
        <w:t>so zreteľom na stanovisko Výboru regiónov</w:t>
      </w:r>
      <w:r>
        <w:rPr>
          <w:rStyle w:val="FootnoteReference"/>
          <w:rFonts w:eastAsiaTheme="majorEastAsia"/>
          <w:noProof/>
        </w:rPr>
        <w:footnoteReference w:id="17"/>
      </w:r>
      <w:r>
        <w:rPr>
          <w:noProof/>
        </w:rPr>
        <w:t>,</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Európska únia je založená na solidarite medzi jej občanmi a medzi jej členskými štátmi. Táto spoločná hodnota určuje jej činnosť a vytvára nevyhnutnú jednotu na riešenie súčasných a budúcich spoločenských výziev, ktorým sú mladí Európania odhodlaní čeliť pomocou prejavu solidarity v praxi.</w:t>
      </w:r>
    </w:p>
    <w:p>
      <w:pPr>
        <w:pStyle w:val="ManualConsidrant"/>
        <w:rPr>
          <w:noProof/>
        </w:rPr>
      </w:pPr>
      <w:r>
        <w:t>(2)</w:t>
      </w:r>
      <w:r>
        <w:tab/>
      </w:r>
      <w:r>
        <w:rPr>
          <w:noProof/>
        </w:rPr>
        <w:t>V správe o stave Únie zo 14. septembra 2016 bola zdôraznená potreba investovať do mladých ľudí a bolo oznámené zriadenie Európskeho zboru solidarity (ďalej len „program“) s cieľom vytvoriť príležitosti pre mladých ľudí v celej Únii na to, aby mohli zmysluplným spôsobom prispievať k fungovaniu spoločnosti, prejavovať solidaritu a rozvíjať svoje zručnosti, čím získajú nielen pracovné skúsenosti, ale aj neoceniteľnú životnú skúsenosť.</w:t>
      </w:r>
    </w:p>
    <w:p>
      <w:pPr>
        <w:pStyle w:val="ManualConsidrant"/>
        <w:rPr>
          <w:noProof/>
        </w:rPr>
      </w:pPr>
      <w:r>
        <w:t>(3)</w:t>
      </w:r>
      <w:r>
        <w:tab/>
      </w:r>
      <w:r>
        <w:rPr>
          <w:noProof/>
        </w:rPr>
        <w:t>Komisia vo svojom oznámení „Európsky zbor solidarity“ zo 7. decembra 2016</w:t>
      </w:r>
      <w:r>
        <w:rPr>
          <w:rStyle w:val="FootnoteReference"/>
          <w:noProof/>
        </w:rPr>
        <w:footnoteReference w:id="18"/>
      </w:r>
      <w:r>
        <w:rPr>
          <w:noProof/>
        </w:rPr>
        <w:t xml:space="preserve"> zdôraznila potrebu posilniť základy solidárneho úsilia v celej Európe s cieľom poskytnúť mladým ľuďom väčšie a lepšie príležitosti na solidárne činnosti v širokej škále oblastí a podporovať národných a miestnych aktérov v ich úsilí o zvládnutie rôznych výziev a kríz. Oznámením sa začala prvá fáza Európskeho zboru solidarity, v rámci ktorej sa mobilizovali rôzne programy Únie s cieľom ponúknuť dobrovoľnícku činnosť či stáž alebo pracovné príležitosti pre mladých ľudí v celej EÚ.</w:t>
      </w:r>
    </w:p>
    <w:p>
      <w:pPr>
        <w:pStyle w:val="ManualConsidrant"/>
        <w:rPr>
          <w:noProof/>
        </w:rPr>
      </w:pPr>
      <w:r>
        <w:t>(4)</w:t>
      </w:r>
      <w:r>
        <w:tab/>
      </w:r>
      <w:r>
        <w:rPr>
          <w:noProof/>
        </w:rPr>
        <w:t>V článku 2 Zmluvy o Európskej únii sa solidarita vyzdvihuje ako jeden z kľúčových zásad Európskej únie. Na túto zásadu sa odkazuje aj v článku 21 ods. 1 Zmluvy o fungovaní Európskej únie ako na jeden zo základov vonkajšej činnosti EÚ.</w:t>
      </w:r>
    </w:p>
    <w:p>
      <w:pPr>
        <w:pStyle w:val="ManualConsidrant"/>
        <w:rPr>
          <w:noProof/>
        </w:rPr>
      </w:pPr>
      <w:r>
        <w:t>(5)</w:t>
      </w:r>
      <w:r>
        <w:tab/>
      </w:r>
      <w:r>
        <w:rPr>
          <w:noProof/>
        </w:rPr>
        <w:t>Mladým ľuďom by sa mali poskytnúť ľahko dostupné príležitosti na zapojenie sa do solidárnych činností, ktoré by im pomohli vyjadriť ich odhodlanie konať v prospech komunít a zároveň získať užitočné skúsenosti, zručnosti a schopnosti potrebné pre ich osobný, vzdelávací, sociálny, občiansky a profesijný rozvoj, čím by sa zlepšila ich zamestnateľnosť. Týmito činnosťami by sa podporila aj mobilita mladých dobrovoľníkov, stážistov a pracovníkov.</w:t>
      </w:r>
    </w:p>
    <w:p>
      <w:pPr>
        <w:pStyle w:val="ManualConsidrant"/>
        <w:rPr>
          <w:noProof/>
        </w:rPr>
      </w:pPr>
      <w:r>
        <w:t>(6)</w:t>
      </w:r>
      <w:r>
        <w:tab/>
      </w:r>
      <w:r>
        <w:rPr>
          <w:noProof/>
        </w:rPr>
        <w:t>Solidárne činnosti ponúkané mladým ľuďom by mali byť kvalitné v tom zmysle, že by mali reagovať na neuspokojené spoločenské potreby, prispievať k posilňovaniu komunít, ponúkať mladým ľuďom príležitosť na získanie cenných poznatkov a schopností, mali by byť finančne dostupné pre mladých ľudí a mali by sa vykonávať v bezpečnom a zdravom prostredí.</w:t>
      </w:r>
    </w:p>
    <w:p>
      <w:pPr>
        <w:pStyle w:val="ManualConsidrant"/>
        <w:rPr>
          <w:noProof/>
        </w:rPr>
      </w:pPr>
      <w:r>
        <w:t>(7)</w:t>
      </w:r>
      <w:r>
        <w:tab/>
      </w:r>
      <w:r>
        <w:rPr>
          <w:noProof/>
        </w:rPr>
        <w:t>Európsky zbor solidarity funguje ako jednotné kontaktné miesto pre solidárne činnosti v celej Únii a za jej hranicami. Mal by sa zabezpečiť súlad a komplementarita s ďalšími príslušnými politikami a programami Únie. Európsky zbor solidarity stavia na silných stránkach a synergii predchádzajúcich a existujúcich programov, konkrétne Európskej dobrovoľníckej služby</w:t>
      </w:r>
      <w:r>
        <w:rPr>
          <w:rStyle w:val="FootnoteReference"/>
          <w:noProof/>
        </w:rPr>
        <w:footnoteReference w:id="19"/>
      </w:r>
      <w:r>
        <w:rPr>
          <w:noProof/>
        </w:rPr>
        <w:t xml:space="preserve"> a iniciatívy Dobrovoľníci pomoci EÚ</w:t>
      </w:r>
      <w:r>
        <w:rPr>
          <w:rStyle w:val="FootnoteReference"/>
          <w:noProof/>
        </w:rPr>
        <w:footnoteReference w:id="20"/>
      </w:r>
      <w:r>
        <w:rPr>
          <w:noProof/>
        </w:rPr>
        <w:t>. Dopĺňa takisto úsilie členských štátov zamerané na podporu mladých ľudí a uľahčenie ich prechodu zo školy do zamestnania v rámci záruky pre mladých ľudí tým, že im poskytne ďalšie príležitosti pre vstup na trh práce vo forme stáží alebo pracovných miest v oblastiach súvisiacich so solidaritou v ich domovskom členskom štáte alebo v zahraničí. Zabezpečená je aj komplementarita s existujúcimi sieťami na úrovni Únie relevantnými pre činnosti Európskeho zboru solidarity, ako je napríklad európska sieť verejných služieb zamestnanosti, EURES a sieť Eurodesk. Okrem toho by sa mala zabezpečiť komplementarita medzi existujúcimi súvisiacimi systémami, konkrétne vnútroštátnymi systémami solidarity a programami mobility pre mladých ľudí, a Európskym zborom solidarity, pričom by sa v prípade potreby malo vychádzať z osvedčených postupov.</w:t>
      </w:r>
    </w:p>
    <w:p>
      <w:pPr>
        <w:pStyle w:val="ManualConsidrant"/>
        <w:rPr>
          <w:noProof/>
        </w:rPr>
      </w:pPr>
      <w:r>
        <w:t>(8)</w:t>
      </w:r>
      <w:r>
        <w:tab/>
      </w:r>
      <w:r>
        <w:rPr>
          <w:noProof/>
        </w:rPr>
        <w:t>Pokiaľ ide o výklad súvisiacich právnych predpisov na úrovni Únie, cezhraničné dobrovoľnícke činnosti v rámci Európskeho zboru solidarity aj dobrovoľnícke činnosti, ktoré budú naďalej podporované podľa nariadenia (EÚ) č. 1288/2013, by sa mali považovať za rovnocenné s činnosťami vykonávanými v rámci Európskej dobrovoľníckej služby.</w:t>
      </w:r>
    </w:p>
    <w:p>
      <w:pPr>
        <w:pStyle w:val="ManualConsidrant"/>
        <w:rPr>
          <w:noProof/>
        </w:rPr>
      </w:pPr>
      <w:r>
        <w:t>(9)</w:t>
      </w:r>
      <w:r>
        <w:tab/>
      </w:r>
      <w:r>
        <w:rPr>
          <w:noProof/>
        </w:rPr>
        <w:t>Európsky zbor solidarity prináša nové príležitosti pre mladých ľudí, aby mohli vykonávať dobrovoľnícku činnosť, absolvovať stáž alebo pracovať v oblastiach súvisiacich so solidaritou, ako aj vytvárať a rozvíjať projekty v oblasti solidarity na základe svojej vlastnej iniciatívy. Tieto príležitosti prispievajú k posilňovaniu ich osobného, vzdelávacieho, sociálneho, občianskeho a profesijného rozvoja. Európsky zbor solidarity takisto poskytuje účastníkom a organizáciám Európskeho zboru solidarity podporu na činnosti súvisiace s vytváraním sietí, podporuje aj opatrenia na zabezpečenie kvality podporovaných činností a na zlepšenie potvrdenia výsledkov vzdelávania. Tým sa prispeje k európskej spolupráci relevantnej pre mladých ľudí a k zvyšovaniu informovanosti o jej pozitívnom vplyve.</w:t>
      </w:r>
    </w:p>
    <w:p>
      <w:pPr>
        <w:pStyle w:val="ManualConsidrant"/>
        <w:rPr>
          <w:noProof/>
        </w:rPr>
      </w:pPr>
      <w:r>
        <w:t>(10)</w:t>
      </w:r>
      <w:r>
        <w:tab/>
      </w:r>
      <w:r>
        <w:rPr>
          <w:noProof/>
        </w:rPr>
        <w:t>Tieto činnosti by mali byť prospešné pre komunity a zároveň podporovať osobný, vzdelávací, sociálny, občiansky a profesijný rozvoj jednotlivca, môžu mať podobu dobrovoľníckych činností, stáží a pracovných miest, projektov alebo činností súvisiacich s vytváraním sietí zameraných na rôzne oblasti, ako je vzdelávanie a odborná príprava, zamestnanie, rodová rovnosť, podnikanie, a najmä sociálne podnikanie, občianstvo a demokratická angažovanosť, životné prostredie a ochrana prírody, opatrenia v oblasti klímy, predchádzanie katastrofám, pripravenosť a obnova, poľnohospodárstvo a rozvoj vidieka, potravinová a nepotravinová pomoc, zdravie a dobré životné podmienky, tvorivosť a kultúra, telesná výchova a šport, sociálna pomoc a zabezpečenie, prijímanie a integrácia štátnych príslušníkov tretích krajín, územná spolupráca a súdržnosť a cezhraničná spolupráca. Mali by zahŕňať solídny rozmer vzdelávania a odbornej prípravy prostredníctvom príslušných činností, ktoré možno ponúknuť účastníkom pred vykonávaním solidárnej činnosti, počas nej a po jej skončení.</w:t>
      </w:r>
    </w:p>
    <w:p>
      <w:pPr>
        <w:pStyle w:val="ManualConsidrant"/>
        <w:rPr>
          <w:noProof/>
        </w:rPr>
      </w:pPr>
      <w:r>
        <w:t>(11)</w:t>
      </w:r>
      <w:r>
        <w:tab/>
      </w:r>
      <w:r>
        <w:rPr>
          <w:noProof/>
        </w:rPr>
        <w:t>Dobrovoľnícke činnosti (v rámci Únie aj mimo nej) sú zdrojom bohatých skúseností v kontexte neformálneho vzdelávania a informálneho učenia sa, čo posilňuje osobný, sociálno-vzdelávací a profesijný rozvoj, aktívne občianstvo a zamestnateľnosť mladých ľudí. Dobrovoľnícke činnosti by nemali mať nepriaznivý vplyv na potenciálne alebo už existujúce platené zamestnanie, ani sa nesmú považovať za jeho náhradu. Komisia a členské štáty by mali spolupracovať vzhľadom na politiky v oblasti dobrovoľníctva mládeže pomocou otvorenej metódy koordinácie.</w:t>
      </w:r>
    </w:p>
    <w:p>
      <w:pPr>
        <w:pStyle w:val="ManualConsidrant"/>
        <w:rPr>
          <w:noProof/>
        </w:rPr>
      </w:pPr>
      <w:r>
        <w:t>(12)</w:t>
      </w:r>
      <w:r>
        <w:tab/>
      </w:r>
      <w:r>
        <w:rPr>
          <w:noProof/>
        </w:rPr>
        <w:t>Stáže a pracovné miesta v oblastiach súvisiacich so solidaritou môžu mladým ľuďom ponúknuť ďalšie príležitosti pre vstup na trh práce a zároveň prispieť k riešeniu kľúčových spoločenských výziev. Môže to pomôcť zvýšiť zamestnateľnosť a produktivitu mladých ľudí a zároveň uľahčiť ich prechod zo vzdelávania do zamestnania, čo je kľúčom k zvýšeniu ich šancí na trhu práce. Stáže ponúkané v rámci Európskeho zboru solidarity sa riadia zásadami kvality uvedenými v odporúčaní Rady o rámci kvality pre stáže</w:t>
      </w:r>
      <w:r>
        <w:rPr>
          <w:rStyle w:val="FootnoteReference"/>
          <w:noProof/>
        </w:rPr>
        <w:footnoteReference w:id="21"/>
      </w:r>
      <w:r>
        <w:rPr>
          <w:noProof/>
        </w:rPr>
        <w:t>. Ponúkané stáže a pracovné miesta pre mladých ľudí predstavujú odrazový mostík pre vstup na trh práce, a preto ich sprevádza primeraná podpora po vykonaní činnosti. Stáže a pracovné miesta podporujú príslušní aktéri na trhu práce, najmä verejné a súkromné služby zamestnanosti, sociálni partneri a obchodné komory a odmeňuje ich účastnícka organizácia. Účastnícke organizácie by mali podať žiadosť o finančné prostriedky prostredníctvom príslušného vykonávacieho orgánu Európskeho zboru solidarity s cieľom poskytovať sprostredkovacie služby medzi mladými účastníkmi a zamestnávateľmi ponúkajúcimi stáže a pracovné miesta v odvetviach solidarity.</w:t>
      </w:r>
    </w:p>
    <w:p>
      <w:pPr>
        <w:pStyle w:val="ManualConsidrant"/>
        <w:rPr>
          <w:noProof/>
        </w:rPr>
      </w:pPr>
      <w:r>
        <w:t>(13)</w:t>
      </w:r>
      <w:r>
        <w:tab/>
      </w:r>
      <w:r>
        <w:rPr>
          <w:noProof/>
        </w:rPr>
        <w:t>Iniciatívny duch mladých ľudí je dôležitým prínosom pre spoločnosť a trh práce. Európsky zbor solidarity prispieva k posilňovaniu tohto aspektu tak, že mladým ľuďom ponúka príležitosť, aby navrhli a realizovali svoje vlastné projekty zamerané na riešenie konkrétnych problémov v prospech ich miestnych komunít. Tieto projekty predstavujú príležitosť na realizáciu nápadov a podporujú mladých ľudí, aby sa sami stali hybnou silou solidárnych činností. Zároveň slúžia ako odrazový mostík umožňujúci ďalšie zapojenie účastníkov Európskeho zboru solidarity do solidárnych činností a predstavujú prvý krok smerom k ich podpore, aby vykonávali samostatnú zárobkovú činnosť alebo si založili združenie, mimovládnu organizáciu alebo iný subjekt pôsobiaci v oblasti solidarity, neziskovom či mládežníckom sektore.</w:t>
      </w:r>
    </w:p>
    <w:p>
      <w:pPr>
        <w:pStyle w:val="ManualConsidrant"/>
        <w:rPr>
          <w:noProof/>
        </w:rPr>
      </w:pPr>
      <w:r>
        <w:t>(14)</w:t>
      </w:r>
      <w:r>
        <w:tab/>
      </w:r>
      <w:r>
        <w:rPr>
          <w:noProof/>
        </w:rPr>
        <w:t>Mladí ľudia a organizácie zapojené do Európskeho zboru solidarity by mali mať pocit, že patria do spoločenstva jednotlivcov a subjektov odhodlaných zvýšiť solidaritu v celej Európe. Účastnícke organizácie zároveň potrebujú podporu, aby sa posilnila ich schopnosť ponúkať kvalitné činnosti čoraz väčšiemu počtu účastníkov. Európsky zbor solidarity podporuje činnosti súvisiac s vytváraním sietí zamerané na zvýšenie angažovanosti mladých ľudí a účastníckych organizácií v ich komunite, na posilnenie ducha Európskeho zboru solidarity, ako aj na podporu výmeny užitočných postupov a skúseností. Tieto činnosti takisto prispievajú k zvyšovaniu informovanosti o Európskom zbore solidarity medzi verejnými a súkromnými aktérmi, ako aj k získavaniu spätnej väzby od účastníkov a účastníckych organizácií o implementácii Európskeho zboru solidarity.</w:t>
      </w:r>
    </w:p>
    <w:p>
      <w:pPr>
        <w:pStyle w:val="ManualConsidrant"/>
        <w:rPr>
          <w:noProof/>
        </w:rPr>
      </w:pPr>
      <w:r>
        <w:t>(15)</w:t>
      </w:r>
      <w:r>
        <w:tab/>
      </w:r>
      <w:r>
        <w:rPr>
          <w:noProof/>
        </w:rPr>
        <w:t>Osobitná pozornosť by sa mala venovať zabezpečeniu kvality činností a ďalších príležitostí ponúkaných v rámci Európskeho zboru solidarity, najmä prostredníctvom poskytovania odbornej prípravy, jazykovej podpory, poistenia, administratívnej podpory a podpory účastníkov po vykonaní činnosti, ako aj prostredníctvom potvrdenia znalostí, zručností a schopností získaných vďaka skúsenosti s Európskym zborom solidarity. Prvoradá je naďalej bezpečnosť a ochrana dobrovoľníkov, ktorí by sa nemali vysielať do operácií, ktoré sa uskutočňujú v zónach medzinárodných a vnútroštátnych ozbrojených konfliktov.</w:t>
      </w:r>
    </w:p>
    <w:p>
      <w:pPr>
        <w:pStyle w:val="ManualConsidrant"/>
        <w:rPr>
          <w:noProof/>
        </w:rPr>
      </w:pPr>
      <w:r>
        <w:t>(16)</w:t>
      </w:r>
      <w:r>
        <w:tab/>
      </w:r>
      <w:r>
        <w:rPr>
          <w:noProof/>
        </w:rPr>
        <w:t>V záujme zaručenia, aby činnosti Európskeho zboru solidarity mali vplyv na osobný, vzdelávací, sociálny, občiansky a profesijný rozvoj účastníkov, by sa znalosti, zručnosti a schopnosti, ktoré predstavujú výsledky vzdelávania počas činnosti, mali náležite identifikovať a zdokumentovať s prihliadnutím na vnútroštátne okolnosti a špecifiká, ako sa odporúča v odporúčaní Rady z 20. decembra 2012 o potvrdzovaní neformálneho vzdelávania a informálneho učenia sa</w:t>
      </w:r>
      <w:r>
        <w:rPr>
          <w:rStyle w:val="FootnoteReference"/>
          <w:noProof/>
        </w:rPr>
        <w:footnoteReference w:id="22"/>
      </w:r>
      <w:r>
        <w:rPr>
          <w:noProof/>
        </w:rPr>
        <w:t>.</w:t>
      </w:r>
    </w:p>
    <w:p>
      <w:pPr>
        <w:pStyle w:val="ManualConsidrant"/>
        <w:rPr>
          <w:noProof/>
        </w:rPr>
      </w:pPr>
      <w:r>
        <w:t>(17)</w:t>
      </w:r>
      <w:r>
        <w:tab/>
      </w:r>
      <w:r>
        <w:rPr>
          <w:noProof/>
        </w:rPr>
        <w:t>Značkou kvality by sa malo zabezpečiť dodržiavanie zásad a požiadaviek Európskeho zboru solidarity zo strany účastníckych organizácií, pokiaľ ide o ich práva a povinnosti počas všetkých fáz solidárnej skúsenosti. Získanie značky kvality je nevyhnutným predpokladom účasti, ale nemalo by viesť automaticky k financovaniu v rámci Európskeho zboru solidarity.</w:t>
      </w:r>
    </w:p>
    <w:p>
      <w:pPr>
        <w:pStyle w:val="ManualConsidrant"/>
        <w:rPr>
          <w:noProof/>
        </w:rPr>
      </w:pPr>
      <w:r>
        <w:t>(18)</w:t>
      </w:r>
      <w:r>
        <w:tab/>
      </w:r>
      <w:r>
        <w:rPr>
          <w:noProof/>
        </w:rPr>
        <w:t>Každý subjekt, ktorý sa chce zapojiť sa do Európskeho zboru solidarity, by mal získať značku kvality za predpokladu, že sú splnené príslušné podmienky. Vykonávacie orgány Európskeho zboru solidarity by mali nepretržite realizovať postup vedúci k udeleniu značky kvality. Udelené značky kvality by sa mali pravidelne prehodnocovať, pričom ich možno odňať, ak sa v rámci vykonaných kontrol zistí, že podmienky, ktoré viedli k ich udeleniu, už nie sú splnené.</w:t>
      </w:r>
    </w:p>
    <w:p>
      <w:pPr>
        <w:pStyle w:val="ManualConsidrant"/>
        <w:rPr>
          <w:noProof/>
        </w:rPr>
      </w:pPr>
      <w:r>
        <w:t>(19)</w:t>
      </w:r>
      <w:r>
        <w:tab/>
      </w:r>
      <w:r>
        <w:rPr>
          <w:noProof/>
        </w:rPr>
        <w:t>Subjekt, ktorý chce požiadať o finančné prostriedky, aby mohol ponúkať činnosti v rámci Európskeho zboru solidarity, by mal najprv bezpodmienečne disponovať značkou kvality. Táto požiadavka sa nevzťahuje na fyzické osoby, ktoré sa v mene neformálnej skupiny účastníkov Európskeho zboru solidarity uchádzajú o finančnú podporu na svoje solidaritné projekty.</w:t>
      </w:r>
    </w:p>
    <w:p>
      <w:pPr>
        <w:pStyle w:val="ManualConsidrant"/>
        <w:rPr>
          <w:noProof/>
        </w:rPr>
      </w:pPr>
      <w:r>
        <w:t>(20)</w:t>
      </w:r>
      <w:r>
        <w:tab/>
      </w:r>
      <w:r>
        <w:rPr>
          <w:noProof/>
        </w:rPr>
        <w:t>Účastnícke organizácie môžu v rámci Európskeho zboru solidarity vykonávať viaceré funkcie. Vo funkcii hostiteľov vykonávajú činnosti, ktoré súvisia s prijímaním účastníkov vrátane organizovanie činností a poskytovania usmernenia a podpory pre účastníkov počas solidárnej činnosti, ak je to vhodné. V podpornej funkcii vykonávajú činnosti, ktoré súvisia s vysielaním a prípravou účastníkov pred odchodom na solidárnu činnosť, počas nej a po jej skončení, vrátane odbornej prípravy a usmernenia účastníkov na miestne organizácie po vykonaní činnosti.</w:t>
      </w:r>
    </w:p>
    <w:p>
      <w:pPr>
        <w:pStyle w:val="ManualConsidrant"/>
        <w:rPr>
          <w:noProof/>
        </w:rPr>
      </w:pPr>
      <w:r>
        <w:t>(21)</w:t>
      </w:r>
      <w:r>
        <w:tab/>
      </w:r>
      <w:r>
        <w:rPr>
          <w:noProof/>
        </w:rPr>
        <w:t>Rozšírenie projektov Európskeho zboru solidarity by sa malo uľahčiť. Mali by sa zaviesť osobitné opatrenia s cieľom pomôcť realizátorom projektov Európskeho zboru solidarity uchádzať sa o granty alebo rozvíjať súčinnosť prostredníctvom podpory z európskych štrukturálnych a investičných fondov a programov týkajúcich sa migrácie, bezpečnosti, spravodlivosti a občianstva, zdravia a kultúry.</w:t>
      </w:r>
    </w:p>
    <w:p>
      <w:pPr>
        <w:pStyle w:val="ManualConsidrant"/>
        <w:rPr>
          <w:noProof/>
        </w:rPr>
      </w:pPr>
      <w:r>
        <w:t>(22)</w:t>
      </w:r>
      <w:r>
        <w:tab/>
      </w:r>
      <w:r>
        <w:rPr>
          <w:noProof/>
        </w:rPr>
        <w:t>Zdrojové centrá Európskeho zboru solidarity by mali pomáhať vykonávacím orgánom, účastníckym organizáciám a mladým ľuďom zapojeným do Európskeho zboru solidarity s cieľom zvýšiť kvalitu vykonávania činností Európskeho zboru solidarity, ako aj zlepšiť identifikáciu a potvrdzovanie schopností nadobudnutých prostredníctvom týchto činností aj vydávaním osvedčení Youthpass.</w:t>
      </w:r>
    </w:p>
    <w:p>
      <w:pPr>
        <w:pStyle w:val="ManualConsidrant"/>
        <w:rPr>
          <w:noProof/>
        </w:rPr>
      </w:pPr>
      <w:r>
        <w:t>(23)</w:t>
      </w:r>
      <w:r>
        <w:tab/>
      </w:r>
      <w:r>
        <w:rPr>
          <w:noProof/>
        </w:rPr>
        <w:t>Portál Európskeho zboru solidarity by sa mal neustále rozvíjať s cieľom zabezpečiť ľahký prístup k Európskemu zboru solidarity a poskytovať jednotné kontaktné miesto pre jednotlivcov a organizácie, ktoré majú záujem okrem iného o registráciu, identifikáciu a porovnávanie profilov a príležitostí, vytváranie sietí a virtuálne výmeny, online odbornú prípravu, jazykové kurzy a podporu po vykonaní činnosti. Zároveň by mal mať aj ďalšie užitočné funkcie, ktoré sa môžu vyskytnúť v budúcnosti.</w:t>
      </w:r>
    </w:p>
    <w:p>
      <w:pPr>
        <w:pStyle w:val="ManualConsidrant"/>
        <w:rPr>
          <w:noProof/>
        </w:rPr>
      </w:pPr>
      <w:r>
        <w:t>(24)</w:t>
      </w:r>
      <w:r>
        <w:tab/>
      </w:r>
      <w:r>
        <w:rPr>
          <w:noProof/>
        </w:rPr>
        <w:t>Portál Európskeho zboru solidarity by sa mal ďalej rozvíjať a zohľadňovať pri tom európsky rámec interoperability</w:t>
      </w:r>
      <w:r>
        <w:rPr>
          <w:rStyle w:val="FootnoteReference"/>
          <w:noProof/>
        </w:rPr>
        <w:footnoteReference w:id="23"/>
      </w:r>
      <w:r>
        <w:rPr>
          <w:noProof/>
        </w:rPr>
        <w:t>, ktorý poskytuje osobitné usmernenie, ako zriadiť interoperabilné verejné digitálne služby, a ktorý sa v členských štátoch a ďalších krajinách, ktoré sú členmi Európskeho hospodárskeho priestoru, implementuje prostredníctvom vnútroštátnych rámcov interoperability. Ponúka verejným správam 47 konkrétnych odporúčaní, ako zlepšovať riadenie činností interoperability, nadväzovať medziorganizačné vzťahy, zefektívňovať procesy s podporou komplexnej digitálnej výmeny informácií a zabezpečovať, aby sa v platnej i novej legislatíve neohrozili snahy o dosiahnutie interoperability.</w:t>
      </w:r>
    </w:p>
    <w:p>
      <w:pPr>
        <w:pStyle w:val="ManualConsidrant"/>
        <w:rPr>
          <w:noProof/>
        </w:rPr>
      </w:pPr>
      <w:r>
        <w:t>(25)</w:t>
      </w:r>
      <w:r>
        <w:tab/>
      </w:r>
      <w:r>
        <w:rPr>
          <w:noProof/>
        </w:rPr>
        <w:t>Na tento program sa vzťahuje nariadenie [nové nariadenie o rozpočtových pravidlách]</w:t>
      </w:r>
      <w:r>
        <w:rPr>
          <w:rStyle w:val="FootnoteReference"/>
          <w:noProof/>
        </w:rPr>
        <w:footnoteReference w:id="24"/>
      </w:r>
      <w:r>
        <w:rPr>
          <w:noProof/>
        </w:rPr>
        <w:t xml:space="preserve"> (ďalej len „nariadenie o rozpočtových pravidlách“). Stanovujú sa v ňom pravidlá plnenia rozpočtu Únie vrátane pravidiel týkajúcich sa grantov, cien, verejného obstarávania, nepriamej implementácie, finančnej pomoci, finančných nástrojov a rozpočtových záruk.</w:t>
      </w:r>
    </w:p>
    <w:p>
      <w:pPr>
        <w:pStyle w:val="ManualConsidrant"/>
        <w:rPr>
          <w:noProof/>
        </w:rPr>
      </w:pPr>
      <w:r>
        <w:t>(26)</w:t>
      </w:r>
      <w:r>
        <w:tab/>
      </w:r>
      <w:r>
        <w:rPr>
          <w:noProof/>
        </w:rPr>
        <w:t>Konkrétne môže Európsky úrad pre boj proti podvodom (OLAF) vykonávať v súlade s nariadením Európskeho parlamentu a Rady (EÚ, Euratom) č. 883/2013</w:t>
      </w:r>
      <w:r>
        <w:rPr>
          <w:rStyle w:val="FootnoteReference"/>
          <w:noProof/>
        </w:rPr>
        <w:footnoteReference w:id="25"/>
      </w:r>
      <w:r>
        <w:rPr>
          <w:noProof/>
        </w:rPr>
        <w:t xml:space="preserve"> a nariadením Rady (Euratom, ES) č. 2185/96</w:t>
      </w:r>
      <w:r>
        <w:rPr>
          <w:rStyle w:val="FootnoteReference"/>
          <w:noProof/>
        </w:rPr>
        <w:footnoteReference w:id="26"/>
      </w:r>
      <w:r>
        <w:rPr>
          <w:noProof/>
        </w:rPr>
        <w:t xml:space="preserve"> administratívne vyšetrovania vrátane kontrol a inšpekcií na mieste s cieľom zistiť, či nedošlo k podvodu, korupcii alebo akémukoľvek inému protiprávnemu konaniu poškodzujúcemu finančné záujmy Únie. Európska prokuratúra môže v súlade s nariadením Rady (EÚ) 2017/1939</w:t>
      </w:r>
      <w:r>
        <w:rPr>
          <w:rStyle w:val="FootnoteReference"/>
          <w:noProof/>
        </w:rPr>
        <w:footnoteReference w:id="27"/>
      </w:r>
      <w:r>
        <w:rPr>
          <w:noProof/>
        </w:rPr>
        <w:t>vyšetrovať a stíhať podvody a iné protiprávne konania poškodzujúce finančné záujmy Únie, ako sa stanovuje v smernici Európskeho parlamentu a Rady (EÚ) 2017/1371</w:t>
      </w:r>
      <w:r>
        <w:rPr>
          <w:rStyle w:val="FootnoteReference"/>
          <w:noProof/>
        </w:rPr>
        <w:footnoteReference w:id="28"/>
      </w:r>
      <w:r>
        <w:rPr>
          <w:noProof/>
        </w:rPr>
        <w:t>. V súlade s nariadením o rozpočtových pravidlách má každá osoba alebo každý subjekt, ktoré prijímajú finančné prostriedky Únie, v plnej miere spolupracovať pri ochrane finančných záujmov Únie, udeliť Komisii, úradu OLAF, Európskej prokuratúre a Európskemu dvoru audítorov potrebné práva a prístup a zabezpečiť, aby všetky tretie strany zúčastňujúce sa na implementácii finančných prostriedkov Únie udelili rovnocenné práva.</w:t>
      </w:r>
    </w:p>
    <w:p>
      <w:pPr>
        <w:pStyle w:val="ManualConsidrant"/>
        <w:rPr>
          <w:noProof/>
        </w:rPr>
      </w:pPr>
      <w:r>
        <w:t>(27)</w:t>
      </w:r>
      <w:r>
        <w:tab/>
      </w:r>
      <w:r>
        <w:rPr>
          <w:noProof/>
        </w:rPr>
        <w:t>Európsky zbor solidarity sa zameriava na mladých ľudí vo veku 18 až 30 rokov a účasť na činnostiach, ktoré ponúka, by mala byť podmienená predchádzajúcou registráciou na jeho portáli.</w:t>
      </w:r>
    </w:p>
    <w:p>
      <w:pPr>
        <w:pStyle w:val="ManualConsidrant"/>
        <w:rPr>
          <w:noProof/>
        </w:rPr>
      </w:pPr>
      <w:r>
        <w:t>(28)</w:t>
      </w:r>
      <w:r>
        <w:tab/>
      </w:r>
      <w:r>
        <w:rPr>
          <w:noProof/>
        </w:rPr>
        <w:t xml:space="preserve">Osobitná pozornosť by sa mala venovať zabezpečeniu toho, aby činnosti podporované Európskym zborom solidarity boli prístupné všetkým mladým ľuďom, a najmä tým najviac znevýhodneným. Mali by sa zaviesť osobitné opatrenia s cieľom podporovať sociálne začleňovanie a účasť znevýhodnených mladých ľudí, ako aj zohľadňovať obmedzenia vyplývajúce z odľahlosti mnohých vidieckych oblastí a najvzdialenejších regiónov Únie a zámorských krajín a území. V rovnakom duchu by sa účastnícke krajiny mali usilovať prijať všetky primerané opatrenia na odstránenie právnych a administratívnych prekážok riadneho fungovania Európskeho zboru solidarity. Tým by sa mali podľa možnosti a bez toho, aby bolo dotknuté schengenské </w:t>
      </w:r>
      <w:r>
        <w:rPr>
          <w:i/>
          <w:noProof/>
        </w:rPr>
        <w:t>acquis</w:t>
      </w:r>
      <w:r>
        <w:rPr>
          <w:noProof/>
        </w:rPr>
        <w:t xml:space="preserve"> a právo Únie týkajúce sa vstupu a pobytu štátnych príslušníkov tretích krajín, vyriešiť administratívne otázky, ktoré spôsobujú ťažkosti pri získavaní víza a povolenia na pobyt, ako aj pri vydávaní európskeho preukazu zdravotného poistenia v prípade cezhraničných činností v rámci Európskej únie.</w:t>
      </w:r>
    </w:p>
    <w:p>
      <w:pPr>
        <w:pStyle w:val="ManualConsidrant"/>
        <w:rPr>
          <w:noProof/>
        </w:rPr>
      </w:pPr>
      <w:r>
        <w:t>(29)</w:t>
      </w:r>
      <w:r>
        <w:tab/>
      </w:r>
      <w:r>
        <w:rPr>
          <w:noProof/>
        </w:rPr>
        <w:t>V záujme zohľadnenia významu boja proti zmene klímy v súlade so záväzkami Únie k vykonávaniu Parížskej dohody, ako aj v súlade s cieľmi OSN v oblasti udržateľného rozvoja tento program prispeje k uplatňovaniu hľadiska ochrany klímy a k dosiahnutiu celkového cieľa 25 % rozpočtových výdavkov Únie na podporu cieľov v oblasti klímy. Príslušné akcie sa určia počas prípravy a implementácie programu a opätovne sa posúdia v súvislosti s príslušným postupom hodnotenia a preskúmania.</w:t>
      </w:r>
    </w:p>
    <w:p>
      <w:pPr>
        <w:pStyle w:val="ManualConsidrant"/>
        <w:rPr>
          <w:noProof/>
        </w:rPr>
      </w:pPr>
      <w:r>
        <w:t>(30)</w:t>
      </w:r>
      <w:r>
        <w:tab/>
      </w:r>
      <w:r>
        <w:rPr>
          <w:noProof/>
        </w:rPr>
        <w:t>Týmto nariadením sa stanovuje finančné krytie na obdobie 2021 – 2027, ktoré má v priebehu ročného rozpočtového postupu predstavovať pre Európsky parlament a Radu hlavnú referenčnú sumu v zmysle bodu 17 Medziinštitucionálnej dohody medzi Európskym parlamentom, Radou a Komisiou o rozpočtovej disciplíne, spolupráci v rozpočtových záležitostiach a správnom finančnom riadení</w:t>
      </w:r>
      <w:r>
        <w:rPr>
          <w:rStyle w:val="FootnoteReference"/>
          <w:noProof/>
        </w:rPr>
        <w:footnoteReference w:id="29"/>
      </w:r>
      <w:r>
        <w:rPr>
          <w:noProof/>
        </w:rPr>
        <w:t>.</w:t>
      </w:r>
    </w:p>
    <w:p>
      <w:pPr>
        <w:pStyle w:val="ManualConsidrant"/>
        <w:rPr>
          <w:noProof/>
        </w:rPr>
      </w:pPr>
      <w:r>
        <w:t>(31)</w:t>
      </w:r>
      <w:r>
        <w:tab/>
      </w:r>
      <w:r>
        <w:rPr>
          <w:noProof/>
        </w:rPr>
        <w:t>Typy financovania a metódy implementácie v rámci tohto nariadenia sa vyberú na základe ich potenciálu plniť špecifické ciele akcií a prinášať výsledky, najmä s prihliadnutím na náklady spojené s kontrolami, administratívnu záťaž a očakávané riziko nesúladu. V prípade grantov to zahŕňa posúdenie využitia jednorazových platieb, paušálnych platieb a stupníc jednotkových nákladov.</w:t>
      </w:r>
    </w:p>
    <w:p>
      <w:pPr>
        <w:pStyle w:val="ManualConsidrant"/>
        <w:rPr>
          <w:noProof/>
        </w:rPr>
      </w:pPr>
      <w:r>
        <w:t>(32)</w:t>
      </w:r>
      <w:r>
        <w:tab/>
      </w:r>
      <w:r>
        <w:rPr>
          <w:noProof/>
        </w:rPr>
        <w:t>Na programe sa môžu zúčastňovať tretie krajiny, ktoré sú členmi Európskeho hospodárskeho priestoru (EHP), a to v rámci spolupráce zavedenej podľa Dohody o EHP, ktorou sa stanovuje implementácia programov Únie na základe rozhodnutia v zmysle tejto dohody. Tretie krajiny sa môžu zúčastňovať aj na základe ďalších právnych nástrojov. Týmto nariadením by sa mali udeliť potrebné práva a prístup zodpovednému povoľujúcemu úradníkovi, Európskemu úradu pre boj proti podvodom (OLAF), ako aj Európskemu dvoru audítorov, aby mohli v plnej miere vykonávať svoje príslušné právomoci. Plná účasť tretích krajín na programe by mala podliehať podmienkam stanoveným v osobitných dohodách, ktoré sa vzťahujú na účasť príslušnej tretej krajiny na programe. Z plnej účasti okrem toho vyplýva povinnosť zriadiť národnú agentúru a riadiť niektoré akcie programu na decentralizovanej úrovni. Jednotlivci a subjekty z tretích krajín, ktoré nie sú pridružené k programu, by mali mať možnosť zúčastňovať sa na niektorých akciách programu vymedzených v pracovnom programe a výzvach na podávanie návrhov, ktoré uverejnila Komisia.</w:t>
      </w:r>
    </w:p>
    <w:p>
      <w:pPr>
        <w:pStyle w:val="ManualConsidrant"/>
        <w:rPr>
          <w:noProof/>
        </w:rPr>
      </w:pPr>
      <w:r>
        <w:t>(33)</w:t>
      </w:r>
      <w:r>
        <w:tab/>
      </w:r>
      <w:r>
        <w:rPr>
          <w:noProof/>
        </w:rPr>
        <w:t>S cieľom maximalizovať vplyv Európskeho zboru solidarity by sa mali prijať ustanovenia, ktoré účastníckym krajinám a ďalším programom Únie umožnia sprístupniť dodatočné vnútroštátne finančné prostriedky v súlade s pravidlami Európskeho zboru solidarity.</w:t>
      </w:r>
    </w:p>
    <w:p>
      <w:pPr>
        <w:pStyle w:val="ManualConsidrant"/>
        <w:rPr>
          <w:noProof/>
        </w:rPr>
      </w:pPr>
      <w:r>
        <w:t>(34)</w:t>
      </w:r>
      <w:r>
        <w:tab/>
      </w:r>
      <w:r>
        <w:rPr>
          <w:noProof/>
        </w:rPr>
        <w:t>Podľa [článku 88 nového rozhodnutia Rady o pridružení zámorských krajín a území]</w:t>
      </w:r>
      <w:r>
        <w:rPr>
          <w:rStyle w:val="FootnoteReference"/>
          <w:noProof/>
        </w:rPr>
        <w:footnoteReference w:id="30"/>
      </w:r>
      <w:r>
        <w:rPr>
          <w:noProof/>
        </w:rPr>
        <w:t xml:space="preserve"> osoby a subjekty usadené v zámorských krajinách a na zámorských územiach sú oprávnené získať financovanie v súlade s pravidlami a cieľmi programu a prípadnými dojednaniami uplatniteľnými na členský štát, s ktorým sú zámorská krajina alebo územie spojené.</w:t>
      </w:r>
    </w:p>
    <w:p>
      <w:pPr>
        <w:pStyle w:val="ManualConsidrant"/>
        <w:rPr>
          <w:noProof/>
        </w:rPr>
      </w:pPr>
      <w:r>
        <w:t>(35)</w:t>
      </w:r>
      <w:r>
        <w:tab/>
      </w:r>
      <w:r>
        <w:rPr>
          <w:noProof/>
        </w:rPr>
        <w:t>V súlade s oznámením Komisie s názvom „Silnejšie a obnovené strategické partnerstvo s najvzdialenejšími regiónmi EÚ“</w:t>
      </w:r>
      <w:r>
        <w:rPr>
          <w:rStyle w:val="FootnoteReference"/>
          <w:noProof/>
        </w:rPr>
        <w:footnoteReference w:id="31"/>
      </w:r>
      <w:r>
        <w:rPr>
          <w:noProof/>
        </w:rPr>
        <w:t xml:space="preserve"> by sa mala v programe zohľadniť osobitná situácia týchto regiónov. Prijmú sa opatrenia na zvýšenie účasti najvzdialenejších regiónov na všetkých akciách. Tieto opatrenia sa budú pravidelne monitorovať a hodnotiť.</w:t>
      </w:r>
    </w:p>
    <w:p>
      <w:pPr>
        <w:pStyle w:val="ManualConsidrant"/>
        <w:rPr>
          <w:noProof/>
        </w:rPr>
      </w:pPr>
      <w:r>
        <w:t>(36)</w:t>
      </w:r>
      <w:r>
        <w:tab/>
      </w:r>
      <w:r>
        <w:rPr>
          <w:noProof/>
        </w:rPr>
        <w:t>Komisia by mala v súlade s nariadením o rozpočtových pravidlách prijať pracovné programy a informovať o tom Európsky parlament a Radu. Pracovné programy by mali stanovovať opatrenia potrebné na ich implementáciu v súlade so všeobecnými a špecifickými cieľmi programu, kritériami výberu a udeľovania grantov, ako aj so všetkými ostatnými požadovanými prvkami. Pracovné programy a akékoľvek ich zmeny by sa mali prijímať prostredníctvom vykonávacích aktov v súlade s postupom preskúmania.</w:t>
      </w:r>
    </w:p>
    <w:p>
      <w:pPr>
        <w:pStyle w:val="ManualConsidrant"/>
        <w:rPr>
          <w:noProof/>
        </w:rPr>
      </w:pPr>
      <w:r>
        <w:t>(37)</w:t>
      </w:r>
      <w:r>
        <w:tab/>
      </w:r>
      <w:r>
        <w:rPr>
          <w:noProof/>
        </w:rPr>
        <w:t>Podľa odsekov 22 a 23 Medziinštitucionálnej dohody z 13. apríla 2016 o lepšej tvorbe práva je potrebné tento program vyhodnotiť s použitím informácií zozbieraných na základe osobitných požiadaviek na monitorovanie, pričom by sa malo zamedziť nadmernej regulácii a administratívnej záťaži, najmä vo vzťahu k členským štátom. Takéto požiadavky by mali zahŕňať konkrétne, merateľné a realistické ukazovatele, ktoré možno merať v priebehu času ako základ na hodnotenie vplyvov programu v praxi.</w:t>
      </w:r>
    </w:p>
    <w:p>
      <w:pPr>
        <w:pStyle w:val="ManualConsidrant"/>
        <w:rPr>
          <w:noProof/>
        </w:rPr>
      </w:pPr>
      <w:r>
        <w:t>(38)</w:t>
      </w:r>
      <w:r>
        <w:tab/>
      </w:r>
      <w:r>
        <w:rPr>
          <w:noProof/>
        </w:rPr>
        <w:t>Primeraná osveta, propagácia a informovanie o príležitostiach a výsledkoch akcií podporovaných programom by sa mali zabezpečiť na európskej, vnútroštátnej i miestnej úrovni. Osobitná pozornosť by sa mala venovať sociálnym podnikom, ktoré by sa mali podnecovať, aby podporovali činnosti Európskeho zboru solidarity. Na osvetových, propagačných a informačných činnostiach by sa mali podieľať všetky vykonávacie orgány programu, a to v prípade potreby aj s podporou ďalších kľúčových zainteresovaných strán.</w:t>
      </w:r>
    </w:p>
    <w:p>
      <w:pPr>
        <w:pStyle w:val="ManualConsidrant"/>
        <w:rPr>
          <w:noProof/>
        </w:rPr>
      </w:pPr>
      <w:r>
        <w:t>(39)</w:t>
      </w:r>
      <w:r>
        <w:tab/>
      </w:r>
      <w:r>
        <w:rPr>
          <w:noProof/>
        </w:rPr>
        <w:t>V záujme lepšieho dosahovania cieľov programu by Komisia, členské štáty a národné agentúry mali podľa možnosti úzko spolupracovať v partnerstve s mimovládnymi organizáciami, mládežníckymi organizáciami a miestnymi zainteresovanými stranami, ktoré majú odborné znalosti týkajúce sa akcií v oblasti solidarity.</w:t>
      </w:r>
    </w:p>
    <w:p>
      <w:pPr>
        <w:pStyle w:val="ManualConsidrant"/>
        <w:rPr>
          <w:noProof/>
        </w:rPr>
      </w:pPr>
      <w:r>
        <w:t>(40)</w:t>
      </w:r>
      <w:r>
        <w:tab/>
      </w:r>
      <w:r>
        <w:rPr>
          <w:noProof/>
        </w:rPr>
        <w:t>S cieľom zabezpečiť efektívnejšiu komunikáciu so širokou verejnosťou a posilniť synergiu komunikačných činností realizovaných na podnet Komisie by zdroje pridelené na komunikáciu podľa tohto nariadenia mali prispievať aj k zahrnutiu informovania o politických prioritách Únie za predpokladu, že súvisia so všeobecným cieľom tohto nariadenia.</w:t>
      </w:r>
    </w:p>
    <w:p>
      <w:pPr>
        <w:pStyle w:val="ManualConsidrant"/>
        <w:rPr>
          <w:noProof/>
        </w:rPr>
      </w:pPr>
      <w:r>
        <w:t>(41)</w:t>
      </w:r>
      <w:r>
        <w:tab/>
      </w:r>
      <w:r>
        <w:rPr>
          <w:noProof/>
        </w:rPr>
        <w:t>S cieľom zabezpečiť efektívne a účinné vykonávanie tohto nariadenia by mal program v maximálnej možnej miere využívať už existujúce mechanizmy riadenia. Implementácia programu by sa preto mala zveriť existujúcim štruktúram, t. j. Komisii a národným agentúram určeným na riadenie akcií uvedených v kapitole III [nového nariadenia o programe Erasmus]. Komisia by mala pravidelne konzultovať s kľúčovými zainteresovanými stranami vrátane účastníckych organizácií o implementácii Európskeho zboru solidarity.</w:t>
      </w:r>
    </w:p>
    <w:p>
      <w:pPr>
        <w:pStyle w:val="ManualConsidrant"/>
        <w:rPr>
          <w:noProof/>
        </w:rPr>
      </w:pPr>
      <w:r>
        <w:t>(42)</w:t>
      </w:r>
      <w:r>
        <w:tab/>
      </w:r>
      <w:r>
        <w:rPr>
          <w:noProof/>
        </w:rPr>
        <w:t>S cieľom zabezpečiť správne finančné riadenie a právnu istotu v každej účastníckej krajine by každý vnútroštátny orgán mal určiť nezávislý audítorský subjekt. Tam, kde je to možné, a s cieľom maximalizovať efektívnosť by nezávislý audítorský subjekt mohol byť totožný s tým subjektom, ktorý bol určený na akcie uvedené v kapitole III [nového nariadenia o programe Erasmus].</w:t>
      </w:r>
    </w:p>
    <w:p>
      <w:pPr>
        <w:pStyle w:val="ManualConsidrant"/>
        <w:rPr>
          <w:noProof/>
        </w:rPr>
      </w:pPr>
      <w:r>
        <w:t>(43)</w:t>
      </w:r>
      <w:r>
        <w:tab/>
      </w:r>
      <w:r>
        <w:rPr>
          <w:noProof/>
        </w:rPr>
        <w:t>Členské štáty by sa mali snažiť prijať všetky primerané opatrenia na odstránenie právnych a administratívnych prekážok správneho fungovania programu. Podľa možnosti a bez toho, aby bolo dotknuté právo Únie týkajúce sa vstupu a pobytu štátnych príslušníkov tretích krajín, sem patrí vyriešenie administratívnych otázok, ktoré spôsobujú ťažkosti pri získavaní víza a povolenia na pobyt. V súlade so smernicou Európskeho parlamentu a Rady (EÚ) 2016/801</w:t>
      </w:r>
      <w:r>
        <w:rPr>
          <w:rStyle w:val="FootnoteReference"/>
          <w:noProof/>
        </w:rPr>
        <w:footnoteReference w:id="32"/>
      </w:r>
      <w:r>
        <w:rPr>
          <w:noProof/>
        </w:rPr>
        <w:t xml:space="preserve"> sa členské štáty vyzývajú, aby zaviedli zrýchlené postupy prijímania.</w:t>
      </w:r>
    </w:p>
    <w:p>
      <w:pPr>
        <w:pStyle w:val="ManualConsidrant"/>
        <w:rPr>
          <w:noProof/>
        </w:rPr>
      </w:pPr>
      <w:r>
        <w:t>(44)</w:t>
      </w:r>
      <w:r>
        <w:tab/>
      </w:r>
      <w:r>
        <w:rPr>
          <w:noProof/>
        </w:rPr>
        <w:t>Systém podávania správ o výkonnosti by mal zabezpečiť, aby sa údaje na monitorovanie implementácie a hodnotenia programu zozbierali efektívne, účinne a včas, ako aj na primeranej úrovni podrobnosti. Takéto údaje by sa mali oznamovať Komisii spôsobom, ktorý je v súlade s príslušnými pravidlami o ochrane údajov.</w:t>
      </w:r>
    </w:p>
    <w:p>
      <w:pPr>
        <w:pStyle w:val="ManualConsidrant"/>
        <w:rPr>
          <w:noProof/>
        </w:rPr>
      </w:pPr>
      <w:r>
        <w:t>(45)</w:t>
      </w:r>
      <w:r>
        <w:tab/>
      </w:r>
      <w:r>
        <w:rPr>
          <w:noProof/>
        </w:rPr>
        <w:t>S cieľom zabezpečiť jednotné podmienky vykonávania tohto nariadenia by sa mali na Komisiu preniesť vykonávacie právomoci. Tieto právomoci by sa mali vykonávať v súlade s nariadením Európskeho parlamentu a Rady (EÚ) č. 182/2011</w:t>
      </w:r>
      <w:r>
        <w:rPr>
          <w:rStyle w:val="FootnoteReference"/>
          <w:noProof/>
        </w:rPr>
        <w:footnoteReference w:id="33"/>
      </w:r>
      <w:r>
        <w:rPr>
          <w:noProof/>
        </w:rPr>
        <w:t>.</w:t>
      </w:r>
    </w:p>
    <w:p>
      <w:pPr>
        <w:pStyle w:val="ManualConsidrant"/>
        <w:rPr>
          <w:noProof/>
        </w:rPr>
      </w:pPr>
      <w:r>
        <w:t>(46)</w:t>
      </w:r>
      <w:r>
        <w:tab/>
      </w:r>
      <w:r>
        <w:rPr>
          <w:noProof/>
        </w:rPr>
        <w:t>S cieľom zjednodušiť požiadavky pre prijímateľov by sa v maximálnej možnej miere mali využívať zjednodušené granty vo forme jednorazových platieb, jednotkových nákladov a paušálnych platieb. V prípade zjednodušených grantov na podporu akcií programu zameraných na mobilitu, ako ich vymedzila Komisia, by sa mali zohľadňovať životné náklady a náklady spojené s pobytom v hostiteľskej krajine. Členské štáty by sa mali tiež nabádať, aby v súlade s vnútroštátnym právom oslobodili tieto granty od daní a príspevkov na sociálne zabezpečenie. Rovnaké oslobodenie by sa malo uplatňovať aj v prípade verejných alebo súkromných subjektov, ktoré udeľujú takúto finančnú podporu príslušným jednotlivcom.</w:t>
      </w:r>
    </w:p>
    <w:p>
      <w:pPr>
        <w:pStyle w:val="ManualConsidrant"/>
        <w:rPr>
          <w:noProof/>
        </w:rPr>
      </w:pPr>
      <w:r>
        <w:t>(47)</w:t>
      </w:r>
      <w:r>
        <w:tab/>
      </w:r>
      <w:r>
        <w:rPr>
          <w:noProof/>
        </w:rPr>
        <w:t>V súlade s nariadením o rozpočtových pravidlách, nariadením Európskeho parlamentu a Rady (EÚ, Euratom) č. 883/2013, nariadením Rady (Euratom, ES) č. 2988/95</w:t>
      </w:r>
      <w:r>
        <w:rPr>
          <w:rStyle w:val="FootnoteReference"/>
          <w:noProof/>
        </w:rPr>
        <w:footnoteReference w:id="34"/>
      </w:r>
      <w:r>
        <w:rPr>
          <w:noProof/>
        </w:rPr>
        <w:t>, nariadením Rady (Euratom, ES) č. 2185/96 a nariadením Rady (EÚ) 2017/1939 majú byť finančné záujmy Únie chránené primeranými opatreniami vrátane prevencie, zisťovania, nápravy a vyšetrovania nezrovnalostí a podvodov, vymáhania stratených, nesprávne vyplatených alebo nesprávne použitých finančných prostriedkov a prípadne ukladania administratívnych sankcií. S cieľom preskúmať a/alebo doplniť ukazovatele výkonnosti programu by sa mala na Komisiu delegovať právomoc prijímať akty v súlade s článkom 290 Zmluvy o fungovaní Európskej únie. Je osobitne dôležité, aby Komisia počas prípravných prác uskutočnila príslušné konzultácie, a to aj na úrovni expertov, a aby sa tieto konzultácie viedli v súlade so zásadami stanovenými v Medziinštitucionálnej dohode z 13. apríla 2016 o lepšej tvorbe práva. Predovšetkým v záujme zaistenia rovnakého zastúpenia pri príprave delegovaných aktov sa všetky dokumenty poskytujú Európskemu parlamentu a Rade v rovnakom čase ako expertom z členských štátov a experti Európskeho parlamentu a Rady majú stály prístup na zasadnutia expertných skupín Komisie, ktoré sa venujú príprave delegovaných aktov.</w:t>
      </w:r>
    </w:p>
    <w:p>
      <w:pPr>
        <w:pStyle w:val="ManualConsidrant"/>
        <w:rPr>
          <w:noProof/>
        </w:rPr>
      </w:pPr>
      <w:r>
        <w:t>(48)</w:t>
      </w:r>
      <w:r>
        <w:tab/>
      </w:r>
      <w:r>
        <w:rPr>
          <w:noProof/>
        </w:rPr>
        <w:t>Toto nariadenie rešpektuje základné práva a dodržiava zásady uznané najmä Chartou základných práv Európskej únie</w:t>
      </w:r>
      <w:r>
        <w:rPr>
          <w:rStyle w:val="FootnoteReference"/>
          <w:noProof/>
        </w:rPr>
        <w:footnoteReference w:id="35"/>
      </w:r>
      <w:r>
        <w:rPr>
          <w:noProof/>
        </w:rPr>
        <w:t>. Cieľom tohto nariadenia je predovšetkým zabezpečiť úplné rešpektovanie práva rovnosti medzi ženami a mužmi a práva nediskriminácie z dôvodu pohlavia, rasy alebo etnického pôvodu, náboženstva alebo viery, zdravotného postihnutia, veku alebo sexuálnej orientácie a podporovať uplatňovanie článkov 21 a 23 Charty základných práv Európskej únie.</w:t>
      </w:r>
    </w:p>
    <w:p>
      <w:pPr>
        <w:pStyle w:val="ManualConsidrant"/>
        <w:rPr>
          <w:noProof/>
        </w:rPr>
      </w:pPr>
      <w:r>
        <w:t>(49)</w:t>
      </w:r>
      <w:r>
        <w:tab/>
      </w:r>
      <w:r>
        <w:rPr>
          <w:noProof/>
        </w:rPr>
        <w:t>Na toto nariadenie sa vzťahujú horizontálne rozpočtové pravidlá, ktoré prijali Európsky parlament a Rada na základe článku 322 Zmluvy o fungovaní Európskej únie. Tieto pravidlá sú stanovené v nariadení o rozpočtových pravidlách a upravujú najmä postup zostavovania a plnenia rozpočtu prostredníctvom grantov, verejného obstarávania, cien, nepriamej implementácie, a stanovujú kontroly týkajúce sa zodpovednosti účastníkov finančných operácií. Pravidla prijaté na základe článku 322 Zmluvy o fungovaní Európskej únie sa týkajú aj ochrany rozpočtu Únie v prípade všeobecných nedostatkov pri dodržiavaní zásad právneho štátu v členských štátoch, keďže dodržiavanie týchto zásad je základným predpokladom správneho finančného riadenia a účinného financovania z prostriedkov Únie.</w:t>
      </w:r>
    </w:p>
    <w:p>
      <w:pPr>
        <w:pStyle w:val="ManualConsidrant"/>
        <w:rPr>
          <w:noProof/>
        </w:rPr>
      </w:pPr>
      <w:r>
        <w:t>(50)</w:t>
      </w:r>
      <w:r>
        <w:tab/>
      </w:r>
      <w:r>
        <w:rPr>
          <w:noProof/>
        </w:rPr>
        <w:t>Keďže cieľ tohto nariadenia, konkrétne zvýšiť účasť mladých ľudí a organizácií na dostupných a vysokokvalitných solidárnych činnostiach, nie je možné uspokojivo dosiahnuť na úrovni jednotlivých členských štátov, ale z dôvodov jeho rozsahu a dôsledkov ho možno lepšie dosiahnuť na úrovni Únie, môže Únia prijať opatrenia v súlade so zásadou subsidiarity podľa článku 5 Zmluvy o Európskej únii. V súlade so zásadou proporcionality podľa uvedeného článku toto nariadenie neprekračuje rámec opatrení nevyhnutných na dosiahnutie uvedených cieľov.</w:t>
      </w:r>
    </w:p>
    <w:p>
      <w:pPr>
        <w:pStyle w:val="ManualConsidrant"/>
        <w:rPr>
          <w:noProof/>
          <w:u w:color="000000"/>
          <w:bdr w:val="nil"/>
        </w:rPr>
      </w:pPr>
      <w:r>
        <w:t>(51)</w:t>
      </w:r>
      <w:r>
        <w:tab/>
      </w:r>
      <w:r>
        <w:rPr>
          <w:noProof/>
        </w:rPr>
        <w:t>[Nariadenie o Európskom zbore solidarity] by sa malo zrušiť s účinnosťou od 1. januára 2021.</w:t>
      </w:r>
    </w:p>
    <w:p>
      <w:pPr>
        <w:pStyle w:val="ManualConsidrant"/>
        <w:rPr>
          <w:noProof/>
        </w:rPr>
      </w:pPr>
      <w:r>
        <w:t>(52)</w:t>
      </w:r>
      <w:r>
        <w:tab/>
      </w:r>
      <w:r>
        <w:rPr>
          <w:noProof/>
        </w:rPr>
        <w:t>V záujme zabezpečenia kontinuity finančnej podpory poskytovanej v rámci programu by sa toto nariadenie malo uplatňovať od 1. januára 2021,</w:t>
      </w:r>
    </w:p>
    <w:p>
      <w:pPr>
        <w:pStyle w:val="Formuledadoption"/>
        <w:rPr>
          <w:noProof/>
        </w:rPr>
      </w:pPr>
      <w:r>
        <w:rPr>
          <w:noProof/>
        </w:rPr>
        <w:t>PRIJALI TOTO NARIADENIE:</w:t>
      </w:r>
    </w:p>
    <w:p>
      <w:pPr>
        <w:pStyle w:val="Titrearticle"/>
        <w:spacing w:before="120"/>
        <w:rPr>
          <w:noProof/>
        </w:rPr>
      </w:pPr>
      <w:r>
        <w:rPr>
          <w:noProof/>
        </w:rPr>
        <w:t>KAPITOLA I</w:t>
      </w:r>
    </w:p>
    <w:p>
      <w:pPr>
        <w:pStyle w:val="Titrearticle"/>
        <w:spacing w:before="120"/>
        <w:rPr>
          <w:noProof/>
        </w:rPr>
      </w:pPr>
      <w:r>
        <w:rPr>
          <w:noProof/>
        </w:rPr>
        <w:t>VŠEOBECNÉ USTANOVENIA</w:t>
      </w:r>
    </w:p>
    <w:p>
      <w:pPr>
        <w:pStyle w:val="Titrearticle"/>
        <w:spacing w:before="120"/>
        <w:rPr>
          <w:noProof/>
        </w:rPr>
      </w:pPr>
      <w:r>
        <w:rPr>
          <w:noProof/>
        </w:rPr>
        <w:t>Článok 1</w:t>
      </w:r>
    </w:p>
    <w:p>
      <w:pPr>
        <w:pStyle w:val="Titrearticle"/>
        <w:spacing w:before="120"/>
        <w:rPr>
          <w:noProof/>
        </w:rPr>
      </w:pPr>
      <w:r>
        <w:rPr>
          <w:noProof/>
        </w:rPr>
        <w:t>Predmet úpravy</w:t>
      </w:r>
    </w:p>
    <w:p>
      <w:pPr>
        <w:rPr>
          <w:noProof/>
        </w:rPr>
      </w:pPr>
      <w:r>
        <w:rPr>
          <w:noProof/>
        </w:rPr>
        <w:t>Týmto nariadením sa stanovuje program Európsky zbor solidarity (ďalej len „program“).</w:t>
      </w:r>
    </w:p>
    <w:p>
      <w:pPr>
        <w:rPr>
          <w:noProof/>
        </w:rPr>
      </w:pPr>
      <w:r>
        <w:rPr>
          <w:noProof/>
        </w:rPr>
        <w:t>Stanovujú sa v ňom ciele programu, rozpočet na obdobie 2021 – 2027, formy financovania z prostriedkov Únie a pravidlá poskytovania týchto finančných prostriedkov.</w:t>
      </w:r>
    </w:p>
    <w:p>
      <w:pPr>
        <w:pStyle w:val="Titrearticle"/>
        <w:spacing w:before="120"/>
        <w:rPr>
          <w:noProof/>
        </w:rPr>
      </w:pPr>
      <w:r>
        <w:rPr>
          <w:noProof/>
        </w:rPr>
        <w:t>Článok 2</w:t>
      </w:r>
    </w:p>
    <w:p>
      <w:pPr>
        <w:pStyle w:val="Titrearticle"/>
        <w:spacing w:before="120"/>
        <w:rPr>
          <w:noProof/>
        </w:rPr>
      </w:pPr>
      <w:r>
        <w:rPr>
          <w:noProof/>
        </w:rPr>
        <w:t>Vymedzenie pojmov</w:t>
      </w:r>
    </w:p>
    <w:p>
      <w:pPr>
        <w:rPr>
          <w:noProof/>
        </w:rPr>
      </w:pPr>
      <w:r>
        <w:rPr>
          <w:noProof/>
        </w:rPr>
        <w:t>Na účely tohto nariadenia sa uplatňuje toto vymedzenie pojmov:</w:t>
      </w:r>
    </w:p>
    <w:p>
      <w:pPr>
        <w:pStyle w:val="Point0"/>
        <w:rPr>
          <w:noProof/>
        </w:rPr>
      </w:pPr>
      <w:r>
        <w:rPr>
          <w:noProof/>
        </w:rPr>
        <w:t>1.</w:t>
      </w:r>
      <w:r>
        <w:rPr>
          <w:noProof/>
        </w:rPr>
        <w:tab/>
      </w:r>
      <w:r>
        <w:rPr>
          <w:i/>
          <w:noProof/>
        </w:rPr>
        <w:t>„solidárna činnosť“</w:t>
      </w:r>
      <w:r>
        <w:rPr>
          <w:noProof/>
        </w:rPr>
        <w:t xml:space="preserve"> je vysokokvalitná dočasná činnosť prispievajúca k dosahovaniu cieľov Európskeho zboru solidarity, ktorá môže mať podobu dobrovoľníckych činností, stáží, pracovných miest, solidaritných projektov a činností súvisiacich s vytváraním sietí v rôznych oblastiach vrátane tých v bode 13, zabezpečujúca európsku pridanú hodnotu a súlad so zdravotnými a bezpečnostnými predpismi;</w:t>
      </w:r>
    </w:p>
    <w:p>
      <w:pPr>
        <w:pStyle w:val="Point0"/>
        <w:rPr>
          <w:noProof/>
        </w:rPr>
      </w:pPr>
      <w:r>
        <w:rPr>
          <w:noProof/>
        </w:rPr>
        <w:t>2.</w:t>
      </w:r>
      <w:r>
        <w:rPr>
          <w:noProof/>
        </w:rPr>
        <w:tab/>
      </w:r>
      <w:r>
        <w:rPr>
          <w:i/>
          <w:noProof/>
        </w:rPr>
        <w:t>„registrovaný uchádzač“</w:t>
      </w:r>
      <w:r>
        <w:rPr>
          <w:noProof/>
        </w:rPr>
        <w:t xml:space="preserve"> je osoba vo veku od 17 do 30 rokov, ktorá sa zaregistrovala na portáli Európskeho zboru solidarity, aby vyjadrila záujem zapojiť sa do solidárnej činnosti, ale zatiaľ sa na takejto činnosti nezúčastňuje;</w:t>
      </w:r>
    </w:p>
    <w:p>
      <w:pPr>
        <w:pStyle w:val="Point0"/>
        <w:rPr>
          <w:noProof/>
        </w:rPr>
      </w:pPr>
      <w:r>
        <w:rPr>
          <w:noProof/>
        </w:rPr>
        <w:t>3.</w:t>
      </w:r>
      <w:r>
        <w:rPr>
          <w:noProof/>
        </w:rPr>
        <w:tab/>
      </w:r>
      <w:r>
        <w:rPr>
          <w:i/>
          <w:noProof/>
        </w:rPr>
        <w:t>„účastník“</w:t>
      </w:r>
      <w:r>
        <w:rPr>
          <w:noProof/>
        </w:rPr>
        <w:t xml:space="preserve"> je osoba vo veku od 18 do 30 rokov, ktorá sa zaregistrovala na portáli Európskeho zboru solidarity a ktorá sa zúčastňuje na solidárnej činnosti v rámci Európskeho zboru solidarity;</w:t>
      </w:r>
    </w:p>
    <w:p>
      <w:pPr>
        <w:pStyle w:val="Point0"/>
        <w:rPr>
          <w:noProof/>
        </w:rPr>
      </w:pPr>
      <w:r>
        <w:rPr>
          <w:noProof/>
        </w:rPr>
        <w:t>4.</w:t>
      </w:r>
      <w:r>
        <w:rPr>
          <w:noProof/>
        </w:rPr>
        <w:tab/>
      </w:r>
      <w:r>
        <w:rPr>
          <w:i/>
          <w:noProof/>
        </w:rPr>
        <w:t>„mladí ľudia s nedostatkom príležitostí“</w:t>
      </w:r>
      <w:r>
        <w:rPr>
          <w:noProof/>
        </w:rPr>
        <w:t xml:space="preserve"> sú mladí ľudia, ktorí čelia určitým prekážkam, ktoré im bránia v tom, aby mali účinný prístup k príležitostiam v rámci programu z ekonomických, zo sociálnych, z kultúrnych, geografických alebo zo zdravotných dôvodov alebo z dôvodov, ako sú zdravotné postihnutie a ťažkosti vo vzdelávaní;</w:t>
      </w:r>
    </w:p>
    <w:p>
      <w:pPr>
        <w:pStyle w:val="Point0"/>
        <w:rPr>
          <w:noProof/>
        </w:rPr>
      </w:pPr>
      <w:r>
        <w:rPr>
          <w:noProof/>
        </w:rPr>
        <w:t>5.</w:t>
      </w:r>
      <w:r>
        <w:rPr>
          <w:noProof/>
        </w:rPr>
        <w:tab/>
      </w:r>
      <w:r>
        <w:rPr>
          <w:i/>
          <w:noProof/>
        </w:rPr>
        <w:t>„účastnícka organizácia“</w:t>
      </w:r>
      <w:r>
        <w:rPr>
          <w:noProof/>
        </w:rPr>
        <w:t xml:space="preserve"> je akýkoľvek verejný alebo súkromný subjekt, a to miestny, regionálny, vnútroštátny alebo medzinárodný, ktorému bola udelená značka kvality Európskeho zboru solidarity;</w:t>
      </w:r>
    </w:p>
    <w:p>
      <w:pPr>
        <w:pStyle w:val="Point0"/>
        <w:rPr>
          <w:noProof/>
        </w:rPr>
      </w:pPr>
      <w:r>
        <w:rPr>
          <w:noProof/>
        </w:rPr>
        <w:t>6.</w:t>
      </w:r>
      <w:r>
        <w:rPr>
          <w:noProof/>
        </w:rPr>
        <w:tab/>
      </w:r>
      <w:r>
        <w:rPr>
          <w:i/>
          <w:noProof/>
        </w:rPr>
        <w:t>„dobrovoľnícka činnosť“</w:t>
      </w:r>
      <w:r>
        <w:rPr>
          <w:noProof/>
        </w:rPr>
        <w:t xml:space="preserve"> je solidárna činnosť, ktorá sa uskutočňuje ako dobrovoľná, neplatená činnosť vykonávaná najviac 12 mesiacov;</w:t>
      </w:r>
    </w:p>
    <w:p>
      <w:pPr>
        <w:pStyle w:val="Point0"/>
        <w:rPr>
          <w:noProof/>
        </w:rPr>
      </w:pPr>
      <w:r>
        <w:rPr>
          <w:noProof/>
        </w:rPr>
        <w:t>7.</w:t>
      </w:r>
      <w:r>
        <w:rPr>
          <w:noProof/>
        </w:rPr>
        <w:tab/>
      </w:r>
      <w:r>
        <w:rPr>
          <w:i/>
          <w:noProof/>
        </w:rPr>
        <w:t xml:space="preserve">„stáž“ </w:t>
      </w:r>
      <w:r>
        <w:rPr>
          <w:noProof/>
        </w:rPr>
        <w:t>je solidárna činnosť počas obdobia od dvoch do šiestich mesiacov, ktoré sa dá predĺžiť len raz a na maximálne 12 mesiacov, ktorú ponúka a hradí účastnícka organizácia v úlohe hostiteľa účastníka Európskeho zboru solidarity;</w:t>
      </w:r>
    </w:p>
    <w:p>
      <w:pPr>
        <w:pStyle w:val="Point0"/>
        <w:rPr>
          <w:noProof/>
        </w:rPr>
      </w:pPr>
      <w:r>
        <w:rPr>
          <w:noProof/>
        </w:rPr>
        <w:t>8.</w:t>
      </w:r>
      <w:r>
        <w:rPr>
          <w:noProof/>
        </w:rPr>
        <w:tab/>
      </w:r>
      <w:r>
        <w:rPr>
          <w:i/>
          <w:noProof/>
        </w:rPr>
        <w:t>„pracovné miesto“</w:t>
      </w:r>
      <w:r>
        <w:rPr>
          <w:noProof/>
        </w:rPr>
        <w:t xml:space="preserve"> je solidárna činnosť počas obdobia od dvoch do dvanástich mesiacov, ktorú hradí účastnícka organizácia zamestnávajúca účastníka Európskeho zboru solidarity;</w:t>
      </w:r>
    </w:p>
    <w:p>
      <w:pPr>
        <w:pStyle w:val="Point0"/>
        <w:rPr>
          <w:noProof/>
        </w:rPr>
      </w:pPr>
      <w:r>
        <w:rPr>
          <w:noProof/>
        </w:rPr>
        <w:t>9.</w:t>
      </w:r>
      <w:r>
        <w:rPr>
          <w:noProof/>
        </w:rPr>
        <w:tab/>
      </w:r>
      <w:r>
        <w:rPr>
          <w:i/>
          <w:noProof/>
        </w:rPr>
        <w:t>„solidaritný projekt“</w:t>
      </w:r>
      <w:r>
        <w:rPr>
          <w:noProof/>
        </w:rPr>
        <w:t xml:space="preserve"> je neplatená solidárna činnosť v rámci krajiny počas obdobia najviac 12 mesiacov, ktorú vykonávajú skupiny minimálne piatich účastníkov Európskeho zboru solidarity s cieľom riešiť kľúčové výzvy vo svojich komunitách a zároveň vytvárať jasnú európsku pridanú hodnotu;</w:t>
      </w:r>
    </w:p>
    <w:p>
      <w:pPr>
        <w:pStyle w:val="Point0"/>
        <w:rPr>
          <w:noProof/>
        </w:rPr>
      </w:pPr>
      <w:r>
        <w:rPr>
          <w:noProof/>
        </w:rPr>
        <w:t>10.</w:t>
      </w:r>
      <w:r>
        <w:rPr>
          <w:noProof/>
        </w:rPr>
        <w:tab/>
      </w:r>
      <w:r>
        <w:rPr>
          <w:i/>
          <w:noProof/>
        </w:rPr>
        <w:t>„značka kvality“</w:t>
      </w:r>
      <w:r>
        <w:rPr>
          <w:noProof/>
        </w:rPr>
        <w:t xml:space="preserve"> je osvedčenie udeľované účastníckej organizácii, ktorá chce ponúkať solidárne činnosti v rámci Európskeho zboru solidarity, a to v úlohe hostiteľa a/alebo v rámci podpornej funkcie;</w:t>
      </w:r>
    </w:p>
    <w:p>
      <w:pPr>
        <w:pStyle w:val="Point0"/>
        <w:rPr>
          <w:noProof/>
        </w:rPr>
      </w:pPr>
      <w:r>
        <w:rPr>
          <w:noProof/>
        </w:rPr>
        <w:t>11.</w:t>
      </w:r>
      <w:r>
        <w:rPr>
          <w:noProof/>
        </w:rPr>
        <w:tab/>
      </w:r>
      <w:r>
        <w:rPr>
          <w:i/>
          <w:noProof/>
        </w:rPr>
        <w:t>„asistenčné centrá Európskeho zboru solidarity“</w:t>
      </w:r>
      <w:r>
        <w:rPr>
          <w:noProof/>
        </w:rPr>
        <w:t xml:space="preserve"> sú ďalšie funkcie, ktoré vykonávajú určené národné agentúry na podporu rozvoja, vykonávania a kvality činností v rámci Európskeho zboru solidarity, ako aj na identifikáciu schopností získaných účastníkmi v solidárnych činnostiach;</w:t>
      </w:r>
    </w:p>
    <w:p>
      <w:pPr>
        <w:pStyle w:val="Point0"/>
        <w:rPr>
          <w:noProof/>
        </w:rPr>
      </w:pPr>
      <w:r>
        <w:rPr>
          <w:noProof/>
        </w:rPr>
        <w:t>12.</w:t>
      </w:r>
      <w:r>
        <w:rPr>
          <w:noProof/>
        </w:rPr>
        <w:tab/>
      </w:r>
      <w:r>
        <w:rPr>
          <w:i/>
          <w:noProof/>
        </w:rPr>
        <w:t>„nástroje Únie na transparentnosť a uznávanie kvalifikácií“</w:t>
      </w:r>
      <w:r>
        <w:rPr>
          <w:noProof/>
        </w:rPr>
        <w:t xml:space="preserve"> sú nástroje, ktoré pomáhajú zainteresovaným stranám chápať, hodnotiť a podľa potreby uznávať výsledky neformálneho vzdelávania a informálneho učenia sa v celej Únii. Všetci účastníci po dokončení svojich činností získajú osvedčenie, v ktorom budú uvedené výsledky vzdelávania a zručnosti získané počas činností, ako je Youthpass alebo Europass;</w:t>
      </w:r>
    </w:p>
    <w:p>
      <w:pPr>
        <w:pStyle w:val="Point0"/>
        <w:rPr>
          <w:noProof/>
          <w:u w:color="0000FF"/>
        </w:rPr>
      </w:pPr>
      <w:r>
        <w:rPr>
          <w:noProof/>
        </w:rPr>
        <w:t>13.</w:t>
      </w:r>
      <w:r>
        <w:rPr>
          <w:noProof/>
        </w:rPr>
        <w:tab/>
      </w:r>
      <w:r>
        <w:rPr>
          <w:i/>
          <w:noProof/>
        </w:rPr>
        <w:t>„činnosť humanitárnej pomoci“</w:t>
      </w:r>
      <w:r>
        <w:rPr>
          <w:noProof/>
        </w:rPr>
        <w:t xml:space="preserve"> je činnosť, ktorá podporuje operácie humanitárnej pomoci v tretích krajinách s cieľom poskytovať núdzovú pomoc vychádzajúcu z potrieb a zameranú na ochranu života, predchádzanie ľudskému utrpeniu a jeho zmierňovanie a zachovanie ľudskej dôstojnosti v podmienkach kríz spôsobených človekom alebo prírodnými katastrofami vrátane pomoci a ochranných operácií počas humanitárnych kríz alebo bezprostredne po nich, ktorá podporuje opatrenia na zabezpečenie prístupu k ľuďom v núdzi a uľahčenie voľného toku pomoci, ako aj opatrenia zamerané na posilnenie pripravenosti na katastrofy a znižovanie rizika katastrof, prepojenie pomoci, obnovy a rozvoja a prispenie k zvyšovaniu odolnosti a schopnosti zvládať krízy a zotaviť sa z nich;</w:t>
      </w:r>
    </w:p>
    <w:p>
      <w:pPr>
        <w:pStyle w:val="Point0"/>
        <w:rPr>
          <w:noProof/>
          <w:u w:color="0000FF"/>
        </w:rPr>
      </w:pPr>
      <w:r>
        <w:rPr>
          <w:noProof/>
        </w:rPr>
        <w:t>14.</w:t>
      </w:r>
      <w:r>
        <w:rPr>
          <w:noProof/>
        </w:rPr>
        <w:tab/>
      </w:r>
      <w:r>
        <w:rPr>
          <w:i/>
          <w:noProof/>
        </w:rPr>
        <w:t>„tretia krajina“</w:t>
      </w:r>
      <w:r>
        <w:rPr>
          <w:noProof/>
        </w:rPr>
        <w:t xml:space="preserve"> je krajina, ktorá nie je členským štátom Únie;</w:t>
      </w:r>
    </w:p>
    <w:p>
      <w:pPr>
        <w:pStyle w:val="Point0"/>
        <w:rPr>
          <w:noProof/>
          <w:u w:color="0000FF"/>
        </w:rPr>
      </w:pPr>
      <w:r>
        <w:rPr>
          <w:noProof/>
        </w:rPr>
        <w:t>15.</w:t>
      </w:r>
      <w:r>
        <w:rPr>
          <w:noProof/>
        </w:rPr>
        <w:tab/>
      </w:r>
      <w:r>
        <w:rPr>
          <w:i/>
          <w:noProof/>
        </w:rPr>
        <w:t>„tretia krajina pridružená k programu“</w:t>
      </w:r>
      <w:r>
        <w:rPr>
          <w:noProof/>
        </w:rPr>
        <w:t xml:space="preserve"> je tretia krajina, ktorá je stranou dohody s Úniou umožňujúcej jej účasť na programe a ktorá spĺňa všetky povinnosti stanovené v tomto nariadení vo vzťahu k členským štátom;</w:t>
      </w:r>
    </w:p>
    <w:p>
      <w:pPr>
        <w:pStyle w:val="Point0"/>
        <w:rPr>
          <w:noProof/>
          <w:u w:color="0000FF"/>
        </w:rPr>
      </w:pPr>
      <w:r>
        <w:rPr>
          <w:noProof/>
        </w:rPr>
        <w:t>16.</w:t>
      </w:r>
      <w:r>
        <w:rPr>
          <w:noProof/>
        </w:rPr>
        <w:tab/>
      </w:r>
      <w:r>
        <w:rPr>
          <w:i/>
          <w:noProof/>
        </w:rPr>
        <w:t>„tretia krajina, ktorá nie je pridružená k programu“</w:t>
      </w:r>
      <w:r>
        <w:rPr>
          <w:noProof/>
        </w:rPr>
        <w:t>, je tretia krajina, ktorá sa na programe plne nezúčastňuje, jej právne subjekty však môžu výnimočne využívať program v riadne odôvodnených prípadoch, ak je to v záujme Únie.</w:t>
      </w:r>
    </w:p>
    <w:p>
      <w:pPr>
        <w:pStyle w:val="Titrearticle"/>
        <w:spacing w:before="120"/>
        <w:rPr>
          <w:noProof/>
        </w:rPr>
      </w:pPr>
      <w:r>
        <w:rPr>
          <w:noProof/>
        </w:rPr>
        <w:t>Článok 3</w:t>
      </w:r>
    </w:p>
    <w:p>
      <w:pPr>
        <w:pStyle w:val="Titrearticle"/>
        <w:spacing w:before="120"/>
        <w:rPr>
          <w:noProof/>
        </w:rPr>
      </w:pPr>
      <w:r>
        <w:rPr>
          <w:noProof/>
        </w:rPr>
        <w:t>Ciele programu</w:t>
      </w:r>
    </w:p>
    <w:p>
      <w:pPr>
        <w:pStyle w:val="ManualNumPar1"/>
        <w:rPr>
          <w:noProof/>
        </w:rPr>
      </w:pPr>
      <w:r>
        <w:t>1.</w:t>
      </w:r>
      <w:r>
        <w:tab/>
      </w:r>
      <w:r>
        <w:rPr>
          <w:noProof/>
        </w:rPr>
        <w:t>Všeobecným cieľom programu je zvýšiť účasť mladých ľudí a organizácií na dostupných a vysokokvalitných solidárnych činnostiach, a tým prispieť k posilňovaniu súdržnosti, solidarity a demokracie v Únii a mimo nej, riešiť spoločenské a humanitárne výzvy na mieste, predovšetkým v snahe podporiť sociálne začlenenie.</w:t>
      </w:r>
    </w:p>
    <w:p>
      <w:pPr>
        <w:pStyle w:val="ManualNumPar1"/>
        <w:rPr>
          <w:noProof/>
        </w:rPr>
      </w:pPr>
      <w:r>
        <w:t>2.</w:t>
      </w:r>
      <w:r>
        <w:tab/>
      </w:r>
      <w:r>
        <w:rPr>
          <w:noProof/>
        </w:rPr>
        <w:t>Špecifickým cieľom programu je poskytovať mladým ľuďom vrátane mladých ľudí s nedostatkom príležitostí ľahko dostupné príležitosti na zapojenie sa do solidárnych činností v Európe a vo svete a súčasne zlepšovať a náležite potvrdzovať ich schopnosti, ako aj uľahčovať ich zamestnateľnosť a prechod na trh práce.</w:t>
      </w:r>
    </w:p>
    <w:p>
      <w:pPr>
        <w:pStyle w:val="ManualNumPar1"/>
        <w:rPr>
          <w:noProof/>
        </w:rPr>
      </w:pPr>
      <w:r>
        <w:t>3.</w:t>
      </w:r>
      <w:r>
        <w:tab/>
      </w:r>
      <w:r>
        <w:rPr>
          <w:noProof/>
        </w:rPr>
        <w:t>Ciele programu sa plnia v rámci týchto dvoch zložiek akcií:</w:t>
      </w:r>
    </w:p>
    <w:p>
      <w:pPr>
        <w:pStyle w:val="Point1"/>
        <w:rPr>
          <w:noProof/>
        </w:rPr>
      </w:pPr>
      <w:r>
        <w:rPr>
          <w:noProof/>
        </w:rPr>
        <w:t>a)</w:t>
      </w:r>
      <w:r>
        <w:rPr>
          <w:noProof/>
        </w:rPr>
        <w:tab/>
        <w:t>účasť mladých ľudí na solidárnych činnostiach zameraných na riešenie spoločenských výziev podľa článku 6;</w:t>
      </w:r>
    </w:p>
    <w:p>
      <w:pPr>
        <w:pStyle w:val="Point1"/>
        <w:rPr>
          <w:noProof/>
        </w:rPr>
      </w:pPr>
      <w:r>
        <w:rPr>
          <w:noProof/>
        </w:rPr>
        <w:t>b)</w:t>
      </w:r>
      <w:r>
        <w:rPr>
          <w:noProof/>
        </w:rPr>
        <w:tab/>
        <w:t>účasť mladých ľudí na humanitárnej pomoci súvisiacej so solidárnymi činnosťami (Európsky dobrovoľnícky zbor pre humanitárnu pomoc) podľa článku 10.</w:t>
      </w:r>
    </w:p>
    <w:p>
      <w:pPr>
        <w:pStyle w:val="Titrearticle"/>
        <w:spacing w:before="120"/>
        <w:rPr>
          <w:noProof/>
        </w:rPr>
      </w:pPr>
      <w:r>
        <w:rPr>
          <w:noProof/>
        </w:rPr>
        <w:t>KAPITOLA II</w:t>
      </w:r>
    </w:p>
    <w:p>
      <w:pPr>
        <w:pStyle w:val="Titrearticle"/>
        <w:spacing w:before="120"/>
        <w:rPr>
          <w:noProof/>
        </w:rPr>
      </w:pPr>
      <w:r>
        <w:rPr>
          <w:noProof/>
        </w:rPr>
        <w:t>AKCIE EURÓPSKEHO ZBORU SOLIDARITY</w:t>
      </w:r>
    </w:p>
    <w:p>
      <w:pPr>
        <w:pStyle w:val="Titrearticle"/>
        <w:spacing w:before="120"/>
        <w:rPr>
          <w:noProof/>
        </w:rPr>
      </w:pPr>
      <w:r>
        <w:rPr>
          <w:noProof/>
        </w:rPr>
        <w:t>Článok 4</w:t>
      </w:r>
    </w:p>
    <w:p>
      <w:pPr>
        <w:pStyle w:val="Titrearticle"/>
        <w:spacing w:before="120"/>
        <w:rPr>
          <w:noProof/>
        </w:rPr>
      </w:pPr>
      <w:r>
        <w:rPr>
          <w:noProof/>
        </w:rPr>
        <w:t>Akcie Európskeho zboru solidarity</w:t>
      </w:r>
    </w:p>
    <w:p>
      <w:pPr>
        <w:pStyle w:val="ManualNumPar1"/>
        <w:rPr>
          <w:noProof/>
        </w:rPr>
      </w:pPr>
      <w:r>
        <w:t>1.</w:t>
      </w:r>
      <w:r>
        <w:tab/>
      </w:r>
      <w:r>
        <w:rPr>
          <w:noProof/>
        </w:rPr>
        <w:t>Ciele programu stanovené v článku 3 sa presadzujú prostredníctvom týchto druhov akcií:</w:t>
      </w:r>
    </w:p>
    <w:p>
      <w:pPr>
        <w:pStyle w:val="Point1"/>
        <w:rPr>
          <w:noProof/>
        </w:rPr>
      </w:pPr>
      <w:r>
        <w:rPr>
          <w:noProof/>
        </w:rPr>
        <w:t>a)</w:t>
      </w:r>
      <w:r>
        <w:rPr>
          <w:noProof/>
        </w:rPr>
        <w:tab/>
        <w:t>dobrovoľnícka činnosť podľa článkov 7 a 11;</w:t>
      </w:r>
    </w:p>
    <w:p>
      <w:pPr>
        <w:pStyle w:val="Point1"/>
        <w:rPr>
          <w:noProof/>
        </w:rPr>
      </w:pPr>
      <w:r>
        <w:rPr>
          <w:noProof/>
        </w:rPr>
        <w:t>b)</w:t>
      </w:r>
      <w:r>
        <w:rPr>
          <w:noProof/>
        </w:rPr>
        <w:tab/>
        <w:t>stáže a pracovné miesta podľa článku 8;</w:t>
      </w:r>
    </w:p>
    <w:p>
      <w:pPr>
        <w:pStyle w:val="Point1"/>
        <w:rPr>
          <w:noProof/>
        </w:rPr>
      </w:pPr>
      <w:r>
        <w:rPr>
          <w:noProof/>
        </w:rPr>
        <w:t>c)</w:t>
      </w:r>
      <w:r>
        <w:rPr>
          <w:noProof/>
        </w:rPr>
        <w:tab/>
        <w:t>solidaritné projekty podľa článku 9;</w:t>
      </w:r>
    </w:p>
    <w:p>
      <w:pPr>
        <w:pStyle w:val="Point1"/>
        <w:rPr>
          <w:noProof/>
        </w:rPr>
      </w:pPr>
      <w:r>
        <w:rPr>
          <w:noProof/>
        </w:rPr>
        <w:t>d)</w:t>
      </w:r>
      <w:r>
        <w:rPr>
          <w:noProof/>
        </w:rPr>
        <w:tab/>
        <w:t>činnosti súvisiace s vytváraním sietí podľa článku 5;</w:t>
      </w:r>
    </w:p>
    <w:p>
      <w:pPr>
        <w:pStyle w:val="Point1"/>
        <w:rPr>
          <w:noProof/>
        </w:rPr>
      </w:pPr>
      <w:r>
        <w:rPr>
          <w:noProof/>
        </w:rPr>
        <w:t>e)</w:t>
      </w:r>
      <w:r>
        <w:rPr>
          <w:noProof/>
        </w:rPr>
        <w:tab/>
        <w:t>opatrenia v oblasti kvality a podporné opatrenia podľa článku 5.</w:t>
      </w:r>
    </w:p>
    <w:p>
      <w:pPr>
        <w:pStyle w:val="ManualNumPar1"/>
        <w:rPr>
          <w:noProof/>
        </w:rPr>
      </w:pPr>
      <w:r>
        <w:t>2.</w:t>
      </w:r>
      <w:r>
        <w:tab/>
      </w:r>
      <w:r>
        <w:rPr>
          <w:noProof/>
        </w:rPr>
        <w:t>Program podporuje solidárne činnosti, ktoré predstavujú jasnú európsku pridanú hodnotu, napríklad prostredníctvom:</w:t>
      </w:r>
    </w:p>
    <w:p>
      <w:pPr>
        <w:pStyle w:val="Point1"/>
        <w:rPr>
          <w:noProof/>
        </w:rPr>
      </w:pPr>
      <w:r>
        <w:rPr>
          <w:noProof/>
        </w:rPr>
        <w:t>a)</w:t>
      </w:r>
      <w:r>
        <w:rPr>
          <w:noProof/>
        </w:rPr>
        <w:tab/>
        <w:t>ich nadnárodného charakteru, najmä pokiaľ ide o vzdelávaciu mobilitu a spoluprácu;</w:t>
      </w:r>
    </w:p>
    <w:p>
      <w:pPr>
        <w:pStyle w:val="Point1"/>
        <w:rPr>
          <w:noProof/>
        </w:rPr>
      </w:pPr>
      <w:r>
        <w:rPr>
          <w:noProof/>
        </w:rPr>
        <w:t>b)</w:t>
      </w:r>
      <w:r>
        <w:rPr>
          <w:noProof/>
        </w:rPr>
        <w:tab/>
        <w:t>ich schopnosti dopĺňať ostatné programy a politiky na miestnej, regionálnej a vnútroštátnej úrovni, na úrovni Únie a na medzinárodnej úrovni;</w:t>
      </w:r>
    </w:p>
    <w:p>
      <w:pPr>
        <w:pStyle w:val="Point1"/>
        <w:rPr>
          <w:noProof/>
        </w:rPr>
      </w:pPr>
      <w:r>
        <w:rPr>
          <w:noProof/>
        </w:rPr>
        <w:t>c)</w:t>
      </w:r>
      <w:r>
        <w:rPr>
          <w:noProof/>
        </w:rPr>
        <w:tab/>
        <w:t>ich európskeho rozmeru, pokiaľ ide o témy, ciele, prístupy, očakávané výsledky a ďalšie aspekty týchto solidárnych činností;</w:t>
      </w:r>
    </w:p>
    <w:p>
      <w:pPr>
        <w:pStyle w:val="Point1"/>
        <w:rPr>
          <w:noProof/>
        </w:rPr>
      </w:pPr>
      <w:r>
        <w:rPr>
          <w:noProof/>
        </w:rPr>
        <w:t>d)</w:t>
      </w:r>
      <w:r>
        <w:rPr>
          <w:noProof/>
        </w:rPr>
        <w:tab/>
        <w:t>ich prístupu s cieľom zapojiť mladých ľudí z rôznych prostredí;</w:t>
      </w:r>
    </w:p>
    <w:p>
      <w:pPr>
        <w:pStyle w:val="Point1"/>
        <w:rPr>
          <w:noProof/>
        </w:rPr>
      </w:pPr>
      <w:r>
        <w:rPr>
          <w:noProof/>
        </w:rPr>
        <w:t>e)</w:t>
      </w:r>
      <w:r>
        <w:rPr>
          <w:noProof/>
        </w:rPr>
        <w:tab/>
        <w:t>ich prínosu k účinnému využívaniu nástrojov Únie na transparentnosť a uznávanie kvalifikácií.</w:t>
      </w:r>
    </w:p>
    <w:p>
      <w:pPr>
        <w:pStyle w:val="ManualNumPar1"/>
        <w:rPr>
          <w:noProof/>
        </w:rPr>
      </w:pPr>
      <w:r>
        <w:t>3.</w:t>
      </w:r>
      <w:r>
        <w:tab/>
      </w:r>
      <w:r>
        <w:rPr>
          <w:noProof/>
        </w:rPr>
        <w:t>Solidárne činnosti sa vykonávajú v súlade s osobitnými požiadavkami stanovenými pre každý typ činnosti realizovanej v rámci Európskeho zboru solidarity podľa článkov 5, 7, 8, 9 a 11 a v súlade s platnými regulačnými rámcami v účastníckych krajinách.</w:t>
      </w:r>
    </w:p>
    <w:p>
      <w:pPr>
        <w:pStyle w:val="ManualNumPar1"/>
        <w:rPr>
          <w:noProof/>
        </w:rPr>
      </w:pPr>
      <w:r>
        <w:t>4.</w:t>
      </w:r>
      <w:r>
        <w:tab/>
      </w:r>
      <w:r>
        <w:rPr>
          <w:noProof/>
        </w:rPr>
        <w:t>Odkazy na Európsku dobrovoľnícku službu v právnych predpisoch Únie sa vykladajú tak, že zahŕňajú dobrovoľnícke činnosti vykonávané podľa nariadenia (EÚ) č. 1288/2013 aj podľa tohto nariadenia.</w:t>
      </w:r>
    </w:p>
    <w:p>
      <w:pPr>
        <w:pStyle w:val="Titrearticle"/>
        <w:spacing w:before="120"/>
        <w:rPr>
          <w:noProof/>
        </w:rPr>
      </w:pPr>
      <w:r>
        <w:rPr>
          <w:noProof/>
        </w:rPr>
        <w:t>Článok 5</w:t>
      </w:r>
    </w:p>
    <w:p>
      <w:pPr>
        <w:pStyle w:val="Titrearticle"/>
        <w:spacing w:before="120"/>
        <w:rPr>
          <w:noProof/>
        </w:rPr>
      </w:pPr>
      <w:r>
        <w:rPr>
          <w:noProof/>
        </w:rPr>
        <w:t>Akcie spoločné pre obe zložky</w:t>
      </w:r>
    </w:p>
    <w:p>
      <w:pPr>
        <w:pStyle w:val="ManualNumPar1"/>
        <w:rPr>
          <w:noProof/>
        </w:rPr>
      </w:pPr>
      <w:r>
        <w:t>1.</w:t>
      </w:r>
      <w:r>
        <w:tab/>
      </w:r>
      <w:r>
        <w:rPr>
          <w:noProof/>
        </w:rPr>
        <w:t>Cieľom činností súvisiacich s vytváraním sietí podľa článku 4 ods. 1 písm. d) je:</w:t>
      </w:r>
    </w:p>
    <w:p>
      <w:pPr>
        <w:pStyle w:val="Point1"/>
        <w:rPr>
          <w:noProof/>
        </w:rPr>
      </w:pPr>
      <w:r>
        <w:rPr>
          <w:noProof/>
        </w:rPr>
        <w:t>a)</w:t>
      </w:r>
      <w:r>
        <w:rPr>
          <w:noProof/>
        </w:rPr>
        <w:tab/>
        <w:t>posilniť kapacity účastníckych organizácií s cieľom ponúkať kvalitné projekty čoraz väčšiemu počtu účastníkov Európskeho zboru solidarity;</w:t>
      </w:r>
    </w:p>
    <w:p>
      <w:pPr>
        <w:pStyle w:val="Point1"/>
        <w:rPr>
          <w:noProof/>
        </w:rPr>
      </w:pPr>
      <w:r>
        <w:rPr>
          <w:noProof/>
        </w:rPr>
        <w:t>b)</w:t>
      </w:r>
      <w:r>
        <w:rPr>
          <w:noProof/>
        </w:rPr>
        <w:tab/>
        <w:t>prilákať nováčikov, mladých ľudí aj účastnícke organizácie;</w:t>
      </w:r>
    </w:p>
    <w:p>
      <w:pPr>
        <w:pStyle w:val="Point1"/>
        <w:rPr>
          <w:noProof/>
        </w:rPr>
      </w:pPr>
      <w:r>
        <w:rPr>
          <w:noProof/>
        </w:rPr>
        <w:t>c)</w:t>
      </w:r>
      <w:r>
        <w:rPr>
          <w:noProof/>
        </w:rPr>
        <w:tab/>
        <w:t>poskytovať príležitosti na podanie spätnej väzby o solidárnych činnostiach a</w:t>
      </w:r>
    </w:p>
    <w:p>
      <w:pPr>
        <w:pStyle w:val="Point1"/>
        <w:rPr>
          <w:noProof/>
        </w:rPr>
      </w:pPr>
      <w:r>
        <w:rPr>
          <w:noProof/>
        </w:rPr>
        <w:t>d)</w:t>
      </w:r>
      <w:r>
        <w:rPr>
          <w:noProof/>
        </w:rPr>
        <w:tab/>
        <w:t>prispievať k výmene skúseností a posilňovať zmysel spolupatričnosti medzi jednotlivcami a subjektmi zúčastňujúcimi sa na Európskom zbore solidarity, a tak podporovať jeho širší pozitívny účinok.</w:t>
      </w:r>
    </w:p>
    <w:p>
      <w:pPr>
        <w:pStyle w:val="ManualNumPar1"/>
        <w:rPr>
          <w:noProof/>
        </w:rPr>
      </w:pPr>
      <w:r>
        <w:t>2.</w:t>
      </w:r>
      <w:r>
        <w:tab/>
      </w:r>
      <w:r>
        <w:rPr>
          <w:noProof/>
        </w:rPr>
        <w:t>Opatrenia v oblasti kvality a podporné opatrenia podľa článku 4 ods. 1 písm. e) zahŕňajú:</w:t>
      </w:r>
    </w:p>
    <w:p>
      <w:pPr>
        <w:pStyle w:val="Point1"/>
        <w:rPr>
          <w:noProof/>
        </w:rPr>
      </w:pPr>
      <w:r>
        <w:rPr>
          <w:noProof/>
        </w:rPr>
        <w:t>a)</w:t>
      </w:r>
      <w:r>
        <w:rPr>
          <w:noProof/>
        </w:rPr>
        <w:tab/>
        <w:t>opatrenia zamerané na zabezpečenie kvality dobrovoľníckych činností, stáží alebo pracovných miest vrátane odbornej prípravy, jazykovej podpory, doplnkového poistenia, podpory pred solidárnou činnosťou alebo po nej, ako aj na vypracovanie osvedčenia, v ktorom sa uvádzajú a potvrdzujú schopnosti, ktoré účastníci nadobudli počas solidárnych činností, a budovanie kapacít a administratívnej podpory pre účastnícke organizácie;</w:t>
      </w:r>
    </w:p>
    <w:p>
      <w:pPr>
        <w:pStyle w:val="Point1"/>
        <w:rPr>
          <w:noProof/>
        </w:rPr>
      </w:pPr>
      <w:r>
        <w:rPr>
          <w:noProof/>
        </w:rPr>
        <w:t>b)</w:t>
      </w:r>
      <w:r>
        <w:rPr>
          <w:noProof/>
        </w:rPr>
        <w:tab/>
        <w:t>rozvoj a udržiavanie značky kvality pre subjekty, ktoré chcú poskytovať solidárne činnosti pre Európsky zbor solidarity;</w:t>
      </w:r>
    </w:p>
    <w:p>
      <w:pPr>
        <w:pStyle w:val="Point1"/>
        <w:rPr>
          <w:noProof/>
        </w:rPr>
      </w:pPr>
      <w:r>
        <w:rPr>
          <w:noProof/>
        </w:rPr>
        <w:t>c)</w:t>
      </w:r>
      <w:r>
        <w:rPr>
          <w:noProof/>
        </w:rPr>
        <w:tab/>
        <w:t>činnosti asistenčných centier Európskeho zboru solidarity v záujme podpory a zvyšovania kvality implementácie akcií Európskeho zboru solidarity a zlepšenia potvrdenia ich výsledkov;</w:t>
      </w:r>
    </w:p>
    <w:p>
      <w:pPr>
        <w:pStyle w:val="Point1"/>
        <w:rPr>
          <w:noProof/>
        </w:rPr>
      </w:pPr>
      <w:r>
        <w:rPr>
          <w:noProof/>
        </w:rPr>
        <w:t>d)</w:t>
      </w:r>
      <w:r>
        <w:rPr>
          <w:noProof/>
        </w:rPr>
        <w:tab/>
        <w:t>vytvorenie, udržiavanie a aktualizácia portálu Európskeho zboru solidarity a ďalších príslušných online služieb, ako aj nevyhnutných podporných systémov IT a webových nástrojov.</w:t>
      </w:r>
    </w:p>
    <w:p>
      <w:pPr>
        <w:pStyle w:val="Titrearticle"/>
        <w:spacing w:before="120"/>
        <w:rPr>
          <w:noProof/>
        </w:rPr>
      </w:pPr>
      <w:r>
        <w:rPr>
          <w:noProof/>
        </w:rPr>
        <w:t>KAPITOLA III</w:t>
      </w:r>
    </w:p>
    <w:p>
      <w:pPr>
        <w:pStyle w:val="Titrearticle"/>
        <w:spacing w:before="120"/>
        <w:rPr>
          <w:noProof/>
        </w:rPr>
      </w:pPr>
      <w:r>
        <w:rPr>
          <w:noProof/>
        </w:rPr>
        <w:t>ÚČASŤ MLADÝCH ĽUDÍ NA SOLIDÁRNYCH ČINNOSTIACH ZAMERANÝCH NA RIEŠENIE SPOLOČENSKÝCH VÝZIEV</w:t>
      </w:r>
    </w:p>
    <w:p>
      <w:pPr>
        <w:pStyle w:val="Titrearticle"/>
        <w:spacing w:before="120"/>
        <w:rPr>
          <w:noProof/>
        </w:rPr>
      </w:pPr>
      <w:r>
        <w:rPr>
          <w:noProof/>
        </w:rPr>
        <w:t>Článok 6</w:t>
      </w:r>
    </w:p>
    <w:p>
      <w:pPr>
        <w:pStyle w:val="Titrearticle"/>
        <w:spacing w:before="120"/>
        <w:rPr>
          <w:noProof/>
        </w:rPr>
      </w:pPr>
      <w:r>
        <w:rPr>
          <w:noProof/>
        </w:rPr>
        <w:t>Účel a typy akcií</w:t>
      </w:r>
    </w:p>
    <w:p>
      <w:pPr>
        <w:pStyle w:val="ManualNumPar1"/>
        <w:rPr>
          <w:noProof/>
        </w:rPr>
      </w:pPr>
      <w:r>
        <w:t>1.</w:t>
      </w:r>
      <w:r>
        <w:tab/>
      </w:r>
      <w:r>
        <w:rPr>
          <w:noProof/>
        </w:rPr>
        <w:t>Akcie implementované v rámci zložky „účasť mladých ľudí na solidárnych činnostiach zameraných na riešenie spoločenských výziev“ prispievajú najmä k posilňovaniu súdržnosti, solidarity a demokracie v Únii a mimo nej a zároveň reagujú na spoločenské výzvy, predovšetkým v snahe podporiť sociálne začlenenie.</w:t>
      </w:r>
    </w:p>
    <w:p>
      <w:pPr>
        <w:pStyle w:val="ManualNumPar1"/>
        <w:rPr>
          <w:noProof/>
        </w:rPr>
      </w:pPr>
      <w:r>
        <w:t>2.</w:t>
      </w:r>
      <w:r>
        <w:tab/>
      </w:r>
      <w:r>
        <w:rPr>
          <w:noProof/>
        </w:rPr>
        <w:t>V rámci tejto zložky sa podporujú činnosti podľa článku 4 ods. 1 písm. a), b), c), d) a e), a to týmito spôsobmi:</w:t>
      </w:r>
    </w:p>
    <w:p>
      <w:pPr>
        <w:pStyle w:val="Point1"/>
        <w:rPr>
          <w:noProof/>
        </w:rPr>
      </w:pPr>
      <w:bookmarkStart w:id="1" w:name="_Ref513121280"/>
      <w:r>
        <w:rPr>
          <w:noProof/>
        </w:rPr>
        <w:t>a)</w:t>
      </w:r>
      <w:r>
        <w:rPr>
          <w:noProof/>
        </w:rPr>
        <w:tab/>
        <w:t>dobrovoľnícka činnosť podľa článku 7;</w:t>
      </w:r>
      <w:bookmarkEnd w:id="1"/>
    </w:p>
    <w:p>
      <w:pPr>
        <w:pStyle w:val="Point1"/>
        <w:rPr>
          <w:noProof/>
        </w:rPr>
      </w:pPr>
      <w:r>
        <w:rPr>
          <w:noProof/>
        </w:rPr>
        <w:t>b)</w:t>
      </w:r>
      <w:r>
        <w:rPr>
          <w:noProof/>
        </w:rPr>
        <w:tab/>
        <w:t>stáže a pracovné miesta podľa článku 8;</w:t>
      </w:r>
    </w:p>
    <w:p>
      <w:pPr>
        <w:pStyle w:val="Point1"/>
        <w:rPr>
          <w:noProof/>
        </w:rPr>
      </w:pPr>
      <w:r>
        <w:rPr>
          <w:noProof/>
        </w:rPr>
        <w:t>c)</w:t>
      </w:r>
      <w:r>
        <w:rPr>
          <w:noProof/>
        </w:rPr>
        <w:tab/>
        <w:t>solidaritné projekty podľa článku 9;</w:t>
      </w:r>
    </w:p>
    <w:p>
      <w:pPr>
        <w:pStyle w:val="Point1"/>
        <w:rPr>
          <w:noProof/>
        </w:rPr>
      </w:pPr>
      <w:r>
        <w:rPr>
          <w:noProof/>
        </w:rPr>
        <w:t>d)</w:t>
      </w:r>
      <w:r>
        <w:rPr>
          <w:noProof/>
        </w:rPr>
        <w:tab/>
        <w:t>činnosti súvisiace s vytváraním sietí v prípade jednotlivcov a organizácií zúčastňujúcich sa na tejto zložke v súlade s článkom 5;</w:t>
      </w:r>
    </w:p>
    <w:p>
      <w:pPr>
        <w:pStyle w:val="Point1"/>
        <w:rPr>
          <w:noProof/>
        </w:rPr>
      </w:pPr>
      <w:r>
        <w:rPr>
          <w:noProof/>
        </w:rPr>
        <w:t>e)</w:t>
      </w:r>
      <w:r>
        <w:rPr>
          <w:noProof/>
        </w:rPr>
        <w:tab/>
        <w:t>opatrenia v oblasti kvality a podporné opatrenia v súlade s článkom 5.</w:t>
      </w:r>
    </w:p>
    <w:p>
      <w:pPr>
        <w:pStyle w:val="Titrearticle"/>
        <w:spacing w:before="120"/>
        <w:rPr>
          <w:noProof/>
        </w:rPr>
      </w:pPr>
      <w:r>
        <w:rPr>
          <w:noProof/>
        </w:rPr>
        <w:t>Článok 7</w:t>
      </w:r>
    </w:p>
    <w:p>
      <w:pPr>
        <w:pStyle w:val="Titrearticle"/>
        <w:spacing w:before="120"/>
        <w:rPr>
          <w:noProof/>
        </w:rPr>
      </w:pPr>
      <w:r>
        <w:rPr>
          <w:noProof/>
        </w:rPr>
        <w:t>Dobrovoľníctvo v rámci solidárnych činností</w:t>
      </w:r>
    </w:p>
    <w:p>
      <w:pPr>
        <w:pStyle w:val="ManualNumPar1"/>
        <w:rPr>
          <w:noProof/>
        </w:rPr>
      </w:pPr>
      <w:r>
        <w:t>1.</w:t>
      </w:r>
      <w:r>
        <w:tab/>
      </w:r>
      <w:r>
        <w:rPr>
          <w:noProof/>
        </w:rPr>
        <w:t>Dobrovoľnícka činnosť podľa článku 4 ods. 1 písm. a) obsahuje prvok vzdelávania a odbornej prípravy, nenahrádza stáže ani pracovné miesta, nepovažuje sa za zamestnanie a prebieha na základe písomnej dohody o dobrovoľníckej činnosti.</w:t>
      </w:r>
    </w:p>
    <w:p>
      <w:pPr>
        <w:pStyle w:val="ManualNumPar1"/>
        <w:rPr>
          <w:noProof/>
        </w:rPr>
      </w:pPr>
      <w:r>
        <w:t>2.</w:t>
      </w:r>
      <w:r>
        <w:tab/>
      </w:r>
      <w:r>
        <w:rPr>
          <w:noProof/>
        </w:rPr>
        <w:t>Dobrovoľnícka činnosť sa môže uskutočniť v krajine, ktorá nie je krajinou trvalého pobytu účastníka (v zahraničí), alebo v krajine jeho trvalého pobytu (v rámci krajiny).</w:t>
      </w:r>
    </w:p>
    <w:p>
      <w:pPr>
        <w:pStyle w:val="Titrearticle"/>
        <w:spacing w:before="120"/>
        <w:rPr>
          <w:noProof/>
        </w:rPr>
      </w:pPr>
      <w:r>
        <w:rPr>
          <w:noProof/>
        </w:rPr>
        <w:t>Článok 8</w:t>
      </w:r>
    </w:p>
    <w:p>
      <w:pPr>
        <w:pStyle w:val="Titrearticle"/>
        <w:spacing w:before="120"/>
        <w:rPr>
          <w:noProof/>
        </w:rPr>
      </w:pPr>
      <w:r>
        <w:rPr>
          <w:noProof/>
        </w:rPr>
        <w:t>Stáže a pracovné miesta</w:t>
      </w:r>
    </w:p>
    <w:p>
      <w:pPr>
        <w:pStyle w:val="ManualNumPar1"/>
        <w:rPr>
          <w:noProof/>
        </w:rPr>
      </w:pPr>
      <w:r>
        <w:t>1.</w:t>
      </w:r>
      <w:r>
        <w:tab/>
      </w:r>
      <w:r>
        <w:rPr>
          <w:noProof/>
        </w:rPr>
        <w:t>Stáže podľa článku 4 ods. 1 písm. b) prebiehajú na základe písomnej dohody o stáži v súlade s prípadným platným regulačným rámcom krajiny, v ktorej sa stáž koná, a pri zohľadnení zásad rámca kvality pre stáže (2014/C 88/01). Stáže nenahrádzajú pracovné miesta.</w:t>
      </w:r>
    </w:p>
    <w:p>
      <w:pPr>
        <w:pStyle w:val="ManualNumPar1"/>
        <w:rPr>
          <w:noProof/>
        </w:rPr>
      </w:pPr>
      <w:r>
        <w:t>2.</w:t>
      </w:r>
      <w:r>
        <w:tab/>
      </w:r>
      <w:r>
        <w:rPr>
          <w:noProof/>
        </w:rPr>
        <w:t>Pracovné miesto podľa článku 4 ods. 1 písm. b) vychádza z pracovnej zmluvy uzatvorenej v súlade s vnútroštátnym regulačným rámcom účastníckej krajiny, v ktorej sa práca vykonáva. Finančná podpora pre účastnícke organizácie, ktoré ponúkajú pracovné miesta, nesmie prekročiť 12 mesiacov v prípadoch, keď dĺžka platnosti pracovnej zmluvy presahuje 12 mesiacov.</w:t>
      </w:r>
    </w:p>
    <w:p>
      <w:pPr>
        <w:pStyle w:val="ManualNumPar1"/>
        <w:rPr>
          <w:noProof/>
        </w:rPr>
      </w:pPr>
      <w:r>
        <w:t>3.</w:t>
      </w:r>
      <w:r>
        <w:tab/>
      </w:r>
      <w:r>
        <w:rPr>
          <w:noProof/>
        </w:rPr>
        <w:t>Stáže a pracovné miesta obsahujú prvok vzdelávania a odbornej prípravy.</w:t>
      </w:r>
    </w:p>
    <w:p>
      <w:pPr>
        <w:pStyle w:val="ManualNumPar1"/>
        <w:rPr>
          <w:noProof/>
        </w:rPr>
      </w:pPr>
      <w:r>
        <w:t>4.</w:t>
      </w:r>
      <w:r>
        <w:tab/>
      </w:r>
      <w:r>
        <w:rPr>
          <w:noProof/>
        </w:rPr>
        <w:t>Stáže a pracovné miesta sa môžu realizovať v krajine, ktorá nie je krajinou trvalého pobytu účastníka (v zahraničí), alebo v krajine jeho trvalého pobytu (v rámci krajiny).</w:t>
      </w:r>
    </w:p>
    <w:p>
      <w:pPr>
        <w:pStyle w:val="Titrearticle"/>
        <w:spacing w:before="120"/>
        <w:rPr>
          <w:noProof/>
        </w:rPr>
      </w:pPr>
      <w:r>
        <w:rPr>
          <w:noProof/>
        </w:rPr>
        <w:t>Článok 9</w:t>
      </w:r>
    </w:p>
    <w:p>
      <w:pPr>
        <w:pStyle w:val="Titrearticle"/>
        <w:spacing w:before="120"/>
        <w:rPr>
          <w:noProof/>
        </w:rPr>
      </w:pPr>
      <w:r>
        <w:rPr>
          <w:noProof/>
        </w:rPr>
        <w:t>Solidárne projekty</w:t>
      </w:r>
    </w:p>
    <w:p>
      <w:pPr>
        <w:rPr>
          <w:noProof/>
        </w:rPr>
      </w:pPr>
      <w:r>
        <w:rPr>
          <w:noProof/>
        </w:rPr>
        <w:t>Solidárny projekt podľa článku 4 ods. 1 písm. c) nenahrádza stáže ani pracovné miesta.</w:t>
      </w:r>
    </w:p>
    <w:p>
      <w:pPr>
        <w:pStyle w:val="Titrearticle"/>
        <w:spacing w:before="120"/>
        <w:rPr>
          <w:noProof/>
        </w:rPr>
      </w:pPr>
      <w:r>
        <w:rPr>
          <w:noProof/>
        </w:rPr>
        <w:t>KAPITOLA IV</w:t>
      </w:r>
    </w:p>
    <w:p>
      <w:pPr>
        <w:pStyle w:val="Titrearticle"/>
        <w:spacing w:before="120"/>
        <w:rPr>
          <w:noProof/>
        </w:rPr>
      </w:pPr>
      <w:r>
        <w:rPr>
          <w:noProof/>
        </w:rPr>
        <w:t>EURÓPSKY DOBROVOĽNÍCKY ZBOR PRE HUMANITÁRNU POMOC</w:t>
      </w:r>
    </w:p>
    <w:p>
      <w:pPr>
        <w:pStyle w:val="Titrearticle"/>
        <w:spacing w:before="120"/>
        <w:rPr>
          <w:noProof/>
        </w:rPr>
      </w:pPr>
      <w:r>
        <w:rPr>
          <w:noProof/>
        </w:rPr>
        <w:t>Článok 10</w:t>
      </w:r>
    </w:p>
    <w:p>
      <w:pPr>
        <w:pStyle w:val="Titrearticle"/>
        <w:spacing w:before="120"/>
        <w:rPr>
          <w:noProof/>
        </w:rPr>
      </w:pPr>
      <w:r>
        <w:rPr>
          <w:noProof/>
        </w:rPr>
        <w:t>Účel a typy akcií</w:t>
      </w:r>
    </w:p>
    <w:p>
      <w:pPr>
        <w:pStyle w:val="ManualNumPar1"/>
        <w:rPr>
          <w:noProof/>
        </w:rPr>
      </w:pPr>
      <w:r>
        <w:t>1.</w:t>
      </w:r>
      <w:r>
        <w:tab/>
      </w:r>
      <w:r>
        <w:rPr>
          <w:noProof/>
        </w:rPr>
        <w:t>Akcie implementované v rámci zložky „Európsky dobrovoľnícky zbor pre humanitárnu pomoc“ prispievajú najmä k poskytovaniu humanitárnej pomoci vychádzajúcej z potrieb, ktorá je zameraná na ochranu života, predchádzanie ľudskému utrpeniu a jeho zmierňovanie a zachovanie ľudskej dôstojnosti a k posilňovaniu kapacity a odolnosti zraniteľných komunít alebo komunít zasiahnutých katastrofou.</w:t>
      </w:r>
    </w:p>
    <w:p>
      <w:pPr>
        <w:pStyle w:val="ManualNumPar1"/>
        <w:rPr>
          <w:noProof/>
        </w:rPr>
      </w:pPr>
      <w:r>
        <w:t>2.</w:t>
      </w:r>
      <w:r>
        <w:tab/>
      </w:r>
      <w:r>
        <w:rPr>
          <w:noProof/>
        </w:rPr>
        <w:t>Akcie v rámci tejto kapitoly sa uskutočňujú v súlade so zásadami humanitárnej pomoci, ktorými sú ľudskosť, neutralita, nestrannosť a nezávislosť.</w:t>
      </w:r>
    </w:p>
    <w:p>
      <w:pPr>
        <w:pStyle w:val="ManualNumPar1"/>
        <w:rPr>
          <w:noProof/>
        </w:rPr>
      </w:pPr>
      <w:r>
        <w:t>3.</w:t>
      </w:r>
      <w:r>
        <w:tab/>
      </w:r>
      <w:r>
        <w:rPr>
          <w:noProof/>
        </w:rPr>
        <w:t>V rámci tejto zložky sa podporujú činnosti podľa článku 4 ods. 1 písm. a), d) a e), a to týmito spôsobmi:</w:t>
      </w:r>
    </w:p>
    <w:p>
      <w:pPr>
        <w:pStyle w:val="Point1"/>
        <w:rPr>
          <w:noProof/>
        </w:rPr>
      </w:pPr>
      <w:r>
        <w:rPr>
          <w:noProof/>
        </w:rPr>
        <w:t>a)</w:t>
      </w:r>
      <w:r>
        <w:rPr>
          <w:noProof/>
        </w:rPr>
        <w:tab/>
        <w:t>dobrovoľnícka činnosť podľa článku 11;</w:t>
      </w:r>
    </w:p>
    <w:p>
      <w:pPr>
        <w:pStyle w:val="Point1"/>
        <w:rPr>
          <w:noProof/>
        </w:rPr>
      </w:pPr>
      <w:r>
        <w:rPr>
          <w:noProof/>
        </w:rPr>
        <w:t>b)</w:t>
      </w:r>
      <w:r>
        <w:rPr>
          <w:noProof/>
        </w:rPr>
        <w:tab/>
        <w:t>činnosti súvisiace s vytváraním sietí v prípade jednotlivcov a organizácií zúčastňujúcich sa na tejto zložke podľa článku 5;</w:t>
      </w:r>
    </w:p>
    <w:p>
      <w:pPr>
        <w:pStyle w:val="Point1"/>
        <w:rPr>
          <w:noProof/>
        </w:rPr>
      </w:pPr>
      <w:r>
        <w:rPr>
          <w:noProof/>
        </w:rPr>
        <w:t>c)</w:t>
      </w:r>
      <w:r>
        <w:rPr>
          <w:noProof/>
        </w:rPr>
        <w:tab/>
        <w:t>opatrenia v oblasti kvality a podporné opatrenia podľa článku 5 s osobitným zameraním na opatrenia na zaručenie bezpečnosti a ochrany účastníkov.</w:t>
      </w:r>
    </w:p>
    <w:p>
      <w:pPr>
        <w:pStyle w:val="Titrearticle"/>
        <w:spacing w:before="120"/>
        <w:rPr>
          <w:i w:val="0"/>
          <w:iCs/>
          <w:noProof/>
          <w:u w:color="0000FF"/>
        </w:rPr>
      </w:pPr>
      <w:r>
        <w:rPr>
          <w:noProof/>
        </w:rPr>
        <w:t>Článok 11</w:t>
      </w:r>
    </w:p>
    <w:p>
      <w:pPr>
        <w:pStyle w:val="Titrearticle"/>
        <w:spacing w:before="120"/>
        <w:rPr>
          <w:i w:val="0"/>
          <w:iCs/>
          <w:noProof/>
        </w:rPr>
      </w:pPr>
      <w:r>
        <w:rPr>
          <w:noProof/>
        </w:rPr>
        <w:t>Dobrovoľnícka činnosť na podporu operácií humanitárnej pomoci</w:t>
      </w:r>
    </w:p>
    <w:p>
      <w:pPr>
        <w:pStyle w:val="ManualNumPar1"/>
        <w:rPr>
          <w:noProof/>
        </w:rPr>
      </w:pPr>
      <w:r>
        <w:t>1.</w:t>
      </w:r>
      <w:r>
        <w:tab/>
      </w:r>
      <w:r>
        <w:rPr>
          <w:noProof/>
        </w:rPr>
        <w:t>Dobrovoľnícka činnosť na podporu operácií humanitárnej pomoci podľa článku 4 ods. 1 písm. a) obsahuje prvok vzdelávania a odbornej prípravy, nenahrádza stáže ani pracovné miesta a prebieha na základe písomnej dohody o dobrovoľníckej činnosti.</w:t>
      </w:r>
    </w:p>
    <w:p>
      <w:pPr>
        <w:pStyle w:val="ManualNumPar1"/>
        <w:rPr>
          <w:noProof/>
        </w:rPr>
      </w:pPr>
      <w:r>
        <w:t>2.</w:t>
      </w:r>
      <w:r>
        <w:tab/>
      </w:r>
      <w:r>
        <w:rPr>
          <w:noProof/>
        </w:rPr>
        <w:t>Dobrovoľnícka činnosť v rámci tejto zložky môže prebiehať iba v tretích krajinách:</w:t>
      </w:r>
    </w:p>
    <w:p>
      <w:pPr>
        <w:pStyle w:val="Point1"/>
        <w:rPr>
          <w:noProof/>
        </w:rPr>
      </w:pPr>
      <w:r>
        <w:rPr>
          <w:noProof/>
        </w:rPr>
        <w:t>a)</w:t>
      </w:r>
      <w:r>
        <w:rPr>
          <w:noProof/>
        </w:rPr>
        <w:tab/>
        <w:t>v ktorých sa uskutočňujú činnosti a operácie humanitárnej pomoci a</w:t>
      </w:r>
    </w:p>
    <w:p>
      <w:pPr>
        <w:pStyle w:val="Point1"/>
        <w:rPr>
          <w:noProof/>
        </w:rPr>
      </w:pPr>
      <w:r>
        <w:rPr>
          <w:noProof/>
        </w:rPr>
        <w:t>b)</w:t>
      </w:r>
      <w:r>
        <w:rPr>
          <w:noProof/>
        </w:rPr>
        <w:tab/>
        <w:t>v ktorých neprebiehajú žiadne medzinárodné ani vnútroštátne ozbrojené konflikty.</w:t>
      </w:r>
    </w:p>
    <w:p>
      <w:pPr>
        <w:pStyle w:val="TitrearticleA"/>
        <w:spacing w:before="120"/>
        <w:rPr>
          <w:rFonts w:cs="Times New Roman"/>
          <w:noProof/>
          <w:color w:val="auto"/>
          <w:u w:color="0000FF"/>
        </w:rPr>
      </w:pPr>
      <w:r>
        <w:rPr>
          <w:noProof/>
          <w:color w:val="auto"/>
        </w:rPr>
        <w:t>KAPITOLA V</w:t>
      </w:r>
    </w:p>
    <w:p>
      <w:pPr>
        <w:pStyle w:val="TitrearticleA"/>
        <w:spacing w:before="120"/>
        <w:rPr>
          <w:rFonts w:cs="Times New Roman"/>
          <w:noProof/>
          <w:color w:val="auto"/>
        </w:rPr>
      </w:pPr>
      <w:r>
        <w:rPr>
          <w:noProof/>
          <w:color w:val="auto"/>
        </w:rPr>
        <w:t>FINANČNÉ USTANOVENIA</w:t>
      </w:r>
    </w:p>
    <w:p>
      <w:pPr>
        <w:pStyle w:val="Titrearticle"/>
        <w:spacing w:before="120"/>
        <w:rPr>
          <w:noProof/>
        </w:rPr>
      </w:pPr>
      <w:r>
        <w:rPr>
          <w:noProof/>
        </w:rPr>
        <w:t>Článok 12</w:t>
      </w:r>
    </w:p>
    <w:p>
      <w:pPr>
        <w:pStyle w:val="TitrearticleA"/>
        <w:spacing w:before="120"/>
        <w:rPr>
          <w:rFonts w:cs="Times New Roman"/>
          <w:noProof/>
          <w:color w:val="auto"/>
        </w:rPr>
      </w:pPr>
      <w:r>
        <w:rPr>
          <w:noProof/>
          <w:color w:val="auto"/>
        </w:rPr>
        <w:t>Rozpočet</w:t>
      </w:r>
    </w:p>
    <w:p>
      <w:pPr>
        <w:pStyle w:val="ManualNumPar1"/>
        <w:rPr>
          <w:noProof/>
        </w:rPr>
      </w:pPr>
      <w:r>
        <w:t>1.</w:t>
      </w:r>
      <w:r>
        <w:tab/>
      </w:r>
      <w:r>
        <w:rPr>
          <w:noProof/>
        </w:rPr>
        <w:t>Finančné krytie na implementáciu programu na obdobie 2021 až 2027 je 1 260 000 000 EUR v bežných cenách.</w:t>
      </w:r>
    </w:p>
    <w:p>
      <w:pPr>
        <w:pStyle w:val="ManualNumPar1"/>
        <w:rPr>
          <w:noProof/>
        </w:rPr>
      </w:pPr>
      <w:r>
        <w:t>2.</w:t>
      </w:r>
      <w:r>
        <w:tab/>
      </w:r>
      <w:r>
        <w:rPr>
          <w:noProof/>
        </w:rPr>
        <w:t>Suma uvedená v odseku 1 sa môže použiť na technickú a administratívnu pomoc určenú na implementáciu programu, ako sú prípravné, monitorovacie, kontrolné, audítorské a hodnotiace činnosti vrátane systémov informačných technológií na úrovni inštitúcií.</w:t>
      </w:r>
    </w:p>
    <w:p>
      <w:pPr>
        <w:pStyle w:val="ManualNumPar1"/>
        <w:rPr>
          <w:noProof/>
        </w:rPr>
      </w:pPr>
      <w:r>
        <w:t>3.</w:t>
      </w:r>
      <w:r>
        <w:tab/>
      </w:r>
      <w:r>
        <w:rPr>
          <w:noProof/>
        </w:rPr>
        <w:t>Bez toho, aby bolo dotknuté nariadenie o rozpočtových pravidlách, výdavky na akcie vyplývajúce z projektov zahrnutých do prvého pracovného programu môžu byť oprávnené od 1. januára 2021.</w:t>
      </w:r>
    </w:p>
    <w:p>
      <w:pPr>
        <w:pStyle w:val="ManualNumPar1"/>
        <w:rPr>
          <w:noProof/>
        </w:rPr>
      </w:pPr>
      <w:r>
        <w:t>4.</w:t>
      </w:r>
      <w:r>
        <w:tab/>
      </w:r>
      <w:r>
        <w:rPr>
          <w:noProof/>
        </w:rPr>
        <w:t>Zdroje pridelené členským štátom v rámci zdieľaného riadenia môžu byť na základe ich žiadosti presunuté na program. Komisia používa tieto zdroje priamo v súlade s článkom [62 ods. 1 písm. a)] nariadenia o rozpočtových pravidlách alebo nepriamo v súlade s [písmenom c) uvedeného článku]. Tieto zdroje sa podľa možnosti použijú v prospech dotknutého členského štátu.</w:t>
      </w:r>
    </w:p>
    <w:p>
      <w:pPr>
        <w:pStyle w:val="Titrearticle"/>
        <w:spacing w:before="120"/>
        <w:rPr>
          <w:noProof/>
        </w:rPr>
      </w:pPr>
      <w:r>
        <w:rPr>
          <w:noProof/>
        </w:rPr>
        <w:t>Článok 13</w:t>
      </w:r>
    </w:p>
    <w:p>
      <w:pPr>
        <w:pStyle w:val="Titrearticle"/>
        <w:spacing w:before="120"/>
        <w:rPr>
          <w:noProof/>
        </w:rPr>
      </w:pPr>
      <w:r>
        <w:rPr>
          <w:noProof/>
        </w:rPr>
        <w:t>Formy financovania z prostriedkov EÚ a metódy implementácie</w:t>
      </w:r>
    </w:p>
    <w:p>
      <w:pPr>
        <w:pStyle w:val="ManualNumPar1"/>
        <w:rPr>
          <w:noProof/>
        </w:rPr>
      </w:pPr>
      <w:r>
        <w:t>1.</w:t>
      </w:r>
      <w:r>
        <w:tab/>
      </w:r>
      <w:r>
        <w:rPr>
          <w:noProof/>
        </w:rPr>
        <w:t>Program sa implementuje v rámci priameho riadenia v súlade s nariadením o rozpočtových pravidlách alebo v rámci nepriameho riadenia so subjektmi uvedenými v článku [62 ods. 1 písm. c)] nariadenia o rozpočtových pravidlách.</w:t>
      </w:r>
    </w:p>
    <w:p>
      <w:pPr>
        <w:pStyle w:val="ManualNumPar1"/>
        <w:rPr>
          <w:noProof/>
        </w:rPr>
      </w:pPr>
      <w:r>
        <w:t>2.</w:t>
      </w:r>
      <w:r>
        <w:tab/>
      </w:r>
      <w:r>
        <w:rPr>
          <w:noProof/>
        </w:rPr>
        <w:t>Z programu sa môžu poskytovať finančné prostriedky v akejkoľvek forme stanovenej v nariadení o rozpočtových pravidlách, a to najmä vo forme grantov, cien a verejného obstarávania.</w:t>
      </w:r>
    </w:p>
    <w:p>
      <w:pPr>
        <w:pStyle w:val="ManualNumPar1"/>
        <w:rPr>
          <w:noProof/>
        </w:rPr>
      </w:pPr>
      <w:r>
        <w:t>3.</w:t>
      </w:r>
      <w:r>
        <w:tab/>
      </w:r>
      <w:r>
        <w:rPr>
          <w:noProof/>
        </w:rPr>
        <w:t>Príspevky do vzájomného poisťovacieho mechanizmu môžu pokrývať riziko spojené s vymáhaním finančných prostriedkov od príjemcov a podľa nariadenia o rozpočtových pravidlách sa považujú za dostatočnú záruku. Uplatňujú sa ustanovenia uvedené v [článku X] nariadenia XXX [</w:t>
      </w:r>
      <w:r>
        <w:rPr>
          <w:i/>
          <w:noProof/>
        </w:rPr>
        <w:t>nariadenie, ktoré nahradí nariadenie o záručnom fonde</w:t>
      </w:r>
      <w:r>
        <w:rPr>
          <w:noProof/>
        </w:rPr>
        <w:t>].</w:t>
      </w:r>
    </w:p>
    <w:p>
      <w:pPr>
        <w:pStyle w:val="ManualNumPar1"/>
        <w:rPr>
          <w:noProof/>
        </w:rPr>
      </w:pPr>
      <w:r>
        <w:t>4.</w:t>
      </w:r>
      <w:r>
        <w:tab/>
      </w:r>
      <w:r>
        <w:rPr>
          <w:noProof/>
        </w:rPr>
        <w:t>Komisia pre vyhodnotenie môže pri výberoch v rámci priameho a nepriameho riadenia pozostávať z externých odborníkov.</w:t>
      </w:r>
    </w:p>
    <w:p>
      <w:pPr>
        <w:pStyle w:val="Titrearticle"/>
        <w:spacing w:before="120"/>
        <w:rPr>
          <w:noProof/>
        </w:rPr>
      </w:pPr>
      <w:r>
        <w:rPr>
          <w:noProof/>
        </w:rPr>
        <w:t>KAPITOLA VI</w:t>
      </w:r>
    </w:p>
    <w:p>
      <w:pPr>
        <w:pStyle w:val="Titrearticle"/>
        <w:spacing w:before="120"/>
        <w:rPr>
          <w:noProof/>
        </w:rPr>
      </w:pPr>
      <w:r>
        <w:rPr>
          <w:noProof/>
        </w:rPr>
        <w:t>ÚČASŤ NA EURÓPSKOM ZBORE SOLIDARITY</w:t>
      </w:r>
    </w:p>
    <w:p>
      <w:pPr>
        <w:pStyle w:val="Text"/>
        <w:keepNext/>
        <w:jc w:val="center"/>
        <w:rPr>
          <w:i/>
          <w:iCs/>
          <w:noProof/>
          <w:color w:val="auto"/>
        </w:rPr>
      </w:pPr>
      <w:r>
        <w:rPr>
          <w:i/>
          <w:noProof/>
          <w:color w:val="auto"/>
        </w:rPr>
        <w:t>Článok 14</w:t>
      </w:r>
    </w:p>
    <w:p>
      <w:pPr>
        <w:pStyle w:val="Text"/>
        <w:keepNext/>
        <w:jc w:val="center"/>
        <w:rPr>
          <w:i/>
          <w:iCs/>
          <w:noProof/>
          <w:color w:val="auto"/>
        </w:rPr>
      </w:pPr>
      <w:r>
        <w:rPr>
          <w:i/>
          <w:noProof/>
          <w:color w:val="auto"/>
        </w:rPr>
        <w:t>Účastnícke krajiny</w:t>
      </w:r>
    </w:p>
    <w:p>
      <w:pPr>
        <w:pStyle w:val="ManualNumPar1"/>
        <w:rPr>
          <w:noProof/>
        </w:rPr>
      </w:pPr>
      <w:r>
        <w:t>1.</w:t>
      </w:r>
      <w:r>
        <w:tab/>
      </w:r>
      <w:r>
        <w:rPr>
          <w:noProof/>
        </w:rPr>
        <w:t>Do dobrovoľníckych činností, stáží, pracovných miest, solidaritných projektov, činností súvisiacich s vytváraním sietí a do opatrení v oblasti kvality a podporných opatrení uvedených v článkoch 5, 7, 8, 9 a 11 sa môžu zapojiť členské štáty a zámorské krajiny a územia.</w:t>
      </w:r>
    </w:p>
    <w:p>
      <w:pPr>
        <w:pStyle w:val="ManualNumPar1"/>
        <w:rPr>
          <w:noProof/>
        </w:rPr>
      </w:pPr>
      <w:r>
        <w:t>2.</w:t>
      </w:r>
      <w:r>
        <w:tab/>
      </w:r>
      <w:r>
        <w:rPr>
          <w:noProof/>
        </w:rPr>
        <w:t>Do dobrovoľníckych činností, činností súvisiacich s vytváraním sietí a do opatrení v oblasti kvality a podporných opatrení uvedených v článkoch 5 a 7 sa môžu zapojiť:</w:t>
      </w:r>
    </w:p>
    <w:p>
      <w:pPr>
        <w:pStyle w:val="Point1"/>
        <w:rPr>
          <w:noProof/>
        </w:rPr>
      </w:pPr>
      <w:r>
        <w:rPr>
          <w:noProof/>
        </w:rPr>
        <w:t>a)</w:t>
      </w:r>
      <w:r>
        <w:rPr>
          <w:noProof/>
        </w:rPr>
        <w:tab/>
        <w:t>členovia Európskeho združenia voľného obchodu, ktorí sú členmi Európskeho hospodárskeho priestoru (EHP), v súlade s podmienkami stanovenými v Dohode o EHP;</w:t>
      </w:r>
    </w:p>
    <w:p>
      <w:pPr>
        <w:pStyle w:val="Point1"/>
        <w:rPr>
          <w:noProof/>
        </w:rPr>
      </w:pPr>
      <w:r>
        <w:rPr>
          <w:noProof/>
        </w:rPr>
        <w:t>b)</w:t>
      </w:r>
      <w:r>
        <w:rPr>
          <w:noProof/>
        </w:rPr>
        <w:tab/>
        <w:t>pristupujúce krajiny, kandidáti a potenciálni kandidáti v súlade so všeobecnými zásadami a všeobecnými podmienkami účasti týchto krajín na programoch Únie stanovenými v príslušných rámcových dohodách a rozhodnutiach Rady pre pridruženie alebo v podobných dohodách a v súlade s osobitnými podmienkami stanovenými v dohodách medzi Úniou a týmito krajinami;</w:t>
      </w:r>
    </w:p>
    <w:p>
      <w:pPr>
        <w:pStyle w:val="Point1"/>
        <w:rPr>
          <w:noProof/>
        </w:rPr>
      </w:pPr>
      <w:r>
        <w:rPr>
          <w:noProof/>
        </w:rPr>
        <w:t>c)</w:t>
      </w:r>
      <w:r>
        <w:rPr>
          <w:noProof/>
        </w:rPr>
        <w:tab/>
        <w:t>krajiny, na ktoré sa vzťahuje európska susedská politika, v súlade so všeobecnými zásadami a všeobecnými podmienkami účasti týchto krajín na programoch Únie stanovenými v príslušných rámcových dohodách a rozhodnutiach Rady pre pridruženie alebo v podobných dohodách a v súlade s osobitnými podmienkami stanovenými v dohodách medzi Úniou a týmito krajinami;</w:t>
      </w:r>
    </w:p>
    <w:p>
      <w:pPr>
        <w:pStyle w:val="Point1"/>
        <w:rPr>
          <w:noProof/>
        </w:rPr>
      </w:pPr>
      <w:r>
        <w:rPr>
          <w:noProof/>
        </w:rPr>
        <w:t>d)</w:t>
      </w:r>
      <w:r>
        <w:rPr>
          <w:noProof/>
        </w:rPr>
        <w:tab/>
        <w:t>iné tretie krajiny v súlade s podmienkami stanovenými v osobitnej dohode, ktorá sa vzťahuje na účasť tretej krajiny na akomkoľvek programe Únie, a to za predpokladu, že sa v tejto dohode:</w:t>
      </w:r>
    </w:p>
    <w:p>
      <w:pPr>
        <w:pStyle w:val="Tiret2"/>
        <w:numPr>
          <w:ilvl w:val="0"/>
          <w:numId w:val="26"/>
        </w:numPr>
        <w:pBdr>
          <w:top w:val="nil"/>
          <w:left w:val="nil"/>
          <w:bottom w:val="nil"/>
          <w:right w:val="nil"/>
          <w:between w:val="nil"/>
          <w:bar w:val="nil"/>
        </w:pBdr>
        <w:tabs>
          <w:tab w:val="left" w:pos="1984"/>
        </w:tabs>
        <w:rPr>
          <w:noProof/>
        </w:rPr>
      </w:pPr>
      <w:r>
        <w:rPr>
          <w:noProof/>
        </w:rPr>
        <w:t>zabezpečuje spravodlivá rovnováha, pokiaľ ide o príspevky a prínosy tretej krajiny, ktorá sa zúčastňuje na programoch Únie,</w:t>
      </w:r>
    </w:p>
    <w:p>
      <w:pPr>
        <w:pStyle w:val="Tiret2"/>
        <w:numPr>
          <w:ilvl w:val="0"/>
          <w:numId w:val="26"/>
        </w:numPr>
        <w:pBdr>
          <w:top w:val="nil"/>
          <w:left w:val="nil"/>
          <w:bottom w:val="nil"/>
          <w:right w:val="nil"/>
          <w:between w:val="nil"/>
          <w:bar w:val="nil"/>
        </w:pBdr>
        <w:tabs>
          <w:tab w:val="left" w:pos="1984"/>
        </w:tabs>
        <w:rPr>
          <w:noProof/>
        </w:rPr>
      </w:pPr>
      <w:r>
        <w:rPr>
          <w:noProof/>
        </w:rPr>
        <w:t>stanovujú podmienky účasti na programoch vrátane výpočtu výšky finančných príspevkov na jednotlivé programy a administratívnych nákladov na ne. Tieto príspevky predstavujú pripísané príjmy v súlade s článkom [21 ods. 5] nariadenia o rozpočtových pravidlách,</w:t>
      </w:r>
    </w:p>
    <w:p>
      <w:pPr>
        <w:pStyle w:val="Tiret2"/>
        <w:numPr>
          <w:ilvl w:val="0"/>
          <w:numId w:val="26"/>
        </w:numPr>
        <w:pBdr>
          <w:top w:val="nil"/>
          <w:left w:val="nil"/>
          <w:bottom w:val="nil"/>
          <w:right w:val="nil"/>
          <w:between w:val="nil"/>
          <w:bar w:val="nil"/>
        </w:pBdr>
        <w:tabs>
          <w:tab w:val="left" w:pos="1984"/>
        </w:tabs>
        <w:rPr>
          <w:noProof/>
        </w:rPr>
      </w:pPr>
      <w:r>
        <w:rPr>
          <w:noProof/>
        </w:rPr>
        <w:t>neudeľuje tretej krajine právomoc rozhodovať o programe,</w:t>
      </w:r>
    </w:p>
    <w:p>
      <w:pPr>
        <w:pStyle w:val="Tiret2"/>
        <w:numPr>
          <w:ilvl w:val="0"/>
          <w:numId w:val="26"/>
        </w:numPr>
        <w:pBdr>
          <w:top w:val="nil"/>
          <w:left w:val="nil"/>
          <w:bottom w:val="nil"/>
          <w:right w:val="nil"/>
          <w:between w:val="nil"/>
          <w:bar w:val="nil"/>
        </w:pBdr>
        <w:tabs>
          <w:tab w:val="left" w:pos="1984"/>
        </w:tabs>
        <w:rPr>
          <w:noProof/>
        </w:rPr>
      </w:pPr>
      <w:r>
        <w:rPr>
          <w:noProof/>
        </w:rPr>
        <w:t>zaručujú práva Únie na zabezpečenie správneho finančného riadenia a ochranu jej finančných záujmov.</w:t>
      </w:r>
    </w:p>
    <w:p>
      <w:pPr>
        <w:pStyle w:val="ManualNumPar1"/>
        <w:rPr>
          <w:noProof/>
        </w:rPr>
      </w:pPr>
      <w:r>
        <w:t>3.</w:t>
      </w:r>
      <w:r>
        <w:tab/>
      </w:r>
      <w:r>
        <w:rPr>
          <w:noProof/>
        </w:rPr>
        <w:t>Krajiny uvedené v odseku 2 sa v plnej miere zúčastňujú na programe, iba ak spĺňajú všetky povinnosti, ktoré sa týmto nariadením ukladajú členským štátom.</w:t>
      </w:r>
    </w:p>
    <w:p>
      <w:pPr>
        <w:pStyle w:val="ManualNumPar1"/>
        <w:rPr>
          <w:noProof/>
        </w:rPr>
      </w:pPr>
      <w:r>
        <w:t>4.</w:t>
      </w:r>
      <w:r>
        <w:tab/>
      </w:r>
      <w:r>
        <w:rPr>
          <w:noProof/>
        </w:rPr>
        <w:t>Do akcií v oblasti dobrovoľníctva a vytvárania sietí uvedených v článkoch 5 a 7 sa môžu zapájať tretie krajiny, ktoré nie sú pridružené k programu, najmä susedské krajiny.</w:t>
      </w:r>
    </w:p>
    <w:p>
      <w:pPr>
        <w:pStyle w:val="Titrearticle"/>
        <w:rPr>
          <w:noProof/>
        </w:rPr>
      </w:pPr>
      <w:r>
        <w:rPr>
          <w:noProof/>
        </w:rPr>
        <w:t>Článok 15</w:t>
      </w:r>
    </w:p>
    <w:p>
      <w:pPr>
        <w:pStyle w:val="Titrearticle"/>
        <w:spacing w:before="120"/>
        <w:rPr>
          <w:noProof/>
        </w:rPr>
      </w:pPr>
      <w:r>
        <w:rPr>
          <w:noProof/>
        </w:rPr>
        <w:t>Účasť jednotlivcov</w:t>
      </w:r>
    </w:p>
    <w:p>
      <w:pPr>
        <w:rPr>
          <w:noProof/>
        </w:rPr>
      </w:pPr>
      <w:r>
        <w:rPr>
          <w:noProof/>
        </w:rPr>
        <w:t>Mladí ľudia vo veku 17 až 30 rokov, ktorí sa chcú zapojiť do Európskeho zboru solidarity, sa musia zaregistrovať na portáli Európskeho zboru solidarity. V čase začatia dobrovoľníckej činnosti, stáže, práce alebo solidaritného projektu však mladý človek musí mať aspoň 18 rokov a nesmie prekročiť 30 rokov.</w:t>
      </w:r>
    </w:p>
    <w:p>
      <w:pPr>
        <w:pStyle w:val="Titrearticle"/>
        <w:spacing w:before="120"/>
        <w:rPr>
          <w:i w:val="0"/>
          <w:iCs/>
          <w:noProof/>
          <w:u w:color="0000FF"/>
        </w:rPr>
      </w:pPr>
      <w:r>
        <w:rPr>
          <w:noProof/>
        </w:rPr>
        <w:t>Článok 16</w:t>
      </w:r>
    </w:p>
    <w:p>
      <w:pPr>
        <w:pStyle w:val="Titrearticle"/>
        <w:spacing w:before="120"/>
        <w:rPr>
          <w:noProof/>
        </w:rPr>
      </w:pPr>
      <w:r>
        <w:rPr>
          <w:noProof/>
        </w:rPr>
        <w:t>Účastnícke organizácie</w:t>
      </w:r>
    </w:p>
    <w:p>
      <w:pPr>
        <w:pStyle w:val="ManualNumPar1"/>
        <w:rPr>
          <w:noProof/>
        </w:rPr>
      </w:pPr>
      <w:r>
        <w:t>1.</w:t>
      </w:r>
      <w:r>
        <w:tab/>
      </w:r>
      <w:r>
        <w:rPr>
          <w:noProof/>
        </w:rPr>
        <w:t>Do Európskeho zboru solidarity sa môžu zapojiť verejné alebo súkromné subjekty a medzinárodné organizácie za predpokladu, že im bola udelená značka kvality Európskeho zboru solidarity.</w:t>
      </w:r>
    </w:p>
    <w:p>
      <w:pPr>
        <w:pStyle w:val="ManualNumPar1"/>
        <w:rPr>
          <w:noProof/>
        </w:rPr>
      </w:pPr>
      <w:r>
        <w:t>2.</w:t>
      </w:r>
      <w:r>
        <w:tab/>
      </w:r>
      <w:r>
        <w:rPr>
          <w:noProof/>
        </w:rPr>
        <w:t>Žiadosť subjektu, aby sa stal účastníckou organizáciou Európskeho zboru solidarity, posudzuje príslušný vykonávací orgán Európskeho zboru solidarity na základe zásad rovnakého zaobchádzania, rovnakých príležitostí a nediskriminácie, vyhýbania sa náhrady za prácu, poskytovania kvalitných činností so vzdelávacím rozmerom s dôrazom na osobný, sociálno-vzdelávací a profesijný rozvoj, primeraných vzdelávacích, pracovných a dobrovoľníckych opatrení, bezpečného a slušného prostredia a dôstojných podmienok a zásady neziskovosti v súlade s nariadením o rozpočtových pravidlách. Týmito zásadami sa overí, či činnosti spĺňajú požiadavky Európskeho zboru solidarity.</w:t>
      </w:r>
    </w:p>
    <w:p>
      <w:pPr>
        <w:pStyle w:val="ManualNumPar1"/>
        <w:rPr>
          <w:noProof/>
        </w:rPr>
      </w:pPr>
      <w:r>
        <w:t>3.</w:t>
      </w:r>
      <w:r>
        <w:tab/>
      </w:r>
      <w:r>
        <w:rPr>
          <w:noProof/>
        </w:rPr>
        <w:t>Na základe tohto posúdenia môže byť subjektu udelená značka kvality Európskeho zboru solidarity. Udelená značka kvality sa pravidelne prehodnocuje a možno ju odňať.</w:t>
      </w:r>
    </w:p>
    <w:p>
      <w:pPr>
        <w:pStyle w:val="ManualNumPar1"/>
        <w:rPr>
          <w:noProof/>
        </w:rPr>
      </w:pPr>
      <w:r>
        <w:t>4.</w:t>
      </w:r>
      <w:r>
        <w:tab/>
      </w:r>
      <w:r>
        <w:rPr>
          <w:noProof/>
        </w:rPr>
        <w:t>Každý subjekt, ktorému bola udelená značka kvality Európskeho zboru solidarity, dostane prístup do portálu Európskeho zboru solidarity vo funkcii hostiteľa, v podpornej funkcii alebo v oboch a bude môcť registrovaným uchádzačom predkladať ponuky solidárnych činností.</w:t>
      </w:r>
    </w:p>
    <w:p>
      <w:pPr>
        <w:pStyle w:val="ManualNumPar1"/>
        <w:rPr>
          <w:noProof/>
        </w:rPr>
      </w:pPr>
      <w:r>
        <w:t>5.</w:t>
      </w:r>
      <w:r>
        <w:tab/>
      </w:r>
      <w:r>
        <w:rPr>
          <w:noProof/>
        </w:rPr>
        <w:t>Značka kvality Európskeho zboru solidarity nevedie automaticky k financovaniu v rámci Európskeho zboru solidarity.</w:t>
      </w:r>
    </w:p>
    <w:p>
      <w:pPr>
        <w:pStyle w:val="ManualNumPar1"/>
        <w:rPr>
          <w:noProof/>
        </w:rPr>
      </w:pPr>
      <w:r>
        <w:t>6.</w:t>
      </w:r>
      <w:r>
        <w:tab/>
      </w:r>
      <w:r>
        <w:rPr>
          <w:noProof/>
        </w:rPr>
        <w:t>Solidárne činnosti a súvisiace opatrenia v oblasti kvality a podporné opatrenia ponúkané účastníckou organizáciou môžu získať finančné prostriedky z Európskeho zboru solidarity alebo z iných zdrojov, ktoré nezávisia od rozpočtu Únie.</w:t>
      </w:r>
    </w:p>
    <w:p>
      <w:pPr>
        <w:pStyle w:val="ManualNumPar1"/>
        <w:rPr>
          <w:noProof/>
        </w:rPr>
      </w:pPr>
      <w:r>
        <w:t>7.</w:t>
      </w:r>
      <w:r>
        <w:tab/>
      </w:r>
      <w:r>
        <w:rPr>
          <w:noProof/>
        </w:rPr>
        <w:t>V prípade organizácií, ktoré sa zúčastňujú na činnostiach uvedených v článku 11, je prioritou bezpečnosť a ochrana dobrovoľníkov.</w:t>
      </w:r>
    </w:p>
    <w:p>
      <w:pPr>
        <w:pStyle w:val="Titrearticle"/>
        <w:spacing w:before="120"/>
        <w:rPr>
          <w:noProof/>
        </w:rPr>
      </w:pPr>
      <w:r>
        <w:rPr>
          <w:noProof/>
        </w:rPr>
        <w:t>Článok 17</w:t>
      </w:r>
    </w:p>
    <w:p>
      <w:pPr>
        <w:pStyle w:val="Titrearticle"/>
        <w:spacing w:before="120"/>
        <w:rPr>
          <w:noProof/>
        </w:rPr>
      </w:pPr>
      <w:r>
        <w:rPr>
          <w:noProof/>
        </w:rPr>
        <w:t>Prístup k finančným prostriedkom z Európskeho zboru solidarity</w:t>
      </w:r>
    </w:p>
    <w:p>
      <w:pPr>
        <w:rPr>
          <w:noProof/>
        </w:rPr>
      </w:pPr>
      <w:r>
        <w:rPr>
          <w:noProof/>
        </w:rPr>
        <w:t>O finančné prostriedky z Európskeho zboru solidarity môže požiadať každý verejný alebo súkromný subjekt so sídlom v účastníckej krajine, ako aj medzinárodné organizácie. V prípade činností uvedených v článkoch 7, 8 a 11 je udelenie značky kvality účastníckej organizácii nevyhnutnou podmienkou na čerpanie finančných prostriedkov z Európskeho zboru solidarity. V prípade solidaritných projektov uvedených v článku 9 môžu fyzické osoby takisto žiadať o finančné prostriedky v mene neformálnych skupín účastníkov Európskeho zboru solidarity.</w:t>
      </w:r>
    </w:p>
    <w:p>
      <w:pPr>
        <w:pStyle w:val="Titrearticle"/>
        <w:spacing w:before="120"/>
        <w:rPr>
          <w:noProof/>
        </w:rPr>
      </w:pPr>
      <w:r>
        <w:rPr>
          <w:noProof/>
        </w:rPr>
        <w:t>KAPITOLA VII</w:t>
      </w:r>
    </w:p>
    <w:p>
      <w:pPr>
        <w:pStyle w:val="Titrearticle"/>
        <w:spacing w:before="120"/>
        <w:rPr>
          <w:noProof/>
        </w:rPr>
      </w:pPr>
      <w:r>
        <w:rPr>
          <w:noProof/>
        </w:rPr>
        <w:t>PROGRAMOVANIE, MONITOROVANIE A HODNOTENIE</w:t>
      </w:r>
    </w:p>
    <w:p>
      <w:pPr>
        <w:pStyle w:val="Titrearticle"/>
        <w:spacing w:before="120"/>
        <w:rPr>
          <w:noProof/>
        </w:rPr>
      </w:pPr>
      <w:r>
        <w:rPr>
          <w:noProof/>
        </w:rPr>
        <w:t>Článok 18</w:t>
      </w:r>
    </w:p>
    <w:p>
      <w:pPr>
        <w:pStyle w:val="Titrearticle"/>
        <w:spacing w:before="120"/>
        <w:rPr>
          <w:iCs/>
          <w:noProof/>
          <w:u w:color="008000"/>
        </w:rPr>
      </w:pPr>
      <w:r>
        <w:rPr>
          <w:noProof/>
        </w:rPr>
        <w:t>Pracovný program</w:t>
      </w:r>
    </w:p>
    <w:p>
      <w:pPr>
        <w:rPr>
          <w:noProof/>
        </w:rPr>
      </w:pPr>
      <w:r>
        <w:rPr>
          <w:noProof/>
        </w:rPr>
        <w:t>Program sa implementuje prostredníctvom pracovných programov uvedených v [článku 110] nariadenia o rozpočtových pravidlách. Okrem toho sa v pracovnom programe uvádza suma pridelená na každú akciu a rozdelenie finančných prostriedkov medzi členské štáty a tretie krajiny pridružené k programu, pokiaľ ide o akcie, ktoré sa majú riadiť prostredníctvom národnej agentúry. Pracovný program prijíma Komisia prostredníctvom vykonávacieho aktu. Uvedené vykonávacie akty sa prijímajú v súlade s postupom preskúmania uvedeným v článku 30.</w:t>
      </w:r>
    </w:p>
    <w:p>
      <w:pPr>
        <w:pStyle w:val="Titrearticle"/>
        <w:rPr>
          <w:noProof/>
        </w:rPr>
      </w:pPr>
      <w:r>
        <w:rPr>
          <w:noProof/>
        </w:rPr>
        <w:t>Článok 19</w:t>
      </w:r>
    </w:p>
    <w:p>
      <w:pPr>
        <w:pStyle w:val="Titrearticle"/>
        <w:spacing w:before="120"/>
        <w:rPr>
          <w:noProof/>
        </w:rPr>
      </w:pPr>
      <w:r>
        <w:rPr>
          <w:noProof/>
        </w:rPr>
        <w:t>Monitorovanie a podávanie správ</w:t>
      </w:r>
    </w:p>
    <w:p>
      <w:pPr>
        <w:pStyle w:val="ManualNumPar1"/>
        <w:rPr>
          <w:noProof/>
        </w:rPr>
      </w:pPr>
      <w:r>
        <w:t>1.</w:t>
      </w:r>
      <w:r>
        <w:tab/>
      </w:r>
      <w:r>
        <w:rPr>
          <w:noProof/>
        </w:rPr>
        <w:t>Ukazovatele, ktoré sa uvádzajú v správach na účely posúdenia pokroku pri dosahovaní všeobecných a špecifických cieľov programu stanovených v článku 3, sú uvedené v prílohe.</w:t>
      </w:r>
    </w:p>
    <w:p>
      <w:pPr>
        <w:pStyle w:val="ManualNumPar1"/>
        <w:rPr>
          <w:noProof/>
        </w:rPr>
      </w:pPr>
      <w:r>
        <w:t>2.</w:t>
      </w:r>
      <w:r>
        <w:tab/>
      </w:r>
      <w:r>
        <w:rPr>
          <w:noProof/>
        </w:rPr>
        <w:t>Na zabezpečenie účinného posúdenia programu z hľadiska dosahovania jeho cieľov je Komisia splnomocnená prijímať delegované akty v súlade s článkom 29, pokiaľ ide o zmeny prílohy na účely preskúmania a doplnenia ukazovateľov, ak sa to považuje za potrebné, a pokiaľ ide o doplnenie tohto nariadenia o ustanovenia týkajúce sa zriadenia rámca monitorovania a hodnotenia.</w:t>
      </w:r>
    </w:p>
    <w:p>
      <w:pPr>
        <w:pStyle w:val="ManualNumPar1"/>
        <w:rPr>
          <w:noProof/>
        </w:rPr>
      </w:pPr>
      <w:r>
        <w:t>3.</w:t>
      </w:r>
      <w:r>
        <w:tab/>
      </w:r>
      <w:r>
        <w:rPr>
          <w:noProof/>
        </w:rPr>
        <w:t>Systém podávania správ o výkonnosti zabezpečí, aby prijímatelia finančných prostriedkov Únie v zmysle článku [2 ods. 5] nariadenia o rozpočtových pravidlách efektívne, účinne, včas a na primeranej úrovni podrobnosti zbierali údaje na monitorovanie implementácie a hodnotenia programu. Na tento účel sa prijímateľom finančných prostriedkov Únie a členským štátom ukladajú primerané požiadavky na podávanie správ.</w:t>
      </w:r>
    </w:p>
    <w:p>
      <w:pPr>
        <w:pStyle w:val="Titrearticle"/>
        <w:spacing w:before="120"/>
        <w:rPr>
          <w:noProof/>
        </w:rPr>
      </w:pPr>
      <w:r>
        <w:rPr>
          <w:noProof/>
        </w:rPr>
        <w:t>Článok 20</w:t>
      </w:r>
    </w:p>
    <w:p>
      <w:pPr>
        <w:pStyle w:val="Titrearticle"/>
        <w:spacing w:before="120"/>
        <w:rPr>
          <w:noProof/>
        </w:rPr>
      </w:pPr>
      <w:r>
        <w:rPr>
          <w:noProof/>
        </w:rPr>
        <w:t>Hodnotenie</w:t>
      </w:r>
    </w:p>
    <w:p>
      <w:pPr>
        <w:pStyle w:val="ManualNumPar1"/>
        <w:rPr>
          <w:noProof/>
        </w:rPr>
      </w:pPr>
      <w:r>
        <w:t>1.</w:t>
      </w:r>
      <w:r>
        <w:tab/>
      </w:r>
      <w:r>
        <w:rPr>
          <w:noProof/>
        </w:rPr>
        <w:t>Hodnotenia sa vykonávajú včas, aby sa mohli využiť v rozhodovacom procese.</w:t>
      </w:r>
    </w:p>
    <w:p>
      <w:pPr>
        <w:pStyle w:val="ManualNumPar1"/>
        <w:rPr>
          <w:noProof/>
        </w:rPr>
      </w:pPr>
      <w:r>
        <w:t>2.</w:t>
      </w:r>
      <w:r>
        <w:tab/>
      </w:r>
      <w:r>
        <w:rPr>
          <w:noProof/>
        </w:rPr>
        <w:t>Priebežné hodnotenie programu sa vykoná hneď, ako sú k dispozícii dostatočné informácie o implementácii programu, najneskôr však štyri roky po začatí implementácie programu. Musí ho sprevádzať aj záverečné hodnotenie predchádzajúceho programu.</w:t>
      </w:r>
    </w:p>
    <w:p>
      <w:pPr>
        <w:pStyle w:val="ManualNumPar1"/>
        <w:rPr>
          <w:noProof/>
        </w:rPr>
      </w:pPr>
      <w:r>
        <w:t>3.</w:t>
      </w:r>
      <w:r>
        <w:tab/>
      </w:r>
      <w:r>
        <w:rPr>
          <w:noProof/>
        </w:rPr>
        <w:t>Bez toho, aby boli dotknuté požiadavky stanovené v kapitole IX a povinnosti národných agentúr uvedené v článku 23, členské štáty predložia Komisii do 30. apríla 2024 správu o implementácii a vplyve programu na svojich príslušných územiach.</w:t>
      </w:r>
    </w:p>
    <w:p>
      <w:pPr>
        <w:pStyle w:val="ManualNumPar1"/>
        <w:rPr>
          <w:noProof/>
        </w:rPr>
      </w:pPr>
      <w:r>
        <w:t>4.</w:t>
      </w:r>
      <w:r>
        <w:tab/>
      </w:r>
      <w:r>
        <w:rPr>
          <w:noProof/>
        </w:rPr>
        <w:t>Na konci implementácie programu, najneskôr však štyri roky po uplynutí obdobia uvedeného v článku 1, Komisia vykoná záverečné hodnotenie programu.</w:t>
      </w:r>
    </w:p>
    <w:p>
      <w:pPr>
        <w:pStyle w:val="ManualNumPar1"/>
        <w:rPr>
          <w:noProof/>
        </w:rPr>
      </w:pPr>
      <w:r>
        <w:t>5.</w:t>
      </w:r>
      <w:r>
        <w:tab/>
      </w:r>
      <w:r>
        <w:rPr>
          <w:noProof/>
        </w:rPr>
        <w:t>Komisia oznámi závery týchto hodnotení spolu so svojimi pripomienkami Európskemu parlamentu, Rade, Európskemu hospodárskemu a sociálnemu výboru a Výboru regiónov.</w:t>
      </w:r>
    </w:p>
    <w:p>
      <w:pPr>
        <w:pStyle w:val="Titrearticle"/>
        <w:spacing w:before="120"/>
        <w:rPr>
          <w:noProof/>
        </w:rPr>
      </w:pPr>
      <w:r>
        <w:rPr>
          <w:noProof/>
        </w:rPr>
        <w:t>KAPITOLA VIII</w:t>
      </w:r>
    </w:p>
    <w:p>
      <w:pPr>
        <w:pStyle w:val="Titrearticle"/>
        <w:spacing w:before="120"/>
        <w:rPr>
          <w:noProof/>
        </w:rPr>
      </w:pPr>
      <w:r>
        <w:rPr>
          <w:noProof/>
        </w:rPr>
        <w:t>INFORMOVANIE, KOMUNIKÁCIA A ŠÍRENIE</w:t>
      </w:r>
    </w:p>
    <w:p>
      <w:pPr>
        <w:pStyle w:val="Titrearticle"/>
        <w:spacing w:before="120"/>
        <w:rPr>
          <w:noProof/>
        </w:rPr>
      </w:pPr>
      <w:r>
        <w:rPr>
          <w:noProof/>
        </w:rPr>
        <w:t>Článok 21</w:t>
      </w:r>
    </w:p>
    <w:p>
      <w:pPr>
        <w:pStyle w:val="Titrearticle"/>
        <w:spacing w:before="120"/>
        <w:rPr>
          <w:noProof/>
        </w:rPr>
      </w:pPr>
      <w:r>
        <w:rPr>
          <w:noProof/>
        </w:rPr>
        <w:t>Informovanie, komunikácia a šírenie</w:t>
      </w:r>
    </w:p>
    <w:p>
      <w:pPr>
        <w:pStyle w:val="ManualNumPar1"/>
        <w:rPr>
          <w:noProof/>
        </w:rPr>
      </w:pPr>
      <w:r>
        <w:t>1.</w:t>
      </w:r>
      <w:r>
        <w:tab/>
      </w:r>
      <w:r>
        <w:rPr>
          <w:noProof/>
        </w:rPr>
        <w:t>Príjemcovia finančných prostriedkov Únie uznávajú pôvod týchto finančných prostriedkov a zabezpečia ich viditeľnosť najmä pri propagácii akcií a ich výsledkov tým, že poskytujú zrozumiteľné, faktické a primerane cielené informácie rozličnej verejnosti vrátane médií a širokej verejnosti.</w:t>
      </w:r>
    </w:p>
    <w:p>
      <w:pPr>
        <w:pStyle w:val="ManualNumPar1"/>
        <w:rPr>
          <w:noProof/>
        </w:rPr>
      </w:pPr>
      <w:r>
        <w:t>2.</w:t>
      </w:r>
      <w:r>
        <w:tab/>
      </w:r>
      <w:r>
        <w:rPr>
          <w:noProof/>
        </w:rPr>
        <w:t>Komisia vykonáva informačné a komunikačné činnosti v súvislosti s programom a jeho akciami a výsledkami. Finančné zdroje pridelené na program zároveň prispievajú k inštitucionálnej komunikácii o politických prioritách Únie, pokiaľ sa týkajú cieľov uvedených v článku 3.</w:t>
      </w:r>
    </w:p>
    <w:p>
      <w:pPr>
        <w:pStyle w:val="ManualNumPar1"/>
        <w:rPr>
          <w:noProof/>
        </w:rPr>
      </w:pPr>
      <w:r>
        <w:t>3.</w:t>
      </w:r>
      <w:r>
        <w:tab/>
      </w:r>
      <w:r>
        <w:rPr>
          <w:noProof/>
        </w:rPr>
        <w:t>Národné agentúry uvedené v článku 23 vypracujú jednotnú stratégiu, pokiaľ ide o účinnú osvetu, ako aj o šírenie a využívanie výsledkov činností podporovaných v rámci akcií, ktoré riadia v rámci programu, pomáhajú Komisii s jej všeobecnou úlohou šírenia informácií o programe vrátane informácií o akciách a činnostiach riadených na vnútroštátnej úrovni a na úrovni Únie, ako aj o ich výsledkoch a informujú príslušné cieľové skupiny o akciách a činnostiach uskutočňovaných v ich krajine.</w:t>
      </w:r>
    </w:p>
    <w:p>
      <w:pPr>
        <w:pStyle w:val="Titrearticle"/>
        <w:spacing w:before="120"/>
        <w:rPr>
          <w:noProof/>
        </w:rPr>
      </w:pPr>
      <w:r>
        <w:rPr>
          <w:noProof/>
        </w:rPr>
        <w:t>KAPITOLA IX</w:t>
      </w:r>
    </w:p>
    <w:p>
      <w:pPr>
        <w:pStyle w:val="Titrearticle"/>
        <w:spacing w:before="120"/>
        <w:rPr>
          <w:noProof/>
        </w:rPr>
      </w:pPr>
      <w:r>
        <w:rPr>
          <w:noProof/>
        </w:rPr>
        <w:t>SYSTÉM RIADENIA A AUDITU</w:t>
      </w:r>
    </w:p>
    <w:p>
      <w:pPr>
        <w:pStyle w:val="Titrearticle"/>
        <w:spacing w:before="120"/>
        <w:rPr>
          <w:noProof/>
        </w:rPr>
      </w:pPr>
      <w:r>
        <w:rPr>
          <w:noProof/>
        </w:rPr>
        <w:t>Článok 22</w:t>
      </w:r>
    </w:p>
    <w:p>
      <w:pPr>
        <w:pStyle w:val="Titrearticle"/>
        <w:spacing w:before="120"/>
        <w:rPr>
          <w:noProof/>
        </w:rPr>
      </w:pPr>
      <w:r>
        <w:rPr>
          <w:noProof/>
        </w:rPr>
        <w:t>Vnútroštátny orgán</w:t>
      </w:r>
    </w:p>
    <w:p>
      <w:pPr>
        <w:rPr>
          <w:noProof/>
        </w:rPr>
      </w:pPr>
      <w:r>
        <w:rPr>
          <w:noProof/>
        </w:rPr>
        <w:t>V každej krajine zapojenej do Európskeho zboru solidarity pôsobia vnútroštátne orgány určené na riadenie akcií uvedených v kapitole III [nového nariadenia o programe Erasmus] aj ako vnútroštátne orgány v rámci Európskeho zboru solidarity. Na Európsky zbor solidarity sa analogicky vzťahuje článok 23 ods. 1, 2, 6, 7, 9, 10, 11, 12, 13 a 14 [nového nariadenia o programe Erasmus].</w:t>
      </w:r>
    </w:p>
    <w:p>
      <w:pPr>
        <w:pStyle w:val="Titrearticle"/>
        <w:spacing w:before="120"/>
        <w:rPr>
          <w:noProof/>
        </w:rPr>
      </w:pPr>
      <w:r>
        <w:rPr>
          <w:noProof/>
        </w:rPr>
        <w:t>Článok 23</w:t>
      </w:r>
    </w:p>
    <w:p>
      <w:pPr>
        <w:pStyle w:val="Titrearticle"/>
        <w:spacing w:before="120"/>
        <w:rPr>
          <w:noProof/>
        </w:rPr>
      </w:pPr>
      <w:r>
        <w:rPr>
          <w:noProof/>
        </w:rPr>
        <w:t>Národná agentúra</w:t>
      </w:r>
    </w:p>
    <w:p>
      <w:pPr>
        <w:pStyle w:val="ManualNumPar1"/>
        <w:rPr>
          <w:noProof/>
        </w:rPr>
      </w:pPr>
      <w:r>
        <w:t>1.</w:t>
      </w:r>
      <w:r>
        <w:tab/>
      </w:r>
      <w:r>
        <w:rPr>
          <w:noProof/>
        </w:rPr>
        <w:t>V každej krajine zapojenej do Európskeho zboru solidarity pôsobia národné agentúry určené na riadenie akcií uvedených v kapitole III [nového nariadenia o programe Erasmus] vo svojich príslušných krajinách aj ako národné agentúry v rámci Európskeho zboru solidarity.</w:t>
      </w:r>
    </w:p>
    <w:p>
      <w:pPr>
        <w:pStyle w:val="Text1"/>
        <w:rPr>
          <w:noProof/>
        </w:rPr>
      </w:pPr>
      <w:r>
        <w:rPr>
          <w:noProof/>
        </w:rPr>
        <w:t>Na Európsky zbor solidarity sa analogicky vzťahuje článok 24 ods. 1, 2, 3, 4, 5 a 6 [nového nariadenia o programe Erasmus].</w:t>
      </w:r>
    </w:p>
    <w:p>
      <w:pPr>
        <w:pStyle w:val="ManualNumPar1"/>
        <w:rPr>
          <w:noProof/>
        </w:rPr>
      </w:pPr>
      <w:r>
        <w:t>2.</w:t>
      </w:r>
      <w:r>
        <w:tab/>
      </w:r>
      <w:r>
        <w:rPr>
          <w:noProof/>
        </w:rPr>
        <w:t>Bez toho, aby bol dotknutý článok 24 ods. 2 [nového nariadenia o programe Erasmus], národná agentúra zodpovedá aj za riadenie všetkých fáz projektového cyklu akcií Európskeho zboru solidarity uvedených vo vykonávacích aktoch podľa článku 18 v súlade s [článkom 62 ods. 1 písm. c) bodmi v) a vi)] nariadenia o rozpočtových pravidlách.</w:t>
      </w:r>
    </w:p>
    <w:p>
      <w:pPr>
        <w:pStyle w:val="ManualNumPar1"/>
        <w:rPr>
          <w:noProof/>
        </w:rPr>
      </w:pPr>
      <w:r>
        <w:t>3.</w:t>
      </w:r>
      <w:r>
        <w:tab/>
      </w:r>
      <w:r>
        <w:rPr>
          <w:noProof/>
        </w:rPr>
        <w:t>V prípade krajín uvedených v článku 14 ods. 2 tohto nariadenia, ak pre danú krajinu nebola určená národná agentúra, určí sa v súlade s článkom 24 ods. 1, 3, 4, 5 a 6 [nového nariadenia o programe Erasmus].</w:t>
      </w:r>
    </w:p>
    <w:p>
      <w:pPr>
        <w:pStyle w:val="Titrearticle"/>
        <w:spacing w:before="120"/>
        <w:rPr>
          <w:noProof/>
        </w:rPr>
      </w:pPr>
      <w:r>
        <w:rPr>
          <w:noProof/>
        </w:rPr>
        <w:t>Článok 24</w:t>
      </w:r>
    </w:p>
    <w:p>
      <w:pPr>
        <w:pStyle w:val="Titrearticle"/>
        <w:spacing w:before="120"/>
        <w:rPr>
          <w:noProof/>
        </w:rPr>
      </w:pPr>
      <w:r>
        <w:rPr>
          <w:noProof/>
        </w:rPr>
        <w:t>Európska komisia</w:t>
      </w:r>
    </w:p>
    <w:p>
      <w:pPr>
        <w:pStyle w:val="ManualNumPar1"/>
        <w:rPr>
          <w:noProof/>
        </w:rPr>
      </w:pPr>
      <w:r>
        <w:t>1.</w:t>
      </w:r>
      <w:r>
        <w:tab/>
      </w:r>
      <w:r>
        <w:rPr>
          <w:noProof/>
        </w:rPr>
        <w:t>Vzťah medzi Komisiou a národnou agentúrou sa v súlade s pravidlami v článku 24 [nového nariadenia o programe Erasmus] upravuje v písomnom dokumente, ktorý:</w:t>
      </w:r>
    </w:p>
    <w:p>
      <w:pPr>
        <w:pStyle w:val="Point1"/>
        <w:rPr>
          <w:noProof/>
        </w:rPr>
      </w:pPr>
      <w:r>
        <w:rPr>
          <w:noProof/>
        </w:rPr>
        <w:t>a)</w:t>
      </w:r>
      <w:r>
        <w:rPr>
          <w:noProof/>
        </w:rPr>
        <w:tab/>
        <w:t>stanovuje normy vnútornej kontroly pre dotknutú národnú agentúru a pravidlá riadenia finančných prostriedkov Únie na grantovú podporu národnými agentúrami;</w:t>
      </w:r>
    </w:p>
    <w:p>
      <w:pPr>
        <w:pStyle w:val="Point1"/>
        <w:rPr>
          <w:noProof/>
        </w:rPr>
      </w:pPr>
      <w:r>
        <w:rPr>
          <w:noProof/>
        </w:rPr>
        <w:t>b)</w:t>
      </w:r>
      <w:r>
        <w:rPr>
          <w:noProof/>
        </w:rPr>
        <w:tab/>
        <w:t>zahŕňa pracovný program národnej agentúry, v ktorom sa vymedzujú riadiace úlohy národnej agentúry, na ktoré sa poskytuje podpora Únie;</w:t>
      </w:r>
    </w:p>
    <w:p>
      <w:pPr>
        <w:pStyle w:val="Point1"/>
        <w:rPr>
          <w:noProof/>
        </w:rPr>
      </w:pPr>
      <w:r>
        <w:rPr>
          <w:noProof/>
        </w:rPr>
        <w:t>c)</w:t>
      </w:r>
      <w:r>
        <w:rPr>
          <w:noProof/>
        </w:rPr>
        <w:tab/>
        <w:t>stanovuje požiadavky na národnú agentúru týkajúce sa podávania správ.</w:t>
      </w:r>
    </w:p>
    <w:p>
      <w:pPr>
        <w:pStyle w:val="ManualNumPar1"/>
        <w:rPr>
          <w:noProof/>
        </w:rPr>
      </w:pPr>
      <w:r>
        <w:t>2.</w:t>
      </w:r>
      <w:r>
        <w:tab/>
      </w:r>
      <w:r>
        <w:rPr>
          <w:noProof/>
        </w:rPr>
        <w:t>Komisia sprístupní každý rok národnej agentúre tieto finančné prostriedky:</w:t>
      </w:r>
    </w:p>
    <w:p>
      <w:pPr>
        <w:pStyle w:val="Point1"/>
        <w:rPr>
          <w:noProof/>
        </w:rPr>
      </w:pPr>
      <w:r>
        <w:rPr>
          <w:noProof/>
        </w:rPr>
        <w:t>a)</w:t>
      </w:r>
      <w:r>
        <w:rPr>
          <w:noProof/>
        </w:rPr>
        <w:tab/>
        <w:t>finančné prostriedky na grantovú podporu v dotknutej účastníckej krajine určené pre akcie Európskeho zboru solidarity, ktorých riadenie je zverené národnej agentúre;</w:t>
      </w:r>
    </w:p>
    <w:p>
      <w:pPr>
        <w:pStyle w:val="Point1"/>
        <w:rPr>
          <w:noProof/>
        </w:rPr>
      </w:pPr>
      <w:r>
        <w:rPr>
          <w:noProof/>
        </w:rPr>
        <w:t>b)</w:t>
      </w:r>
      <w:r>
        <w:rPr>
          <w:noProof/>
        </w:rPr>
        <w:tab/>
        <w:t>finančný príspevok na podporu riadiacich úloh vykonávaných národnou agentúrou vymedzených podľa podmienok opísaných v článku 25 ods. 3 písm. b) [nového nariadenia o programe Erasmus].</w:t>
      </w:r>
    </w:p>
    <w:p>
      <w:pPr>
        <w:pStyle w:val="ManualNumPar1"/>
        <w:rPr>
          <w:noProof/>
        </w:rPr>
      </w:pPr>
      <w:r>
        <w:t>3.</w:t>
      </w:r>
      <w:r>
        <w:tab/>
      </w:r>
      <w:r>
        <w:rPr>
          <w:noProof/>
        </w:rPr>
        <w:t>Komisia stanoví požiadavky na pracovný program národnej agentúry. Komisia sprístupní finančné prostriedky Európskeho zboru solidarity národnej agentúre až po tom, ako oficiálne schváli pracovný program národnej agentúry.</w:t>
      </w:r>
    </w:p>
    <w:p>
      <w:pPr>
        <w:pStyle w:val="ManualNumPar1"/>
        <w:rPr>
          <w:noProof/>
        </w:rPr>
      </w:pPr>
      <w:r>
        <w:t>4.</w:t>
      </w:r>
      <w:r>
        <w:tab/>
      </w:r>
      <w:r>
        <w:rPr>
          <w:noProof/>
        </w:rPr>
        <w:t>Na základe požiadaviek na súlad pre národné agentúry podľa článku 23 ods. 3 [nového nariadenia o programe Erasmus], Komisia preskúma vnútroštátne systémy riadenia a kontroly, vyhlásenie riadiaceho subjektu národnej agentúry a stanovisko nezávislého audítorského subjektu k nemu, pričom náležite zohľadní informácie poskytnuté vnútroštátnym orgánom o jeho činnostiach monitorovania a dohľadu v súvislosti s Európskym zborom solidarity.</w:t>
      </w:r>
    </w:p>
    <w:p>
      <w:pPr>
        <w:pStyle w:val="ManualNumPar1"/>
        <w:rPr>
          <w:noProof/>
        </w:rPr>
      </w:pPr>
      <w:r>
        <w:t>5.</w:t>
      </w:r>
      <w:r>
        <w:tab/>
      </w:r>
      <w:r>
        <w:rPr>
          <w:noProof/>
        </w:rPr>
        <w:t>Komisia posúdi ročné vyhlásenie riadiaceho subjektu a stanovisko nezávislého audítorského subjektu k nemu a potom zašle svoje stanovisko a pripomienky národnej agentúre a vnútroštátnemu orgánu.</w:t>
      </w:r>
    </w:p>
    <w:p>
      <w:pPr>
        <w:pStyle w:val="Titrearticle"/>
        <w:spacing w:before="120"/>
        <w:rPr>
          <w:noProof/>
        </w:rPr>
      </w:pPr>
      <w:r>
        <w:rPr>
          <w:noProof/>
        </w:rPr>
        <w:t>Článok 25</w:t>
      </w:r>
    </w:p>
    <w:p>
      <w:pPr>
        <w:pStyle w:val="Titrearticle"/>
        <w:spacing w:before="120"/>
        <w:rPr>
          <w:noProof/>
        </w:rPr>
      </w:pPr>
      <w:r>
        <w:rPr>
          <w:noProof/>
        </w:rPr>
        <w:t>Audity</w:t>
      </w:r>
    </w:p>
    <w:p>
      <w:pPr>
        <w:pStyle w:val="ManualNumPar1"/>
        <w:rPr>
          <w:noProof/>
        </w:rPr>
      </w:pPr>
      <w:r>
        <w:t>1.</w:t>
      </w:r>
      <w:r>
        <w:tab/>
      </w:r>
      <w:r>
        <w:rPr>
          <w:noProof/>
        </w:rPr>
        <w:t>Audity týkajúce sa použitia príspevku Únie vykonávané osobami alebo subjektmi vrátane tých, ktoré neboli poverené inštitúciami alebo orgánmi Únie, tvoria základ celkového uistenia podľa [článku 127] nariadenia o rozpočtových pravidlách.</w:t>
      </w:r>
    </w:p>
    <w:p>
      <w:pPr>
        <w:pStyle w:val="ManualNumPar1"/>
        <w:rPr>
          <w:noProof/>
        </w:rPr>
      </w:pPr>
      <w:r>
        <w:t>2.</w:t>
      </w:r>
      <w:r>
        <w:tab/>
      </w:r>
      <w:r>
        <w:rPr>
          <w:noProof/>
        </w:rPr>
        <w:t>Vnútroštátny orgán určuje nezávislý audítorský subjekt. Nezávislý audítorský subjekt vydá audítorské stanovisko k vyhláseniu riadiaceho subjektu podľa [článku 155 ods. 1] nariadenia o rozpočtových pravidlách.</w:t>
      </w:r>
    </w:p>
    <w:p>
      <w:pPr>
        <w:pStyle w:val="ManualNumPar1"/>
        <w:rPr>
          <w:noProof/>
        </w:rPr>
      </w:pPr>
      <w:r>
        <w:t>3.</w:t>
      </w:r>
      <w:r>
        <w:tab/>
      </w:r>
      <w:r>
        <w:rPr>
          <w:noProof/>
        </w:rPr>
        <w:t>Nezávislý audítorský subjekt:</w:t>
      </w:r>
    </w:p>
    <w:p>
      <w:pPr>
        <w:pStyle w:val="Point1"/>
        <w:rPr>
          <w:noProof/>
        </w:rPr>
      </w:pPr>
      <w:r>
        <w:rPr>
          <w:noProof/>
        </w:rPr>
        <w:t>a)</w:t>
      </w:r>
      <w:r>
        <w:rPr>
          <w:noProof/>
        </w:rPr>
        <w:tab/>
        <w:t>má potrebnú odbornú spôsobilosť na vykonávanie auditov vo verejnom sektore;</w:t>
      </w:r>
    </w:p>
    <w:p>
      <w:pPr>
        <w:pStyle w:val="Point1"/>
        <w:rPr>
          <w:noProof/>
        </w:rPr>
      </w:pPr>
      <w:r>
        <w:rPr>
          <w:noProof/>
        </w:rPr>
        <w:t>b)</w:t>
      </w:r>
      <w:r>
        <w:rPr>
          <w:noProof/>
        </w:rPr>
        <w:tab/>
        <w:t>zabezpečí, aby jeho audity zohľadňovali medzinárodne uznávané audítorské štandardy, a</w:t>
      </w:r>
    </w:p>
    <w:p>
      <w:pPr>
        <w:pStyle w:val="Point1"/>
        <w:rPr>
          <w:noProof/>
        </w:rPr>
      </w:pPr>
      <w:r>
        <w:rPr>
          <w:noProof/>
        </w:rPr>
        <w:t>c)</w:t>
      </w:r>
      <w:r>
        <w:rPr>
          <w:noProof/>
        </w:rPr>
        <w:tab/>
        <w:t>nesmie byť v konflikte záujmov vo vzťahu k právnemu subjektu, ktorého súčasťou je národná agentúra uvedená v článku 23, a z hľadiska svojich funkcií musí byť nezávislý od právnickej osoby, ktorej súčasťou je národná agentúra.</w:t>
      </w:r>
    </w:p>
    <w:p>
      <w:pPr>
        <w:pStyle w:val="ManualNumPar1"/>
        <w:rPr>
          <w:noProof/>
        </w:rPr>
      </w:pPr>
      <w:r>
        <w:t>4.</w:t>
      </w:r>
      <w:r>
        <w:tab/>
      </w:r>
      <w:r>
        <w:rPr>
          <w:noProof/>
        </w:rPr>
        <w:t>Nezávislý audítorský subjekt poskytne Komisii a jej zástupcom, ako aj Dvoru audítorov úplný prístup k všetkým dokumentom a správam na podporu audítorského stanoviska, ktoré vydáva k vyhláseniu riadiaceho subjektu národnej agentúry.</w:t>
      </w:r>
    </w:p>
    <w:p>
      <w:pPr>
        <w:pStyle w:val="Titrearticle"/>
        <w:spacing w:before="120"/>
        <w:rPr>
          <w:noProof/>
        </w:rPr>
      </w:pPr>
      <w:r>
        <w:rPr>
          <w:noProof/>
        </w:rPr>
        <w:t>KAPITOLA X</w:t>
      </w:r>
    </w:p>
    <w:p>
      <w:pPr>
        <w:pStyle w:val="Titrearticle"/>
        <w:spacing w:before="120"/>
        <w:rPr>
          <w:noProof/>
        </w:rPr>
      </w:pPr>
      <w:r>
        <w:rPr>
          <w:i w:val="0"/>
          <w:noProof/>
        </w:rPr>
        <w:t xml:space="preserve"> </w:t>
      </w:r>
      <w:r>
        <w:rPr>
          <w:noProof/>
        </w:rPr>
        <w:t>SYSTÉM KONTROLY</w:t>
      </w:r>
    </w:p>
    <w:p>
      <w:pPr>
        <w:pStyle w:val="Titrearticle"/>
        <w:spacing w:before="120"/>
        <w:rPr>
          <w:noProof/>
        </w:rPr>
      </w:pPr>
      <w:r>
        <w:rPr>
          <w:noProof/>
        </w:rPr>
        <w:t>Článok 26</w:t>
      </w:r>
    </w:p>
    <w:p>
      <w:pPr>
        <w:pStyle w:val="Titrearticle"/>
        <w:spacing w:before="120"/>
        <w:rPr>
          <w:noProof/>
        </w:rPr>
      </w:pPr>
      <w:r>
        <w:rPr>
          <w:noProof/>
        </w:rPr>
        <w:t>Zásady systému kontroly</w:t>
      </w:r>
    </w:p>
    <w:p>
      <w:pPr>
        <w:pStyle w:val="ManualNumPar1"/>
        <w:rPr>
          <w:noProof/>
        </w:rPr>
      </w:pPr>
      <w:r>
        <w:t>1.</w:t>
      </w:r>
      <w:r>
        <w:tab/>
      </w:r>
      <w:r>
        <w:rPr>
          <w:noProof/>
        </w:rPr>
        <w:t>Komisia je zodpovedná za dozorné kontroly v súvislosti s akciami Európskeho zboru solidarity riadenými národnými agentúrami. Stanoví minimálne požiadavky na kontroly vykonávané národnou agentúrou a nezávislým audítorským subjektom.</w:t>
      </w:r>
    </w:p>
    <w:p>
      <w:pPr>
        <w:pStyle w:val="ManualNumPar1"/>
        <w:rPr>
          <w:noProof/>
        </w:rPr>
      </w:pPr>
      <w:r>
        <w:t>2.</w:t>
      </w:r>
      <w:r>
        <w:tab/>
      </w:r>
      <w:r>
        <w:rPr>
          <w:noProof/>
        </w:rPr>
        <w:t>Národné agentúry sú zodpovedné za primárne kontroly prijímateľov grantov na akcie Európskeho zboru solidarity, ktoré im boli zverené. Z týchto kontrol musí vyplývať primerané uistenie, že udelené granty sa využívajú v súlade s ich určením a s platnými pravidlami Únie.</w:t>
      </w:r>
    </w:p>
    <w:p>
      <w:pPr>
        <w:pStyle w:val="ManualNumPar1"/>
        <w:rPr>
          <w:noProof/>
        </w:rPr>
      </w:pPr>
      <w:r>
        <w:t>3.</w:t>
      </w:r>
      <w:r>
        <w:tab/>
      </w:r>
      <w:r>
        <w:rPr>
          <w:noProof/>
        </w:rPr>
        <w:t>Pokiaľ ide o finančné prostriedky prevedené na národné agentúry, Komisia zabezpečí riadnu koordináciu svojich kontrol s vnútroštátnymi orgánmi a národnými agentúrami na základe zásady jednotného auditu a v nadväznosti na analýzu založenú na hodnotení rizika. Toto ustanovenie sa nevzťahuje na vyšetrovania vykonávané Európskym úradom pre boj proti podvodom (OLAF).</w:t>
      </w:r>
    </w:p>
    <w:p>
      <w:pPr>
        <w:pStyle w:val="Titrearticle"/>
        <w:spacing w:before="120"/>
        <w:rPr>
          <w:noProof/>
        </w:rPr>
      </w:pPr>
      <w:r>
        <w:rPr>
          <w:noProof/>
        </w:rPr>
        <w:t>Článok 27</w:t>
      </w:r>
    </w:p>
    <w:p>
      <w:pPr>
        <w:pStyle w:val="Titrearticle"/>
        <w:spacing w:before="120"/>
        <w:rPr>
          <w:noProof/>
        </w:rPr>
      </w:pPr>
      <w:r>
        <w:rPr>
          <w:noProof/>
        </w:rPr>
        <w:t>Ochrana finančných záujmov Únie</w:t>
      </w:r>
    </w:p>
    <w:p>
      <w:pPr>
        <w:rPr>
          <w:noProof/>
        </w:rPr>
      </w:pPr>
      <w:r>
        <w:rPr>
          <w:noProof/>
        </w:rPr>
        <w:t>Ak sa tretia krajina zúčastňuje na programe na základe rozhodnutia podľa medzinárodnej dohody alebo na základe akéhokoľvek iného právneho nástroja, tretia krajina udelí potrebné práva a prístup, ktoré sa požadujú pre zodpovedného povoľujúceho úradníka, Európsky úrad pre boj proti podvodom (OLAF) a Európsky dvor audítorov, aby mohli v plnej miere vykonávať svoje príslušné právomoci. V prípade úradu OLAF takéto práva zahŕňajú právo vykonávať vyšetrovania vrátane kontrol a inšpekcií na mieste podľa nariadenia Európskeho parlamentu a Rady (EÚ, Euratom) č. 883/2013 o vyšetrovaniach vykonávaných Európskym úradom pre boj proti podvodom (OLAF).</w:t>
      </w:r>
    </w:p>
    <w:p>
      <w:pPr>
        <w:pStyle w:val="Titrearticle"/>
        <w:spacing w:before="120"/>
        <w:rPr>
          <w:noProof/>
        </w:rPr>
      </w:pPr>
      <w:r>
        <w:rPr>
          <w:noProof/>
        </w:rPr>
        <w:t>KAPITOLA XI</w:t>
      </w:r>
    </w:p>
    <w:p>
      <w:pPr>
        <w:pStyle w:val="Titrearticle"/>
        <w:spacing w:before="120"/>
        <w:rPr>
          <w:noProof/>
        </w:rPr>
      </w:pPr>
      <w:r>
        <w:rPr>
          <w:noProof/>
        </w:rPr>
        <w:t>KOMPLEMENTARITA</w:t>
      </w:r>
    </w:p>
    <w:p>
      <w:pPr>
        <w:pStyle w:val="Titrearticle"/>
        <w:spacing w:before="120"/>
        <w:rPr>
          <w:noProof/>
        </w:rPr>
      </w:pPr>
      <w:r>
        <w:rPr>
          <w:noProof/>
        </w:rPr>
        <w:t>Článok 28</w:t>
      </w:r>
    </w:p>
    <w:p>
      <w:pPr>
        <w:pStyle w:val="Titrearticle"/>
        <w:spacing w:before="120"/>
        <w:rPr>
          <w:noProof/>
        </w:rPr>
      </w:pPr>
      <w:r>
        <w:rPr>
          <w:noProof/>
        </w:rPr>
        <w:t>Komplementarita akcií Únie</w:t>
      </w:r>
    </w:p>
    <w:p>
      <w:pPr>
        <w:pStyle w:val="ManualNumPar1"/>
        <w:rPr>
          <w:noProof/>
        </w:rPr>
      </w:pPr>
      <w:r>
        <w:t>1.</w:t>
      </w:r>
      <w:r>
        <w:tab/>
      </w:r>
      <w:r>
        <w:rPr>
          <w:noProof/>
        </w:rPr>
        <w:t>Akcie Európskeho zboru solidarity musia byť konzistentné a komplementárne s príslušnými politikami, nástrojmi a programami, najmä s programom Erasmus, ako aj s existujúcimi sieťami na úrovni Únie relevantnými pre činnosti Európskeho zboru solidarity.</w:t>
      </w:r>
    </w:p>
    <w:p>
      <w:pPr>
        <w:pStyle w:val="ManualNumPar1"/>
        <w:rPr>
          <w:noProof/>
        </w:rPr>
      </w:pPr>
      <w:r>
        <w:t>2.</w:t>
      </w:r>
      <w:r>
        <w:tab/>
      </w:r>
      <w:r>
        <w:rPr>
          <w:noProof/>
        </w:rPr>
        <w:t>Akcie Európskeho zboru solidarity musia byť konzistentné a komplementárne s príslušnými politikami, programami a nástrojmi na vnútroštátnej úrovni v účastníckych krajinách. Komisia, vnútroštátne orgány a národné agentúry si na tento účel vymieňajú informácie o existujúcich vnútroštátnych systémoch a prioritách týkajúcich sa solidarity a mládeže na jednej strane a o akciách Európskeho zboru solidarity na druhej strane, a to s cieľom nadviazať na relevantné osvedčené postupy a dosiahnuť efektívnosť a účinnosť.</w:t>
      </w:r>
    </w:p>
    <w:p>
      <w:pPr>
        <w:pStyle w:val="ManualNumPar1"/>
        <w:rPr>
          <w:noProof/>
        </w:rPr>
      </w:pPr>
      <w:r>
        <w:t>3.</w:t>
      </w:r>
      <w:r>
        <w:tab/>
      </w:r>
      <w:r>
        <w:rPr>
          <w:noProof/>
        </w:rPr>
        <w:t>Akcie Európskeho zboru solidarity v tretích krajinách podľa článku 11 musia byť osobitne konzistentné a komplementárne s ostatnými oblasťami vonkajších činností Únie, najmä s politikou humanitárnej pomoci, rozvojovej spolupráce, rozširovania, európskou susedskou politikou a mechanizmom Únie v oblasti civilnej ochrany.</w:t>
      </w:r>
    </w:p>
    <w:p>
      <w:pPr>
        <w:pStyle w:val="ManualNumPar1"/>
        <w:rPr>
          <w:noProof/>
        </w:rPr>
      </w:pPr>
      <w:r>
        <w:t>4.</w:t>
      </w:r>
      <w:r>
        <w:tab/>
      </w:r>
      <w:r>
        <w:rPr>
          <w:noProof/>
        </w:rPr>
        <w:t>Na akciu, na ktorú sa poskytol príspevok z prostriedkov programu, možno takisto poskytnúť príspevok z prostriedkov akéhokoľvek iného programu Únie, ak tieto príspevky nepokrývajú tie isté náklady. Pravidlá každého prispievajúceho programu Únie sa uplatňujú na jeho príslušný príspevok na akciu. Kumulatívne financovanie nesmie prekročiť celkové oprávnené náklady akcie a podporu z rôznych programov Únie možno vypočítať na pomernom základe v súlade s dokumentmi, v ktorých sa stanovujú podmienky podpory.</w:t>
      </w:r>
    </w:p>
    <w:p>
      <w:pPr>
        <w:pStyle w:val="ManualNumPar1"/>
        <w:rPr>
          <w:noProof/>
        </w:rPr>
      </w:pPr>
      <w:r>
        <w:t>5.</w:t>
      </w:r>
      <w:r>
        <w:tab/>
      </w:r>
      <w:r>
        <w:rPr>
          <w:noProof/>
        </w:rPr>
        <w:t>Ak program a európske štrukturálne a investičné fondy uvedené v článku 1 [nariadenia (EÚ) XX VN] spoločne poskytujú finančnú podporu na jednu akciu, táto akcia sa implementuje v súlade s pravidlami stanovenými v tomto nariadení vrátane pravidiel o vymáhaní neoprávnene vyplatených súm.</w:t>
      </w:r>
    </w:p>
    <w:p>
      <w:pPr>
        <w:pStyle w:val="ManualNumPar1"/>
        <w:rPr>
          <w:noProof/>
        </w:rPr>
      </w:pPr>
      <w:r>
        <w:t>6.</w:t>
      </w:r>
      <w:r>
        <w:tab/>
      </w:r>
      <w:r>
        <w:rPr>
          <w:noProof/>
        </w:rPr>
        <w:t>Na akcie oprávnené v rámci programu, ktoré boli posúdené vo výzve na predkladanie návrhov v rámci programu a ktoré spĺňajú minimálne kvalitatívne požiadavky uvedenej výzvy na predkladanie návrhov, ale ktoré nie sú financované z dôvodu rozpočtových obmedzení, sa môže poskytnúť podpora z Európskeho fondu regionálneho rozvoja, Kohézneho fondu, Európskeho sociálneho fondu+ alebo Európskeho poľnohospodárskeho fondu pre rozvoj vidieka v súlade s článkom [65] ods. 7 nariadenia (EÚ) XX [všeobecné nariadenie] a článkom [8] nariadenia (EÚ) XX [o financovaní, riadení a monitorovaní spoločnej poľnohospodárskej politiky] za predpokladu, že takéto akcie sú v súlade s cieľmi príslušného programu. Uplatňujú sa pravidlá fondu, z ktorého sa poskytuje podpora.</w:t>
      </w:r>
    </w:p>
    <w:p>
      <w:pPr>
        <w:pStyle w:val="Titrearticle"/>
        <w:spacing w:before="120"/>
        <w:rPr>
          <w:noProof/>
        </w:rPr>
      </w:pPr>
      <w:r>
        <w:rPr>
          <w:noProof/>
        </w:rPr>
        <w:t>KAPITOLA XII</w:t>
      </w:r>
    </w:p>
    <w:p>
      <w:pPr>
        <w:pStyle w:val="Titrearticle"/>
        <w:spacing w:before="120"/>
        <w:rPr>
          <w:noProof/>
        </w:rPr>
      </w:pPr>
      <w:r>
        <w:rPr>
          <w:noProof/>
        </w:rPr>
        <w:t>PRECHODNÉ A ZÁVEREČNÉ USTANOVENIA</w:t>
      </w:r>
    </w:p>
    <w:p>
      <w:pPr>
        <w:pStyle w:val="Titrearticle"/>
        <w:spacing w:before="120"/>
        <w:rPr>
          <w:noProof/>
        </w:rPr>
      </w:pPr>
      <w:r>
        <w:rPr>
          <w:noProof/>
        </w:rPr>
        <w:t>Článok 29</w:t>
      </w:r>
    </w:p>
    <w:p>
      <w:pPr>
        <w:pStyle w:val="Titrearticle"/>
        <w:spacing w:before="120"/>
        <w:rPr>
          <w:noProof/>
        </w:rPr>
      </w:pPr>
      <w:r>
        <w:rPr>
          <w:noProof/>
        </w:rPr>
        <w:t>Vykonávanie delegovania právomoci</w:t>
      </w:r>
    </w:p>
    <w:p>
      <w:pPr>
        <w:pStyle w:val="ManualNumPar1"/>
        <w:rPr>
          <w:noProof/>
        </w:rPr>
      </w:pPr>
      <w:r>
        <w:t>1.</w:t>
      </w:r>
      <w:r>
        <w:tab/>
      </w:r>
      <w:r>
        <w:rPr>
          <w:noProof/>
        </w:rPr>
        <w:t>Komisii sa udeľuje právomoc prijímať delegované akty za podmienok stanovených v tomto článku.</w:t>
      </w:r>
    </w:p>
    <w:p>
      <w:pPr>
        <w:pStyle w:val="ManualNumPar1"/>
        <w:rPr>
          <w:noProof/>
        </w:rPr>
      </w:pPr>
      <w:r>
        <w:t>2.</w:t>
      </w:r>
      <w:r>
        <w:tab/>
      </w:r>
      <w:r>
        <w:rPr>
          <w:noProof/>
        </w:rPr>
        <w:t>Právomoc prijímať delegované akty uvedené v článku 19 sa Komisii udeľuje na obdobie trvania programu.</w:t>
      </w:r>
    </w:p>
    <w:p>
      <w:pPr>
        <w:pStyle w:val="ManualNumPar1"/>
        <w:rPr>
          <w:noProof/>
        </w:rPr>
      </w:pPr>
      <w:r>
        <w:t>3.</w:t>
      </w:r>
      <w:r>
        <w:tab/>
      </w:r>
      <w:r>
        <w:rPr>
          <w:noProof/>
        </w:rPr>
        <w:t xml:space="preserve">Delegovanie právomoci uvedené v článku 19 môže Európsky parlament alebo Rada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určený. Nie je ním dotknutá platnosť delegovaných aktov, ktoré už nadobudli účinnosť.</w:t>
      </w:r>
    </w:p>
    <w:p>
      <w:pPr>
        <w:pStyle w:val="ManualNumPar1"/>
        <w:rPr>
          <w:noProof/>
        </w:rPr>
      </w:pPr>
      <w:r>
        <w:t>4.</w:t>
      </w:r>
      <w:r>
        <w:tab/>
      </w:r>
      <w:r>
        <w:rPr>
          <w:noProof/>
        </w:rPr>
        <w:t>Pred prijatím delegovaného aktu Komisia konzultuje s expertmi, ktorých určí každý členský štát v súlade so zásadami stanovenými v Medziinštitucionálnej dohode z 13. apríla 2016 o lepšej tvorbe práva.</w:t>
      </w:r>
    </w:p>
    <w:p>
      <w:pPr>
        <w:pStyle w:val="ManualNumPar1"/>
        <w:rPr>
          <w:noProof/>
        </w:rPr>
      </w:pPr>
      <w:r>
        <w:t>5.</w:t>
      </w:r>
      <w:r>
        <w:tab/>
      </w:r>
      <w:r>
        <w:rPr>
          <w:noProof/>
        </w:rPr>
        <w:t>Komisia oznamuje delegovaný akt hneď po prijatí súčasne Európskemu parlamentu a Rade.</w:t>
      </w:r>
    </w:p>
    <w:p>
      <w:pPr>
        <w:pStyle w:val="ManualNumPar1"/>
        <w:rPr>
          <w:noProof/>
        </w:rPr>
      </w:pPr>
      <w:r>
        <w:t>6.</w:t>
      </w:r>
      <w:r>
        <w:tab/>
      </w:r>
      <w:r>
        <w:rPr>
          <w:noProof/>
        </w:rPr>
        <w:t>Delegovaný akt prijatý podľa článku 19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Style w:val="Titrearticle"/>
        <w:spacing w:before="120"/>
        <w:rPr>
          <w:noProof/>
        </w:rPr>
      </w:pPr>
      <w:r>
        <w:rPr>
          <w:noProof/>
        </w:rPr>
        <w:t>Článok 30</w:t>
      </w:r>
    </w:p>
    <w:p>
      <w:pPr>
        <w:pStyle w:val="Titrearticle"/>
        <w:spacing w:before="120"/>
        <w:rPr>
          <w:noProof/>
        </w:rPr>
      </w:pPr>
      <w:r>
        <w:rPr>
          <w:noProof/>
        </w:rPr>
        <w:t>Postup výboru</w:t>
      </w:r>
    </w:p>
    <w:p>
      <w:pPr>
        <w:pStyle w:val="ManualNumPar1"/>
        <w:rPr>
          <w:noProof/>
        </w:rPr>
      </w:pPr>
      <w:r>
        <w:t>1.</w:t>
      </w:r>
      <w:r>
        <w:tab/>
      </w:r>
      <w:r>
        <w:rPr>
          <w:noProof/>
        </w:rPr>
        <w:t>Komisii pomáha výbor v zmysle nariadenia (EÚ) č. 182/2011.</w:t>
      </w:r>
    </w:p>
    <w:p>
      <w:pPr>
        <w:pStyle w:val="ManualNumPar1"/>
        <w:rPr>
          <w:noProof/>
        </w:rPr>
      </w:pPr>
      <w:r>
        <w:t>2.</w:t>
      </w:r>
      <w:r>
        <w:tab/>
      </w:r>
      <w:r>
        <w:rPr>
          <w:noProof/>
        </w:rPr>
        <w:t>Ak sa odkazuje na tento odsek, uplatňuje sa článok 5 nariadenia (EÚ) č. 182/2011.</w:t>
      </w:r>
    </w:p>
    <w:p>
      <w:pPr>
        <w:pStyle w:val="Titrearticle"/>
        <w:spacing w:before="120"/>
        <w:rPr>
          <w:noProof/>
        </w:rPr>
      </w:pPr>
      <w:r>
        <w:rPr>
          <w:noProof/>
        </w:rPr>
        <w:t>Článok 31</w:t>
      </w:r>
    </w:p>
    <w:p>
      <w:pPr>
        <w:pStyle w:val="Titrearticle"/>
        <w:spacing w:before="120"/>
        <w:rPr>
          <w:noProof/>
        </w:rPr>
      </w:pPr>
      <w:r>
        <w:rPr>
          <w:noProof/>
        </w:rPr>
        <w:t>Zrušenie</w:t>
      </w:r>
    </w:p>
    <w:p>
      <w:pPr>
        <w:rPr>
          <w:noProof/>
        </w:rPr>
      </w:pPr>
      <w:r>
        <w:rPr>
          <w:noProof/>
        </w:rPr>
        <w:t>Nariadenie (EÚ) [nariadenie o Európskom zbore solidarity] a nariadenie (EÚ) č. 375/2014 sa zrušujú s účinnosťou od 1. januára 2021.</w:t>
      </w:r>
    </w:p>
    <w:p>
      <w:pPr>
        <w:pStyle w:val="Titrearticle"/>
        <w:spacing w:before="120"/>
        <w:rPr>
          <w:noProof/>
        </w:rPr>
      </w:pPr>
      <w:r>
        <w:rPr>
          <w:noProof/>
        </w:rPr>
        <w:t>Článok 32</w:t>
      </w:r>
    </w:p>
    <w:p>
      <w:pPr>
        <w:pStyle w:val="Titrearticle"/>
        <w:spacing w:before="120"/>
        <w:rPr>
          <w:noProof/>
        </w:rPr>
      </w:pPr>
      <w:r>
        <w:rPr>
          <w:noProof/>
        </w:rPr>
        <w:t>Prechodné ustanovenia</w:t>
      </w:r>
    </w:p>
    <w:p>
      <w:pPr>
        <w:pStyle w:val="ManualNumPar1"/>
        <w:rPr>
          <w:noProof/>
        </w:rPr>
      </w:pPr>
      <w:r>
        <w:t>1.</w:t>
      </w:r>
      <w:r>
        <w:tab/>
      </w:r>
      <w:r>
        <w:rPr>
          <w:noProof/>
        </w:rPr>
        <w:t>Toto nariadenie nemá až do ukončenia dotknutých akcií vplyv na ich pokračovanie ani zmenu podľa [nariadenia o Európskom zbore solidarity] alebo podľa nariadenia (EÚ) č. 375/2014. Uvedené nariadenia sa budú na tieto akcie uplatňovať až do ich ukončenia.</w:t>
      </w:r>
    </w:p>
    <w:p>
      <w:pPr>
        <w:pStyle w:val="ManualNumPar1"/>
        <w:rPr>
          <w:noProof/>
        </w:rPr>
      </w:pPr>
      <w:r>
        <w:t>2.</w:t>
      </w:r>
      <w:r>
        <w:tab/>
      </w:r>
      <w:r>
        <w:rPr>
          <w:noProof/>
        </w:rPr>
        <w:t>Z finančného krytia programu sa môžu uhrádzať aj výdavky na technickú a administratívnu pomoc potrebné na zabezpečenie prechodu medzi programom a opatreniami prijatými podľa [nariadenia o Európskom zbore solidarity] alebo podľa nariadenia (EÚ) č. 375/2014.</w:t>
      </w:r>
    </w:p>
    <w:p>
      <w:pPr>
        <w:pStyle w:val="ManualNumPar1"/>
        <w:rPr>
          <w:noProof/>
        </w:rPr>
      </w:pPr>
      <w:r>
        <w:t>3.</w:t>
      </w:r>
      <w:r>
        <w:tab/>
      </w:r>
      <w:r>
        <w:rPr>
          <w:noProof/>
        </w:rPr>
        <w:t>V prípade potreby možno do rozpočtu na obdobie po roku 2027 zahrnúť rozpočtové prostriedky na pokrytie výdavkov uvedených v článku 12 ods. 2, aby sa umožnilo riadenie akcií a činností, ktoré sa neskončia do 31. decembra 2027.</w:t>
      </w:r>
    </w:p>
    <w:p>
      <w:pPr>
        <w:pStyle w:val="ManualNumPar1"/>
        <w:rPr>
          <w:i/>
          <w:iCs/>
          <w:noProof/>
        </w:rPr>
      </w:pPr>
      <w:r>
        <w:t>4.</w:t>
      </w:r>
      <w:r>
        <w:tab/>
      </w:r>
      <w:r>
        <w:rPr>
          <w:noProof/>
        </w:rPr>
        <w:t>Členské štáty na vnútroštátnej úrovni zabezpečia nerušený prechod medzi akciami implementovanými v súvislosti s programom Európskeho zboru solidarity (2018 – 2020) a akciami, ktoré sa majú implementovať v rámci tohto programu.</w:t>
      </w:r>
    </w:p>
    <w:p>
      <w:pPr>
        <w:pStyle w:val="Titrearticle"/>
        <w:spacing w:before="120"/>
        <w:rPr>
          <w:i w:val="0"/>
          <w:iCs/>
          <w:noProof/>
          <w:u w:color="0000FF"/>
        </w:rPr>
      </w:pPr>
      <w:r>
        <w:rPr>
          <w:noProof/>
        </w:rPr>
        <w:t>Článok 33</w:t>
      </w:r>
    </w:p>
    <w:p>
      <w:pPr>
        <w:pStyle w:val="Titrearticle"/>
        <w:spacing w:before="120"/>
        <w:rPr>
          <w:noProof/>
        </w:rPr>
      </w:pPr>
      <w:r>
        <w:rPr>
          <w:noProof/>
        </w:rPr>
        <w:t>Nadobudnutie účinnosti</w:t>
      </w:r>
    </w:p>
    <w:p>
      <w:pPr>
        <w:rPr>
          <w:noProof/>
        </w:rPr>
      </w:pPr>
      <w:r>
        <w:rPr>
          <w:noProof/>
        </w:rPr>
        <w:t>Toto nariadenie nadobúda účinnosť [dvadsiatym] dňom po jeho uverejnení v </w:t>
      </w:r>
      <w:r>
        <w:rPr>
          <w:i/>
          <w:noProof/>
        </w:rPr>
        <w:t>Úradnom vestníku Európskej únie</w:t>
      </w:r>
      <w:r>
        <w:rPr>
          <w:noProof/>
        </w:rPr>
        <w:t>.</w:t>
      </w:r>
    </w:p>
    <w:p>
      <w:pPr>
        <w:pStyle w:val="Applicationdirecte"/>
        <w:spacing w:before="120"/>
        <w:rPr>
          <w:noProof/>
        </w:rPr>
      </w:pPr>
      <w:r>
        <w:rPr>
          <w:noProof/>
        </w:rPr>
        <w:t>Toto nariadenie je záväzné v celom rozsahu a priamo uplatniteľné vo všetkých členských štátoch.</w:t>
      </w:r>
    </w:p>
    <w:p>
      <w:pPr>
        <w:pStyle w:val="Fait"/>
        <w:rPr>
          <w:noProof/>
        </w:rPr>
      </w:pPr>
      <w:r>
        <w:t>V Bruseli</w:t>
      </w:r>
    </w:p>
    <w:p>
      <w:pPr>
        <w:pStyle w:val="Institutionquisigne"/>
        <w:tabs>
          <w:tab w:val="clear" w:pos="4252"/>
          <w:tab w:val="left" w:pos="5387"/>
        </w:tabs>
        <w:spacing w:before="120" w:after="120"/>
        <w:rPr>
          <w:noProof/>
        </w:rPr>
      </w:pPr>
      <w:r>
        <w:rPr>
          <w:noProof/>
        </w:rPr>
        <w:t>Za Európsky parlament</w:t>
      </w:r>
      <w:r>
        <w:rPr>
          <w:noProof/>
        </w:rPr>
        <w:tab/>
        <w:t>Za Radu</w:t>
      </w:r>
    </w:p>
    <w:p>
      <w:pPr>
        <w:pStyle w:val="Personnequisigne"/>
        <w:tabs>
          <w:tab w:val="clear" w:pos="4252"/>
          <w:tab w:val="left" w:pos="5387"/>
        </w:tabs>
        <w:spacing w:before="120" w:after="120"/>
        <w:rPr>
          <w:noProof/>
        </w:rPr>
      </w:pPr>
      <w:r>
        <w:rPr>
          <w:noProof/>
        </w:rPr>
        <w:t>predseda</w:t>
      </w:r>
      <w:r>
        <w:rPr>
          <w:noProof/>
        </w:rPr>
        <w:tab/>
        <w:t>predseda</w:t>
      </w:r>
    </w:p>
    <w:p>
      <w:pPr>
        <w:rPr>
          <w:noProof/>
        </w:rPr>
      </w:pPr>
      <w:r>
        <w:rPr>
          <w:noProof/>
        </w:rPr>
        <w:br w:type="page"/>
      </w:r>
    </w:p>
    <w:p>
      <w:pPr>
        <w:pStyle w:val="Fichefinanciretitre"/>
        <w:rPr>
          <w:noProof/>
        </w:rPr>
      </w:pPr>
      <w:r>
        <w:rPr>
          <w:noProof/>
        </w:rPr>
        <w:t>LEGISLATÍVNY FINANČNÝ VÝKAZ</w:t>
      </w:r>
    </w:p>
    <w:p>
      <w:pPr>
        <w:pStyle w:val="ManualHeading1"/>
        <w:spacing w:before="120"/>
        <w:rPr>
          <w:noProof/>
        </w:rPr>
      </w:pPr>
      <w:r>
        <w:rPr>
          <w:noProof/>
        </w:rPr>
        <w:t>1.</w:t>
      </w:r>
      <w:r>
        <w:rPr>
          <w:noProof/>
        </w:rPr>
        <w:tab/>
        <w:t>RÁMEC NÁVRHU/INICIATÍVY</w:t>
      </w:r>
    </w:p>
    <w:p>
      <w:pPr>
        <w:pStyle w:val="ManualHeading2"/>
        <w:rPr>
          <w:b w:val="0"/>
          <w:bCs/>
          <w:noProof/>
        </w:rPr>
      </w:pPr>
      <w:r>
        <w:rPr>
          <w:noProof/>
        </w:rPr>
        <w:tab/>
      </w:r>
      <w:r>
        <w:rPr>
          <w:b w:val="0"/>
          <w:noProof/>
        </w:rPr>
        <w:t>1.1.</w:t>
      </w:r>
      <w:r>
        <w:rPr>
          <w:noProof/>
        </w:rPr>
        <w:tab/>
      </w:r>
      <w:r>
        <w:rPr>
          <w:b w:val="0"/>
          <w:noProof/>
        </w:rPr>
        <w:t>Názov návrhu/iniciatívy</w:t>
      </w:r>
    </w:p>
    <w:p>
      <w:pPr>
        <w:pStyle w:val="ManualHeading2"/>
        <w:rPr>
          <w:b w:val="0"/>
          <w:bCs/>
          <w:noProof/>
        </w:rPr>
      </w:pPr>
      <w:r>
        <w:rPr>
          <w:noProof/>
        </w:rPr>
        <w:tab/>
      </w:r>
      <w:r>
        <w:rPr>
          <w:b w:val="0"/>
          <w:noProof/>
        </w:rPr>
        <w:t>1.2.</w:t>
      </w:r>
      <w:r>
        <w:rPr>
          <w:noProof/>
        </w:rPr>
        <w:tab/>
      </w:r>
      <w:r>
        <w:rPr>
          <w:b w:val="0"/>
          <w:noProof/>
        </w:rPr>
        <w:t xml:space="preserve">Príslušné oblasti politiky </w:t>
      </w:r>
      <w:r>
        <w:rPr>
          <w:b w:val="0"/>
          <w:i/>
          <w:noProof/>
        </w:rPr>
        <w:t>(programové zoskupenie)</w:t>
      </w:r>
    </w:p>
    <w:p>
      <w:pPr>
        <w:pStyle w:val="ManualHeading2"/>
        <w:rPr>
          <w:b w:val="0"/>
          <w:bCs/>
          <w:noProof/>
        </w:rPr>
      </w:pPr>
      <w:r>
        <w:rPr>
          <w:noProof/>
        </w:rPr>
        <w:tab/>
      </w:r>
      <w:r>
        <w:rPr>
          <w:b w:val="0"/>
          <w:noProof/>
        </w:rPr>
        <w:t>1.3.</w:t>
      </w:r>
      <w:r>
        <w:rPr>
          <w:noProof/>
        </w:rPr>
        <w:tab/>
      </w:r>
      <w:r>
        <w:rPr>
          <w:b w:val="0"/>
          <w:noProof/>
        </w:rPr>
        <w:t>Druh návrhu/iniciatívy</w:t>
      </w:r>
    </w:p>
    <w:p>
      <w:pPr>
        <w:pStyle w:val="ManualHeading2"/>
        <w:rPr>
          <w:b w:val="0"/>
          <w:bCs/>
          <w:noProof/>
        </w:rPr>
      </w:pPr>
      <w:r>
        <w:rPr>
          <w:noProof/>
        </w:rPr>
        <w:tab/>
      </w:r>
      <w:r>
        <w:rPr>
          <w:b w:val="0"/>
          <w:noProof/>
        </w:rPr>
        <w:t>1.4.</w:t>
      </w:r>
      <w:r>
        <w:rPr>
          <w:noProof/>
        </w:rPr>
        <w:tab/>
      </w:r>
      <w:r>
        <w:rPr>
          <w:b w:val="0"/>
          <w:noProof/>
        </w:rPr>
        <w:t>Dôvody návrhu/iniciatívy</w:t>
      </w:r>
    </w:p>
    <w:p>
      <w:pPr>
        <w:pStyle w:val="ManualHeading2"/>
        <w:rPr>
          <w:b w:val="0"/>
          <w:bCs/>
          <w:noProof/>
        </w:rPr>
      </w:pPr>
      <w:r>
        <w:rPr>
          <w:noProof/>
        </w:rPr>
        <w:tab/>
      </w:r>
      <w:r>
        <w:rPr>
          <w:b w:val="0"/>
          <w:noProof/>
        </w:rPr>
        <w:t>1.5.</w:t>
      </w:r>
      <w:r>
        <w:rPr>
          <w:noProof/>
        </w:rPr>
        <w:tab/>
      </w:r>
      <w:r>
        <w:rPr>
          <w:b w:val="0"/>
          <w:noProof/>
        </w:rPr>
        <w:t>Trvanie a finančný vplyv</w:t>
      </w:r>
    </w:p>
    <w:p>
      <w:pPr>
        <w:pStyle w:val="ManualHeading2"/>
        <w:rPr>
          <w:b w:val="0"/>
          <w:bCs/>
          <w:noProof/>
        </w:rPr>
      </w:pPr>
      <w:r>
        <w:rPr>
          <w:noProof/>
        </w:rPr>
        <w:tab/>
      </w:r>
      <w:r>
        <w:rPr>
          <w:b w:val="0"/>
          <w:noProof/>
        </w:rPr>
        <w:t>1.6.</w:t>
      </w:r>
      <w:r>
        <w:rPr>
          <w:noProof/>
        </w:rPr>
        <w:tab/>
      </w:r>
      <w:r>
        <w:rPr>
          <w:b w:val="0"/>
          <w:noProof/>
        </w:rPr>
        <w:t>Plánovaný spôsob riadenia</w:t>
      </w:r>
    </w:p>
    <w:p>
      <w:pPr>
        <w:pStyle w:val="ManualHeading1"/>
        <w:spacing w:before="120"/>
        <w:rPr>
          <w:noProof/>
        </w:rPr>
      </w:pPr>
      <w:r>
        <w:rPr>
          <w:noProof/>
        </w:rPr>
        <w:t>2.</w:t>
      </w:r>
      <w:r>
        <w:rPr>
          <w:noProof/>
        </w:rPr>
        <w:tab/>
        <w:t>OPATRENIA V OBLASTI RIADENIA</w:t>
      </w:r>
    </w:p>
    <w:p>
      <w:pPr>
        <w:pStyle w:val="ManualHeading2"/>
        <w:rPr>
          <w:b w:val="0"/>
          <w:bCs/>
          <w:noProof/>
        </w:rPr>
      </w:pPr>
      <w:r>
        <w:rPr>
          <w:noProof/>
        </w:rPr>
        <w:tab/>
      </w:r>
      <w:r>
        <w:rPr>
          <w:b w:val="0"/>
          <w:noProof/>
        </w:rPr>
        <w:t>2.1.</w:t>
      </w:r>
      <w:r>
        <w:rPr>
          <w:noProof/>
        </w:rPr>
        <w:tab/>
      </w:r>
      <w:r>
        <w:rPr>
          <w:b w:val="0"/>
          <w:noProof/>
        </w:rPr>
        <w:t>Opatrenia týkajúce sa monitorovania a predkladania správ</w:t>
      </w:r>
    </w:p>
    <w:p>
      <w:pPr>
        <w:pStyle w:val="ManualHeading2"/>
        <w:rPr>
          <w:b w:val="0"/>
          <w:bCs/>
          <w:noProof/>
        </w:rPr>
      </w:pPr>
      <w:r>
        <w:rPr>
          <w:noProof/>
        </w:rPr>
        <w:tab/>
      </w:r>
      <w:r>
        <w:rPr>
          <w:b w:val="0"/>
          <w:noProof/>
        </w:rPr>
        <w:t>2.2.</w:t>
      </w:r>
      <w:r>
        <w:rPr>
          <w:noProof/>
        </w:rPr>
        <w:tab/>
      </w:r>
      <w:r>
        <w:rPr>
          <w:b w:val="0"/>
          <w:noProof/>
        </w:rPr>
        <w:t>Systémy riadenia a kontroly</w:t>
      </w:r>
    </w:p>
    <w:p>
      <w:pPr>
        <w:pStyle w:val="ManualHeading2"/>
        <w:rPr>
          <w:b w:val="0"/>
          <w:bCs/>
          <w:noProof/>
        </w:rPr>
      </w:pPr>
      <w:r>
        <w:rPr>
          <w:noProof/>
        </w:rPr>
        <w:tab/>
      </w:r>
      <w:r>
        <w:rPr>
          <w:b w:val="0"/>
          <w:noProof/>
        </w:rPr>
        <w:t>2.3.</w:t>
      </w:r>
      <w:r>
        <w:rPr>
          <w:noProof/>
        </w:rPr>
        <w:tab/>
      </w:r>
      <w:r>
        <w:rPr>
          <w:b w:val="0"/>
          <w:noProof/>
        </w:rPr>
        <w:t>Opatrenia na predchádzanie podvodom a nezrovnalostiam</w:t>
      </w:r>
    </w:p>
    <w:p>
      <w:pPr>
        <w:pStyle w:val="ManualHeading1"/>
        <w:spacing w:before="120"/>
        <w:rPr>
          <w:noProof/>
        </w:rPr>
      </w:pPr>
      <w:r>
        <w:rPr>
          <w:noProof/>
        </w:rPr>
        <w:t>3.</w:t>
      </w:r>
      <w:r>
        <w:rPr>
          <w:noProof/>
        </w:rPr>
        <w:tab/>
        <w:t>ODHADOVANÝ FINANČNÝ VPLYV NÁVRHU/INICIATÍVY</w:t>
      </w:r>
    </w:p>
    <w:p>
      <w:pPr>
        <w:pStyle w:val="ManualHeading2"/>
        <w:rPr>
          <w:b w:val="0"/>
          <w:bCs/>
          <w:noProof/>
        </w:rPr>
      </w:pPr>
      <w:r>
        <w:rPr>
          <w:noProof/>
        </w:rPr>
        <w:tab/>
      </w:r>
      <w:r>
        <w:rPr>
          <w:b w:val="0"/>
          <w:noProof/>
        </w:rPr>
        <w:t>3.1.</w:t>
      </w:r>
      <w:r>
        <w:rPr>
          <w:noProof/>
        </w:rPr>
        <w:tab/>
      </w:r>
      <w:r>
        <w:rPr>
          <w:b w:val="0"/>
          <w:noProof/>
        </w:rPr>
        <w:t>Príslušné okruhy viacročného finančného rámca a rozpočtové riadky výdavkov</w:t>
      </w:r>
    </w:p>
    <w:p>
      <w:pPr>
        <w:pStyle w:val="ManualHeading2"/>
        <w:rPr>
          <w:noProof/>
        </w:rPr>
      </w:pPr>
      <w:r>
        <w:rPr>
          <w:noProof/>
        </w:rPr>
        <w:tab/>
      </w:r>
      <w:r>
        <w:rPr>
          <w:b w:val="0"/>
          <w:noProof/>
        </w:rPr>
        <w:t>3.2.</w:t>
      </w:r>
      <w:r>
        <w:rPr>
          <w:noProof/>
        </w:rPr>
        <w:tab/>
      </w:r>
      <w:r>
        <w:rPr>
          <w:b w:val="0"/>
          <w:noProof/>
        </w:rPr>
        <w:t>Odhadovaný vplyv na výdavky</w:t>
      </w:r>
    </w:p>
    <w:p>
      <w:pPr>
        <w:pStyle w:val="ManualHeading3"/>
        <w:rPr>
          <w:noProof/>
        </w:rPr>
      </w:pPr>
      <w:r>
        <w:rPr>
          <w:noProof/>
        </w:rPr>
        <w:tab/>
        <w:t>3.2.1.</w:t>
      </w:r>
      <w:r>
        <w:rPr>
          <w:noProof/>
        </w:rPr>
        <w:tab/>
        <w:t>Zhrnutie odhadovaného vplyvu na výdavky</w:t>
      </w:r>
    </w:p>
    <w:p>
      <w:pPr>
        <w:pStyle w:val="ManualHeading3"/>
        <w:rPr>
          <w:noProof/>
        </w:rPr>
      </w:pPr>
      <w:r>
        <w:rPr>
          <w:noProof/>
        </w:rPr>
        <w:tab/>
        <w:t>3.2.2.</w:t>
      </w:r>
      <w:r>
        <w:rPr>
          <w:noProof/>
        </w:rPr>
        <w:tab/>
        <w:t>Odhadovaný vplyv na administratívne rozpočtové prostriedky</w:t>
      </w:r>
    </w:p>
    <w:p>
      <w:pPr>
        <w:pStyle w:val="ManualHeading3"/>
        <w:rPr>
          <w:noProof/>
        </w:rPr>
      </w:pPr>
      <w:r>
        <w:rPr>
          <w:noProof/>
        </w:rPr>
        <w:tab/>
        <w:t>3.2.3.</w:t>
      </w:r>
      <w:r>
        <w:rPr>
          <w:noProof/>
        </w:rPr>
        <w:tab/>
        <w:t>Príspevky od tretích strán</w:t>
      </w:r>
    </w:p>
    <w:p>
      <w:pPr>
        <w:pStyle w:val="ManualHeading2"/>
        <w:jc w:val="left"/>
        <w:rPr>
          <w:noProof/>
        </w:rPr>
        <w:sectPr>
          <w:headerReference w:type="default" r:id="rId16"/>
          <w:footerReference w:type="default" r:id="rId17"/>
          <w:headerReference w:type="first" r:id="rId18"/>
          <w:footerReference w:type="first" r:id="rId19"/>
          <w:pgSz w:w="11900" w:h="16840"/>
          <w:pgMar w:top="709" w:right="992" w:bottom="851" w:left="993" w:header="709" w:footer="709" w:gutter="0"/>
          <w:pgNumType w:start="1"/>
          <w:cols w:space="720"/>
          <w:docGrid w:linePitch="326"/>
        </w:sectPr>
      </w:pPr>
      <w:r>
        <w:rPr>
          <w:noProof/>
        </w:rPr>
        <w:tab/>
      </w:r>
      <w:r>
        <w:rPr>
          <w:b w:val="0"/>
          <w:noProof/>
        </w:rPr>
        <w:t>3.3.</w:t>
      </w:r>
      <w:r>
        <w:rPr>
          <w:noProof/>
        </w:rPr>
        <w:tab/>
      </w:r>
      <w:r>
        <w:rPr>
          <w:b w:val="0"/>
          <w:noProof/>
        </w:rPr>
        <w:t>Odhadovaný vplyv na príjmy</w:t>
      </w:r>
    </w:p>
    <w:p>
      <w:pPr>
        <w:pStyle w:val="Text"/>
        <w:jc w:val="center"/>
        <w:rPr>
          <w:b/>
          <w:bCs/>
          <w:noProof/>
          <w:color w:val="auto"/>
          <w:u w:val="single"/>
        </w:rPr>
      </w:pPr>
      <w:r>
        <w:rPr>
          <w:b/>
          <w:noProof/>
          <w:color w:val="auto"/>
          <w:u w:val="single"/>
        </w:rPr>
        <w:t>LEGISLATÍVNY FINANČNÝ VÝKAZ</w:t>
      </w:r>
    </w:p>
    <w:p>
      <w:pPr>
        <w:pStyle w:val="ManualHeading1"/>
        <w:rPr>
          <w:noProof/>
        </w:rPr>
      </w:pPr>
      <w:r>
        <w:t>1.</w:t>
      </w:r>
      <w:r>
        <w:tab/>
      </w:r>
      <w:r>
        <w:rPr>
          <w:noProof/>
        </w:rPr>
        <w:t>RÁMEC NÁVRHU/INICIATÍVY</w:t>
      </w:r>
    </w:p>
    <w:p>
      <w:pPr>
        <w:pStyle w:val="ManualHeading2"/>
        <w:rPr>
          <w:noProof/>
        </w:rPr>
      </w:pPr>
      <w:r>
        <w:t>1.1.</w:t>
      </w:r>
      <w:r>
        <w:tab/>
      </w:r>
      <w:r>
        <w:rPr>
          <w:noProof/>
        </w:rPr>
        <w:t>Názov návrhu/iniciatívy</w:t>
      </w:r>
    </w:p>
    <w:p>
      <w:pPr>
        <w:pStyle w:val="Text1"/>
        <w:pBdr>
          <w:top w:val="single" w:sz="4" w:space="0" w:color="000000"/>
          <w:left w:val="single" w:sz="4" w:space="0" w:color="000000"/>
          <w:bottom w:val="single" w:sz="4" w:space="0" w:color="000000"/>
          <w:right w:val="single" w:sz="4" w:space="0" w:color="000000"/>
        </w:pBdr>
        <w:rPr>
          <w:noProof/>
        </w:rPr>
      </w:pPr>
      <w:r>
        <w:rPr>
          <w:noProof/>
        </w:rPr>
        <w:t>Návrh nariadenia Európskeho parlamentu a Rady, ktorý sa stanovuje program Európsky zbor solidarity</w:t>
      </w:r>
    </w:p>
    <w:p>
      <w:pPr>
        <w:pStyle w:val="ManualHeading2"/>
        <w:rPr>
          <w:noProof/>
        </w:rPr>
      </w:pPr>
      <w:r>
        <w:t>1.2.</w:t>
      </w:r>
      <w:r>
        <w:tab/>
      </w:r>
      <w:r>
        <w:rPr>
          <w:noProof/>
        </w:rPr>
        <w:t>Príslušné oblasti politiky (programové zoskupenie)</w:t>
      </w:r>
    </w:p>
    <w:p>
      <w:pPr>
        <w:pStyle w:val="Text1"/>
        <w:pBdr>
          <w:top w:val="single" w:sz="4" w:space="0" w:color="000000"/>
          <w:left w:val="single" w:sz="4" w:space="0" w:color="000000"/>
          <w:bottom w:val="single" w:sz="4" w:space="0" w:color="000000"/>
          <w:right w:val="single" w:sz="4" w:space="0" w:color="000000"/>
        </w:pBdr>
        <w:rPr>
          <w:noProof/>
        </w:rPr>
      </w:pPr>
      <w:r>
        <w:rPr>
          <w:noProof/>
        </w:rPr>
        <w:t>7. Investície do ľudí, sociálnej súdržnosti a hodnôt</w:t>
      </w:r>
    </w:p>
    <w:p>
      <w:pPr>
        <w:pStyle w:val="ManualHeading2"/>
        <w:rPr>
          <w:noProof/>
        </w:rPr>
      </w:pPr>
      <w:r>
        <w:t>1.3.</w:t>
      </w:r>
      <w:r>
        <w:tab/>
      </w:r>
      <w:r>
        <w:rPr>
          <w:noProof/>
        </w:rPr>
        <w:t>Návrh/iniciatíva sa týka:</w:t>
      </w:r>
    </w:p>
    <w:p>
      <w:pPr>
        <w:pStyle w:val="Text1"/>
        <w:rPr>
          <w:b/>
          <w:noProof/>
          <w:sz w:val="22"/>
        </w:rPr>
      </w:pPr>
      <w:r>
        <w:rPr>
          <w:noProof/>
          <w:sz w:val="22"/>
        </w:rPr>
        <w:sym w:font="Wingdings" w:char="F0FE"/>
      </w:r>
      <w:r>
        <w:rPr>
          <w:noProof/>
          <w:sz w:val="22"/>
        </w:rPr>
        <w:t xml:space="preserve"> </w:t>
      </w:r>
      <w:r>
        <w:rPr>
          <w:b/>
          <w:noProof/>
          <w:sz w:val="22"/>
        </w:rPr>
        <w:t>novej akcie</w:t>
      </w:r>
    </w:p>
    <w:p>
      <w:pPr>
        <w:pStyle w:val="Text1"/>
        <w:rPr>
          <w:b/>
          <w:noProof/>
          <w:sz w:val="22"/>
        </w:rPr>
      </w:pPr>
      <w:r>
        <w:rPr>
          <w:noProof/>
          <w:sz w:val="22"/>
        </w:rPr>
        <w:sym w:font="Wingdings" w:char="F0A8"/>
      </w:r>
      <w:r>
        <w:rPr>
          <w:noProof/>
          <w:sz w:val="22"/>
        </w:rPr>
        <w:t xml:space="preserve"> </w:t>
      </w:r>
      <w:r>
        <w:rPr>
          <w:b/>
          <w:noProof/>
          <w:sz w:val="22"/>
        </w:rPr>
        <w:t>novej akcie, ktorá nadväzuje na pilotný projekt/prípravnú akciu</w:t>
      </w:r>
      <w:r>
        <w:rPr>
          <w:rStyle w:val="FootnoteReference"/>
          <w:noProof/>
        </w:rPr>
        <w:footnoteReference w:id="36"/>
      </w:r>
    </w:p>
    <w:p>
      <w:pPr>
        <w:pStyle w:val="Text1"/>
        <w:rPr>
          <w:b/>
          <w:noProof/>
          <w:sz w:val="22"/>
        </w:rPr>
      </w:pPr>
      <w:r>
        <w:rPr>
          <w:noProof/>
          <w:sz w:val="22"/>
        </w:rPr>
        <w:sym w:font="Wingdings" w:char="F0A8"/>
      </w:r>
      <w:r>
        <w:rPr>
          <w:noProof/>
          <w:sz w:val="22"/>
        </w:rPr>
        <w:t xml:space="preserve"> </w:t>
      </w:r>
      <w:r>
        <w:rPr>
          <w:b/>
          <w:noProof/>
          <w:sz w:val="22"/>
        </w:rPr>
        <w:t>predĺženia trvania existujúcej akcie</w:t>
      </w:r>
    </w:p>
    <w:p>
      <w:pPr>
        <w:pStyle w:val="Text1"/>
        <w:rPr>
          <w:b/>
          <w:noProof/>
          <w:sz w:val="22"/>
        </w:rPr>
      </w:pPr>
      <w:r>
        <w:rPr>
          <w:noProof/>
          <w:sz w:val="22"/>
        </w:rPr>
        <w:sym w:font="Wingdings" w:char="F0A8"/>
      </w:r>
      <w:r>
        <w:rPr>
          <w:noProof/>
          <w:sz w:val="22"/>
        </w:rPr>
        <w:t xml:space="preserve"> </w:t>
      </w:r>
      <w:r>
        <w:rPr>
          <w:b/>
          <w:noProof/>
          <w:sz w:val="22"/>
        </w:rPr>
        <w:t>zlúčenia jednej alebo viacerých akcií do ďalšej/novej akcie alebo presmerovania jednej alebo viacerých akcií na ďalšiu/novú akciu</w:t>
      </w:r>
    </w:p>
    <w:p>
      <w:pPr>
        <w:pStyle w:val="ManualHeading2"/>
        <w:rPr>
          <w:noProof/>
        </w:rPr>
      </w:pPr>
      <w:r>
        <w:t>1.4.</w:t>
      </w:r>
      <w:r>
        <w:tab/>
      </w:r>
      <w:r>
        <w:rPr>
          <w:noProof/>
        </w:rPr>
        <w:t>Dôvody návrhu/iniciatívy</w:t>
      </w:r>
    </w:p>
    <w:p>
      <w:pPr>
        <w:pStyle w:val="ManualHeading3"/>
        <w:rPr>
          <w:noProof/>
        </w:rPr>
      </w:pPr>
      <w:r>
        <w:t>1.4.1.</w:t>
      </w:r>
      <w:r>
        <w:tab/>
      </w:r>
      <w:r>
        <w:rPr>
          <w:noProof/>
        </w:rPr>
        <w:t>Potreby, ktoré sa majú uspokojiť v krátkodobom alebo dlhodobom horizonte vrátane podrobného harmonogramu prvotnej fázy vykonávania iniciatívy.</w:t>
      </w:r>
    </w:p>
    <w:p>
      <w:pPr>
        <w:pStyle w:val="Text1"/>
        <w:pBdr>
          <w:top w:val="single" w:sz="4" w:space="0" w:color="000000"/>
          <w:left w:val="single" w:sz="4" w:space="0" w:color="000000"/>
          <w:bottom w:val="single" w:sz="4" w:space="0" w:color="000000"/>
          <w:right w:val="single" w:sz="4" w:space="0" w:color="000000"/>
        </w:pBdr>
        <w:rPr>
          <w:noProof/>
        </w:rPr>
      </w:pPr>
      <w:r>
        <w:rPr>
          <w:noProof/>
        </w:rPr>
        <w:t>Zriadiť zbor motivovaných mladých Európanov ochotných angažovať sa – vo svojej krajine alebo v zahraničí – formou dobrovoľníckych činností, stáží alebo pracovných miest v oblastiach súvisiacich so solidaritou.</w:t>
      </w:r>
    </w:p>
    <w:p>
      <w:pPr>
        <w:pStyle w:val="Text1"/>
        <w:pBdr>
          <w:top w:val="single" w:sz="4" w:space="0" w:color="000000"/>
          <w:left w:val="single" w:sz="4" w:space="0" w:color="000000"/>
          <w:bottom w:val="single" w:sz="4" w:space="0" w:color="000000"/>
          <w:right w:val="single" w:sz="4" w:space="0" w:color="000000"/>
        </w:pBdr>
        <w:rPr>
          <w:noProof/>
        </w:rPr>
      </w:pPr>
      <w:r>
        <w:rPr>
          <w:noProof/>
        </w:rPr>
        <w:t>Očakáva sa, že program poskytne do roku 2027 príležitosti pre 350 000 mladých Európanov.</w:t>
      </w:r>
    </w:p>
    <w:p>
      <w:pPr>
        <w:pStyle w:val="Text1"/>
        <w:pBdr>
          <w:top w:val="single" w:sz="4" w:space="0" w:color="000000"/>
          <w:left w:val="single" w:sz="4" w:space="0" w:color="000000"/>
          <w:bottom w:val="single" w:sz="4" w:space="0" w:color="000000"/>
          <w:right w:val="single" w:sz="4" w:space="0" w:color="000000"/>
        </w:pBdr>
        <w:rPr>
          <w:noProof/>
        </w:rPr>
      </w:pPr>
      <w:r>
        <w:rPr>
          <w:noProof/>
        </w:rPr>
        <w:t>Podporovať organizácie pri vykonávaní dostupných a vysokokvalitných solidárnych činností, od ktorých sa očakáva, že prispejú k riešeniu neuspokojených spoločenských potrieb, a zároveň podporia osobný, vzdelávací, sociálny, občiansky a profesijný rozvoj mladých ľudí.</w:t>
      </w:r>
    </w:p>
    <w:p>
      <w:pPr>
        <w:pStyle w:val="ManualHeading3"/>
        <w:rPr>
          <w:noProof/>
        </w:rPr>
      </w:pPr>
      <w:r>
        <w:t>1.4.2.</w:t>
      </w:r>
      <w:r>
        <w:tab/>
      </w:r>
      <w:r>
        <w:rPr>
          <w:noProof/>
        </w:rPr>
        <w:t>Prínos zapojenia Únie (môže byť výsledkom rôznych faktorov, napr. lepšej koordinácie, právnej istoty, väčšej účinnosti alebo komplementárnosti). Na účely tohto bodu je „prínos zapojenia Únie“ hodnota vyplývajúca zo zásahu Únie, ktorá dopĺňa hodnotu, ktorú by inak vytvorili len samotné členské štáty.</w:t>
      </w:r>
    </w:p>
    <w:p>
      <w:pPr>
        <w:pStyle w:val="Text1"/>
        <w:pBdr>
          <w:top w:val="single" w:sz="4" w:space="0" w:color="000000"/>
          <w:left w:val="single" w:sz="4" w:space="0" w:color="000000"/>
          <w:bottom w:val="single" w:sz="4" w:space="0" w:color="000000"/>
          <w:right w:val="single" w:sz="4" w:space="0" w:color="000000"/>
        </w:pBdr>
        <w:rPr>
          <w:noProof/>
        </w:rPr>
      </w:pPr>
      <w:r>
        <w:rPr>
          <w:noProof/>
        </w:rPr>
        <w:t>Európsky zbor solidarity posilní európsky rozmer solidarity. Doplní existujúce verejné a súkromné politiky, programy a činnosti, bez konkurenčných alebo substitučných účinkov. Tento doplnkový účinok sa zabezpečí, keďže zbor bude riešiť neuspokojené spoločenské potreby, t. j. situácie, v ktorých trh práce, existujúce dobrovoľnícke činnosti alebo iné druhy programov v oblasti solidarity nedokážu uspokojiť potreby komunít a občanov (napr. z dôvodu nedostatku zdrojov).</w:t>
      </w:r>
    </w:p>
    <w:p>
      <w:pPr>
        <w:pStyle w:val="Text1"/>
        <w:pBdr>
          <w:top w:val="single" w:sz="4" w:space="0" w:color="000000"/>
          <w:left w:val="single" w:sz="4" w:space="0" w:color="000000"/>
          <w:bottom w:val="single" w:sz="4" w:space="0" w:color="000000"/>
          <w:right w:val="single" w:sz="4" w:space="0" w:color="000000"/>
        </w:pBdr>
        <w:rPr>
          <w:noProof/>
        </w:rPr>
      </w:pPr>
      <w:r>
        <w:rPr>
          <w:noProof/>
        </w:rPr>
        <w:t xml:space="preserve">Okrem toho, ako je vysvetlené v hodnotení </w:t>
      </w:r>
      <w:r>
        <w:rPr>
          <w:i/>
          <w:noProof/>
        </w:rPr>
        <w:t>ex-ante</w:t>
      </w:r>
      <w:r>
        <w:rPr>
          <w:noProof/>
        </w:rPr>
        <w:t>, európska pridaná hodnota návrhu pochádza zo spoločného štandardu kvality v ponúkaných príležitostiach, zo solidarity považovanej za spoločnú európsku hodnotu, z úspor z rozsahu a zo sortimentu dosiahnutých integráciou obidvoch programov, a z konzistentnosti vďaka integrácii všetkých príležitostí súvisiacich so solidaritou pre mladých ľudí v rámci jedného programu.</w:t>
      </w:r>
    </w:p>
    <w:p>
      <w:pPr>
        <w:pStyle w:val="ManualHeading3"/>
        <w:rPr>
          <w:noProof/>
        </w:rPr>
      </w:pPr>
      <w:r>
        <w:t>1.4.3.</w:t>
      </w:r>
      <w:r>
        <w:tab/>
      </w:r>
      <w:r>
        <w:rPr>
          <w:noProof/>
        </w:rPr>
        <w:t>Poznatky získané z podobných skúseností v minulosti</w:t>
      </w:r>
    </w:p>
    <w:p>
      <w:pPr>
        <w:pStyle w:val="Text1"/>
        <w:pBdr>
          <w:top w:val="single" w:sz="4" w:space="0" w:color="000000"/>
          <w:left w:val="single" w:sz="4" w:space="0" w:color="000000"/>
          <w:bottom w:val="single" w:sz="4" w:space="0" w:color="000000"/>
          <w:right w:val="single" w:sz="4" w:space="0" w:color="000000"/>
        </w:pBdr>
        <w:rPr>
          <w:noProof/>
        </w:rPr>
      </w:pPr>
      <w:r>
        <w:rPr>
          <w:noProof/>
        </w:rPr>
        <w:t>Európsky zbor solidarity čerpá z bohatej a dlhodobej tradície a skúseností členských štátov pri činnostiach, ktoré slúžia verejnému záujmu, napríklad prostredníctvom dobrovoľníckych činností. V niektorých členských štátoch fungujú programy národných občianskych služieb, ktoré mladým ľuďom ponúkajú možnosť zapojiť sa do rôznych činností, v iných sa podporujú činnosti realizované občianskou spoločnosťou.</w:t>
      </w:r>
    </w:p>
    <w:p>
      <w:pPr>
        <w:pStyle w:val="Text1"/>
        <w:pBdr>
          <w:top w:val="single" w:sz="4" w:space="0" w:color="000000"/>
          <w:left w:val="single" w:sz="4" w:space="0" w:color="000000"/>
          <w:bottom w:val="single" w:sz="4" w:space="0" w:color="000000"/>
          <w:right w:val="single" w:sz="4" w:space="0" w:color="000000"/>
        </w:pBdr>
        <w:rPr>
          <w:noProof/>
        </w:rPr>
      </w:pPr>
      <w:r>
        <w:rPr>
          <w:noProof/>
        </w:rPr>
        <w:t>Na úrovni EÚ poskytuje dobrovoľnícke príležitosti mladým ľuďom už 20 rokov Európska dobrovoľnícka služba (EDS) a okrem nej existujú politiky a programy, ktoré pomáhajú mladým ľuďom získať stáže a pracovné miesta, ako napríklad záruka pre mladých ľudí a projekt Tvoje prvé pracovné miesto EURES. Iniciatíva Dobrovoľníci pomoci EÚ, ktorá sa začala v roku 2014, občanom EÚ sprostredkúva dobrovoľnícku skúsenosť v tretej krajine, čím podporuje a prispieva k poskytovaniu humanitárnej pomoci v miestach, kde je najviac potrebná.</w:t>
      </w:r>
    </w:p>
    <w:p>
      <w:pPr>
        <w:pStyle w:val="Text1"/>
        <w:pBdr>
          <w:top w:val="single" w:sz="4" w:space="0" w:color="000000"/>
          <w:left w:val="single" w:sz="4" w:space="0" w:color="000000"/>
          <w:bottom w:val="single" w:sz="4" w:space="0" w:color="000000"/>
          <w:right w:val="single" w:sz="4" w:space="0" w:color="000000"/>
        </w:pBdr>
        <w:rPr>
          <w:noProof/>
        </w:rPr>
      </w:pPr>
      <w:r>
        <w:rPr>
          <w:noProof/>
        </w:rPr>
        <w:t>Európsky zbor solidarity vychádza zo silných stránok a skúseností týchto iniciatív, teda z existujúceho pevného základu, ktorý rozšíri o nové príležitosti, lepšiu viditeľnosť a intenzívnejší dosah. Európsky zbor solidarity ponúkne nové príležitosti v oblasti humanitárnej pomoci, ktoré sa v rámci iniciatívy Dobrovoľníci pomoci EÚ (ktorej pokračovanie sa po roku 2020 skončí) nepodporujú, a zároveň zjednoduší prístup pre mladých ľudí a organizácie, ktorí sa o tieto činnosti zaujímajú. Európsky zbor solidarity bude aj naďalej poskytovať jednotné, ľahko dostupné kontaktné miesto prostredníctvom svojho portálu a pokúsi sa osloviť čo najviac účastníckych organizácií a zapojených mladých ľudí. Bude takisto zabezpečovať a podporovať odbornú prípravu pred činnosťou, ako aj príslušnú podporu a potvrdzovanie vzdelávacích výstupov po jej skončení.</w:t>
      </w:r>
    </w:p>
    <w:p>
      <w:pPr>
        <w:pStyle w:val="Text1"/>
        <w:pBdr>
          <w:top w:val="single" w:sz="4" w:space="0" w:color="000000"/>
          <w:left w:val="single" w:sz="4" w:space="0" w:color="000000"/>
          <w:bottom w:val="single" w:sz="4" w:space="0" w:color="000000"/>
          <w:right w:val="single" w:sz="4" w:space="0" w:color="000000"/>
        </w:pBdr>
        <w:rPr>
          <w:noProof/>
        </w:rPr>
      </w:pPr>
      <w:r>
        <w:rPr>
          <w:noProof/>
        </w:rPr>
        <w:t>S cieľom zabezpečiť efektívnu a účinnú implementáciu sa v rámci Európskeho zboru solidarity maximálne využijú existujúce riadiace opatrenia, ktoré sú už zavedené. Vďaka tomu bude možné sústrediť sa na maximalizáciu realizácie a výkonnosti a zároveň na minimalizáciu administratívnej záťaže. Z tohto dôvodu budú implementáciou Európskeho zboru solidarity poverené existujúce orgány, t. j. Európska komisia, a to aj prostredníctvom jej Výkonnej agentúry pre vzdelávanie, audiovizuálny sektor a kultúru (EACEA), a národné agentúry určené na riadenie akcií uvedených v kapitole Mládež [nového nariadenia o programe Erasmus], ktorým sa zriaďuje program Erasmus.</w:t>
      </w:r>
    </w:p>
    <w:p>
      <w:pPr>
        <w:pStyle w:val="ManualHeading3"/>
        <w:rPr>
          <w:noProof/>
        </w:rPr>
      </w:pPr>
      <w:r>
        <w:t>1.4.4.</w:t>
      </w:r>
      <w:r>
        <w:tab/>
      </w:r>
      <w:r>
        <w:rPr>
          <w:noProof/>
        </w:rPr>
        <w:t>Zlučiteľnosť a možná synergia s inými vhodnými nástrojmi</w:t>
      </w:r>
    </w:p>
    <w:p>
      <w:pPr>
        <w:pStyle w:val="Text1"/>
        <w:pBdr>
          <w:top w:val="single" w:sz="4" w:space="0" w:color="000000"/>
          <w:left w:val="single" w:sz="4" w:space="0" w:color="000000"/>
          <w:bottom w:val="single" w:sz="4" w:space="0" w:color="000000"/>
          <w:right w:val="single" w:sz="4" w:space="0" w:color="000000"/>
        </w:pBdr>
        <w:rPr>
          <w:noProof/>
        </w:rPr>
      </w:pPr>
      <w:r>
        <w:rPr>
          <w:noProof/>
        </w:rPr>
        <w:t>Akcie Európskeho zboru solidarity sú v súlade s rôznymi príslušnými politikami a programami EÚ a dopĺňajú ich. Okrem iného ide napríklad o programy a politiky týkajúce sa vzdelávania a odbornej prípravy, zamestnania, rodovej rovnosti, podnikania (najmä sociálneho podnikania), občianstva a demokratickej angažovanosti, životného prostredia a ochrany prírody, opatrení v oblasti klímy, predchádzania katastrofám, pripravenosti a obnovy, poľnohospodárstva a rozvoja vidieka, potravinovej a nepotravinovej pomoci, zdravia a dobrých životných podmienok, tvorivosti a kultúry, telesnej výchovy a športu, sociálnej pomoci a zabezpečenia, prijímania a integrácie štátnych príslušníkov tretích krajín, územnej spolupráce a súdržnosti, cezhraničnej spolupráce a humanitárnej pomoci.</w:t>
      </w:r>
    </w:p>
    <w:p>
      <w:pPr>
        <w:pStyle w:val="Text1"/>
        <w:pBdr>
          <w:top w:val="single" w:sz="4" w:space="0" w:color="000000"/>
          <w:left w:val="single" w:sz="4" w:space="0" w:color="000000"/>
          <w:bottom w:val="single" w:sz="4" w:space="0" w:color="000000"/>
          <w:right w:val="single" w:sz="4" w:space="0" w:color="000000"/>
        </w:pBdr>
        <w:rPr>
          <w:noProof/>
        </w:rPr>
      </w:pPr>
      <w:r>
        <w:rPr>
          <w:noProof/>
        </w:rPr>
        <w:t>V prvej fáze Európskeho zboru solidarity, ktorá sa začala v decembri 2016, sa zmobilizovalo osem rôznych programov EÚ ponúkajúcich dobrovoľnícke činnosti, stáž alebo pracovné príležitosti pre mladých ľudí v celej EÚ. V týchto činnostiach, či už sa realizovali pred nadobudnutím účinnosti navrhovaného nariadenia alebo po ňom, sa uplatňovali pravidlá a podmienky stanovené v príslušných programoch EÚ, z ktorých sa tieto činnosti počas prvej fázy Európskeho zboru solidarity financovali.</w:t>
      </w:r>
    </w:p>
    <w:p>
      <w:pPr>
        <w:pStyle w:val="Text1"/>
        <w:pBdr>
          <w:top w:val="single" w:sz="4" w:space="0" w:color="000000"/>
          <w:left w:val="single" w:sz="4" w:space="0" w:color="000000"/>
          <w:bottom w:val="single" w:sz="4" w:space="0" w:color="000000"/>
          <w:right w:val="single" w:sz="4" w:space="0" w:color="000000"/>
        </w:pBdr>
        <w:rPr>
          <w:noProof/>
        </w:rPr>
      </w:pPr>
      <w:r>
        <w:rPr>
          <w:noProof/>
        </w:rPr>
        <w:t>V druhej fáze, ktorá sa začne po nadobudnutí účinnosti [nariadenia o Európskom zbore solidarity], sa bude do Európskeho zboru solidarity prispievať z niekoľkých programov EÚ. V prípade niektorých z nich cez príspevky na finančné krytie Európskeho zboru solidarity; pri iných podporovaním činností v rámci ich rozsahu. Tieto príspevky sa financujú v súlade s príslušnými základnými aktmi dotknutých programov.</w:t>
      </w:r>
    </w:p>
    <w:p>
      <w:pPr>
        <w:pStyle w:val="Text1"/>
        <w:pBdr>
          <w:top w:val="single" w:sz="4" w:space="0" w:color="000000"/>
          <w:left w:val="single" w:sz="4" w:space="0" w:color="000000"/>
          <w:bottom w:val="single" w:sz="4" w:space="0" w:color="000000"/>
          <w:right w:val="single" w:sz="4" w:space="0" w:color="000000"/>
        </w:pBdr>
        <w:rPr>
          <w:noProof/>
        </w:rPr>
      </w:pPr>
      <w:r>
        <w:rPr>
          <w:noProof/>
        </w:rPr>
        <w:t>Tento návrh predstavuje základ tretej fázy Európskeho zboru solidarity. Keďže nový rozšírený rozsah zahŕňa činnosti na podporu operácií humanitárnej pomoci, Európsky zbor solidarity bude využívať dodatočné príspevky na podporu nového rozsahu činností. Vykonávanie týchto činností sa uskutoční v úzkej koordinácii s príslušnými útvarmi Komisie.</w:t>
      </w:r>
    </w:p>
    <w:p>
      <w:pPr>
        <w:pStyle w:val="berschrift2"/>
        <w:rPr>
          <w:rFonts w:cs="Times New Roman"/>
          <w:noProof/>
          <w:color w:val="auto"/>
        </w:rPr>
      </w:pPr>
      <w:r>
        <w:rPr>
          <w:noProof/>
        </w:rPr>
        <w:br w:type="page"/>
      </w:r>
    </w:p>
    <w:p>
      <w:pPr>
        <w:pStyle w:val="ManualHeading2"/>
        <w:rPr>
          <w:noProof/>
        </w:rPr>
      </w:pPr>
      <w:r>
        <w:t>1.5.</w:t>
      </w:r>
      <w:r>
        <w:tab/>
      </w:r>
      <w:r>
        <w:rPr>
          <w:noProof/>
        </w:rPr>
        <w:t>Trvanie a finančný vplyv</w:t>
      </w:r>
    </w:p>
    <w:p>
      <w:pPr>
        <w:pStyle w:val="Text1"/>
        <w:rPr>
          <w:noProof/>
        </w:rPr>
      </w:pPr>
      <w:r>
        <w:rPr>
          <w:noProof/>
          <w:sz w:val="22"/>
        </w:rPr>
        <w:sym w:font="Wingdings" w:char="F0FE"/>
      </w:r>
      <w:r>
        <w:rPr>
          <w:b/>
          <w:i/>
          <w:noProof/>
        </w:rPr>
        <w:t xml:space="preserve"> </w:t>
      </w:r>
      <w:r>
        <w:rPr>
          <w:b/>
          <w:noProof/>
        </w:rPr>
        <w:t>obmedzené trvanie</w:t>
      </w:r>
    </w:p>
    <w:p>
      <w:pPr>
        <w:pStyle w:val="ListDash2"/>
        <w:rPr>
          <w:noProof/>
        </w:rPr>
      </w:pPr>
      <w:r>
        <w:rPr>
          <w:noProof/>
          <w:sz w:val="22"/>
        </w:rPr>
        <w:sym w:font="Wingdings" w:char="F0FE"/>
      </w:r>
      <w:r>
        <w:rPr>
          <w:noProof/>
        </w:rPr>
        <w:tab/>
        <w:t>v platnosti od 01/01/2021 do 31/12/2027</w:t>
      </w:r>
    </w:p>
    <w:p>
      <w:pPr>
        <w:pStyle w:val="ListDash2"/>
        <w:rPr>
          <w:noProof/>
        </w:rPr>
      </w:pPr>
      <w:r>
        <w:rPr>
          <w:noProof/>
          <w:sz w:val="22"/>
        </w:rPr>
        <w:sym w:font="Wingdings" w:char="F0FE"/>
      </w:r>
      <w:r>
        <w:rPr>
          <w:noProof/>
        </w:rPr>
        <w:tab/>
        <w:t>Finančný vplyv na viazané rozpočtové prostriedky od 2021 do 2027 a na platobné rozpočtové prostriedky od 2021 do 2032.</w:t>
      </w:r>
    </w:p>
    <w:p>
      <w:pPr>
        <w:pStyle w:val="Text1"/>
        <w:rPr>
          <w:b/>
          <w:noProof/>
          <w:sz w:val="22"/>
        </w:rPr>
      </w:pPr>
      <w:r>
        <w:rPr>
          <w:b/>
          <w:noProof/>
          <w:sz w:val="22"/>
        </w:rPr>
        <w:sym w:font="Wingdings" w:char="F0A8"/>
      </w:r>
      <w:r>
        <w:rPr>
          <w:b/>
          <w:noProof/>
          <w:sz w:val="22"/>
        </w:rPr>
        <w:t xml:space="preserve"> neobmedzené trvanie</w:t>
      </w:r>
    </w:p>
    <w:p>
      <w:pPr>
        <w:pStyle w:val="ListDash1"/>
        <w:numPr>
          <w:ilvl w:val="0"/>
          <w:numId w:val="47"/>
        </w:numPr>
        <w:pBdr>
          <w:top w:val="nil"/>
          <w:left w:val="nil"/>
          <w:bottom w:val="nil"/>
          <w:right w:val="nil"/>
          <w:between w:val="nil"/>
          <w:bar w:val="nil"/>
        </w:pBdr>
        <w:tabs>
          <w:tab w:val="left" w:pos="1134"/>
        </w:tabs>
        <w:rPr>
          <w:noProof/>
        </w:rPr>
      </w:pPr>
      <w:r>
        <w:rPr>
          <w:noProof/>
        </w:rPr>
        <w:t>Počiatočná fáza implementácie bude trvať od YYYY do YYYY, a potom bude implementácia pokračovať v plnom rozsahu.</w:t>
      </w:r>
    </w:p>
    <w:p>
      <w:pPr>
        <w:pStyle w:val="ManualHeading2"/>
        <w:rPr>
          <w:noProof/>
        </w:rPr>
      </w:pPr>
      <w:r>
        <w:t>1.6.</w:t>
      </w:r>
      <w:r>
        <w:tab/>
      </w:r>
      <w:r>
        <w:rPr>
          <w:noProof/>
        </w:rPr>
        <w:t>Plánovaný spôsob riadenia</w:t>
      </w:r>
      <w:r>
        <w:rPr>
          <w:rStyle w:val="FootnoteReference"/>
          <w:noProof/>
        </w:rPr>
        <w:footnoteReference w:id="37"/>
      </w:r>
    </w:p>
    <w:p>
      <w:pPr>
        <w:pStyle w:val="Text1"/>
        <w:rPr>
          <w:noProof/>
        </w:rPr>
      </w:pPr>
      <w:r>
        <w:rPr>
          <w:noProof/>
          <w:sz w:val="22"/>
        </w:rPr>
        <w:sym w:font="Wingdings" w:char="F0FE"/>
      </w:r>
      <w:r>
        <w:rPr>
          <w:i/>
          <w:noProof/>
        </w:rPr>
        <w:t xml:space="preserve"> </w:t>
      </w:r>
      <w:r>
        <w:rPr>
          <w:b/>
          <w:noProof/>
        </w:rPr>
        <w:t>Priame riadenie</w:t>
      </w:r>
      <w:r>
        <w:rPr>
          <w:noProof/>
        </w:rPr>
        <w:t xml:space="preserve"> na úrovni Komisie</w:t>
      </w:r>
    </w:p>
    <w:p>
      <w:pPr>
        <w:pStyle w:val="ListDash2"/>
        <w:rPr>
          <w:noProof/>
        </w:rPr>
      </w:pPr>
      <w:r>
        <w:rPr>
          <w:noProof/>
          <w:sz w:val="22"/>
        </w:rPr>
        <w:sym w:font="Wingdings" w:char="F0FE"/>
      </w:r>
      <w:r>
        <w:rPr>
          <w:noProof/>
        </w:rPr>
        <w:t xml:space="preserve"> prostredníctvom jej útvarov vrátane jej zamestnancov v delegáciách Únie,</w:t>
      </w:r>
    </w:p>
    <w:p>
      <w:pPr>
        <w:pStyle w:val="ListDash2"/>
        <w:rPr>
          <w:noProof/>
        </w:rPr>
      </w:pPr>
      <w:r>
        <w:rPr>
          <w:noProof/>
          <w:sz w:val="22"/>
        </w:rPr>
        <w:sym w:font="Wingdings" w:char="F0FE"/>
      </w:r>
      <w:r>
        <w:rPr>
          <w:noProof/>
        </w:rPr>
        <w:tab/>
        <w:t>prostredníctvom výkonných agentúr.</w:t>
      </w:r>
    </w:p>
    <w:p>
      <w:pPr>
        <w:pStyle w:val="Text1"/>
        <w:rPr>
          <w:noProof/>
        </w:rPr>
      </w:pPr>
      <w:r>
        <w:rPr>
          <w:noProof/>
        </w:rPr>
        <w:sym w:font="Wingdings" w:char="F0A8"/>
      </w:r>
      <w:r>
        <w:rPr>
          <w:b/>
          <w:i/>
          <w:noProof/>
        </w:rPr>
        <w:t xml:space="preserve"> </w:t>
      </w:r>
      <w:r>
        <w:rPr>
          <w:b/>
          <w:noProof/>
        </w:rPr>
        <w:t>Zdieľané riadenie</w:t>
      </w:r>
      <w:r>
        <w:rPr>
          <w:noProof/>
        </w:rPr>
        <w:t xml:space="preserve"> s členskými štátmi</w:t>
      </w:r>
    </w:p>
    <w:p>
      <w:pPr>
        <w:pStyle w:val="Text1"/>
        <w:rPr>
          <w:noProof/>
        </w:rPr>
      </w:pPr>
      <w:r>
        <w:rPr>
          <w:noProof/>
          <w:sz w:val="22"/>
        </w:rPr>
        <w:sym w:font="Wingdings" w:char="F0FE"/>
      </w:r>
      <w:r>
        <w:rPr>
          <w:i/>
          <w:noProof/>
        </w:rPr>
        <w:t xml:space="preserve"> </w:t>
      </w:r>
      <w:r>
        <w:rPr>
          <w:b/>
          <w:noProof/>
        </w:rPr>
        <w:t>Nepriame riadenie</w:t>
      </w:r>
      <w:r>
        <w:rPr>
          <w:noProof/>
        </w:rPr>
        <w:t>, pri ktorom sa plnením rozpočtu poveria:</w:t>
      </w:r>
    </w:p>
    <w:p>
      <w:pPr>
        <w:pStyle w:val="ListDash2"/>
        <w:rPr>
          <w:noProof/>
        </w:rPr>
      </w:pPr>
      <w:r>
        <w:rPr>
          <w:noProof/>
        </w:rPr>
        <w:sym w:font="Wingdings" w:char="F0A8"/>
      </w:r>
      <w:r>
        <w:rPr>
          <w:noProof/>
        </w:rPr>
        <w:t xml:space="preserve"> tretie krajiny alebo subjekty, ktoré tieto krajiny určili,</w:t>
      </w:r>
    </w:p>
    <w:p>
      <w:pPr>
        <w:pStyle w:val="ListDash2"/>
        <w:rPr>
          <w:noProof/>
        </w:rPr>
      </w:pPr>
      <w:r>
        <w:rPr>
          <w:noProof/>
        </w:rPr>
        <w:sym w:font="Wingdings" w:char="F0A8"/>
      </w:r>
      <w:r>
        <w:rPr>
          <w:noProof/>
        </w:rPr>
        <w:t xml:space="preserve"> medzinárodné organizácie a ich agentúry (uveďte),</w:t>
      </w:r>
    </w:p>
    <w:p>
      <w:pPr>
        <w:pStyle w:val="ListDash2"/>
        <w:rPr>
          <w:noProof/>
        </w:rPr>
      </w:pPr>
      <w:r>
        <w:rPr>
          <w:noProof/>
        </w:rPr>
        <w:sym w:font="Wingdings" w:char="F0A8"/>
      </w:r>
      <w:r>
        <w:rPr>
          <w:noProof/>
        </w:rPr>
        <w:t xml:space="preserve"> Európska investičná banka (EIB) a Európsky investičný fond,</w:t>
      </w:r>
    </w:p>
    <w:p>
      <w:pPr>
        <w:pStyle w:val="ListDash2"/>
        <w:rPr>
          <w:noProof/>
        </w:rPr>
      </w:pPr>
      <w:r>
        <w:rPr>
          <w:noProof/>
        </w:rPr>
        <w:sym w:font="Wingdings" w:char="F0A8"/>
      </w:r>
      <w:r>
        <w:rPr>
          <w:noProof/>
        </w:rPr>
        <w:t xml:space="preserve"> subjekty uvedené v článkoch 70 a 71 nariadenia o rozpočtových pravidlách,</w:t>
      </w:r>
    </w:p>
    <w:p>
      <w:pPr>
        <w:pStyle w:val="ListDash2"/>
        <w:rPr>
          <w:noProof/>
        </w:rPr>
      </w:pPr>
      <w:r>
        <w:rPr>
          <w:noProof/>
        </w:rPr>
        <w:sym w:font="Wingdings" w:char="F0A8"/>
      </w:r>
      <w:r>
        <w:rPr>
          <w:noProof/>
        </w:rPr>
        <w:t xml:space="preserve"> verejnoprávne subjekty,</w:t>
      </w:r>
    </w:p>
    <w:p>
      <w:pPr>
        <w:pStyle w:val="ListDash2"/>
        <w:rPr>
          <w:noProof/>
        </w:rPr>
      </w:pPr>
      <w:r>
        <w:rPr>
          <w:noProof/>
        </w:rPr>
        <w:sym w:font="Wingdings" w:char="F0A8"/>
      </w:r>
      <w:r>
        <w:rPr>
          <w:noProof/>
        </w:rPr>
        <w:t xml:space="preserve"> súkromnoprávne subjekty poverené vykonávaním verejnej služby, pokiaľ tieto subjekty poskytujú dostatočné finančné záruky,</w:t>
      </w:r>
    </w:p>
    <w:p>
      <w:pPr>
        <w:pStyle w:val="ListDash2"/>
        <w:rPr>
          <w:noProof/>
        </w:rPr>
      </w:pPr>
      <w:r>
        <w:rPr>
          <w:noProof/>
          <w:sz w:val="22"/>
        </w:rPr>
        <w:sym w:font="Wingdings" w:char="F0FE"/>
      </w:r>
      <w:r>
        <w:rPr>
          <w:noProof/>
        </w:rPr>
        <w:t xml:space="preserve"> súkromnoprávne subjekty spravované právom členského štátu, ktoré sú poverené vykonávaním verejno-súkromného partnerstva a ktoré poskytujú dostatočné finančné záruky,</w:t>
      </w:r>
    </w:p>
    <w:p>
      <w:pPr>
        <w:pStyle w:val="ListDash2"/>
        <w:rPr>
          <w:noProof/>
        </w:rPr>
      </w:pPr>
      <w:r>
        <w:rPr>
          <w:noProof/>
        </w:rPr>
        <w:sym w:font="Wingdings" w:char="F0A8"/>
      </w:r>
      <w:r>
        <w:rPr>
          <w:noProof/>
        </w:rPr>
        <w:t xml:space="preserve"> osoby poverené vykonávaním osobitných činností v oblasti SZBP podľa hlavy V Zmluvy o Európskej únii a určené v príslušnom základnom akte.</w:t>
      </w:r>
    </w:p>
    <w:p>
      <w:pPr>
        <w:pStyle w:val="ListDash2"/>
        <w:rPr>
          <w:i/>
          <w:noProof/>
          <w:sz w:val="18"/>
          <w:u w:val="single"/>
        </w:rPr>
      </w:pPr>
      <w:r>
        <w:rPr>
          <w:i/>
          <w:noProof/>
          <w:sz w:val="18"/>
        </w:rPr>
        <w:t>V prípade viacerých spôsobov riadenia uveďte v oddiele „Poznámky“ presnejšie vysvetlenie.</w:t>
      </w:r>
    </w:p>
    <w:p>
      <w:pPr>
        <w:rPr>
          <w:noProof/>
        </w:rPr>
      </w:pPr>
      <w:r>
        <w:rPr>
          <w:noProof/>
        </w:rPr>
        <w:t>Poznámky</w:t>
      </w:r>
    </w:p>
    <w:p>
      <w:pPr>
        <w:pStyle w:val="Text"/>
        <w:pBdr>
          <w:top w:val="single" w:sz="4" w:space="0" w:color="000000"/>
          <w:left w:val="single" w:sz="4" w:space="0" w:color="000000"/>
          <w:bottom w:val="single" w:sz="4" w:space="0" w:color="000000"/>
          <w:right w:val="single" w:sz="4" w:space="0" w:color="000000"/>
        </w:pBdr>
        <w:rPr>
          <w:noProof/>
          <w:color w:val="auto"/>
        </w:rPr>
      </w:pPr>
      <w:r>
        <w:rPr>
          <w:noProof/>
          <w:color w:val="auto"/>
        </w:rPr>
        <w:t>Riadením hlavných akcií Európskeho zboru solidarity budú poverené národné agentúry zodpovedné za vykonávanie decentralizovaných činností v rámci programu Erasmus. Tieto subjekty budú zodpovedné za akcie ako: značka kvality a odborná príprava, dobrovoľnícka činnosť, stáže a pracovné miesta, solidaritné projekty, činnosti súvisiace s vytváraním sietí a asistenčné centrá.</w:t>
      </w:r>
    </w:p>
    <w:p>
      <w:pPr>
        <w:pStyle w:val="Text"/>
        <w:pBdr>
          <w:top w:val="single" w:sz="4" w:space="0" w:color="000000"/>
          <w:left w:val="single" w:sz="4" w:space="0" w:color="000000"/>
          <w:bottom w:val="single" w:sz="4" w:space="0" w:color="000000"/>
          <w:right w:val="single" w:sz="4" w:space="0" w:color="000000"/>
        </w:pBdr>
        <w:rPr>
          <w:noProof/>
          <w:color w:val="auto"/>
        </w:rPr>
      </w:pPr>
      <w:r>
        <w:rPr>
          <w:noProof/>
          <w:color w:val="auto"/>
        </w:rPr>
        <w:t>Európska komisia bude (čiastočne aj prostredníctvom Výkonnej agentúry pre vzdelávanie, audiovizuálny sektor a kultúru) riadiť akcie na zabezpečovanie horizontálnych služieb pre účastníkov Európskeho zboru solidarity (t. j. portál, online odborná príprava, online jazyková podpora, poistenie), ako aj časť akcií v oblastiach ako značka kvality, solidárne činnosti (pre organizácie s určitými profilmi alebo určité druhy činností) a činnosti súvisiace s vytváraním sietí (pre činnosti na európskej úrovni).</w:t>
      </w:r>
    </w:p>
    <w:p>
      <w:pPr>
        <w:pStyle w:val="ManualHeading1"/>
        <w:rPr>
          <w:noProof/>
        </w:rPr>
      </w:pPr>
      <w:r>
        <w:t>2.</w:t>
      </w:r>
      <w:r>
        <w:tab/>
      </w:r>
      <w:r>
        <w:rPr>
          <w:noProof/>
        </w:rPr>
        <w:t>OPATRENIA V OBLASTI RIADENIA</w:t>
      </w:r>
    </w:p>
    <w:p>
      <w:pPr>
        <w:pStyle w:val="ManualHeading2"/>
        <w:rPr>
          <w:noProof/>
        </w:rPr>
      </w:pPr>
      <w:r>
        <w:t>2.1.</w:t>
      </w:r>
      <w:r>
        <w:tab/>
      </w:r>
      <w:r>
        <w:rPr>
          <w:noProof/>
        </w:rPr>
        <w:t>Opatrenia týkajúce sa monitorovania a predkladania správ</w:t>
      </w:r>
    </w:p>
    <w:p>
      <w:pPr>
        <w:pStyle w:val="Text1"/>
        <w:rPr>
          <w:i/>
          <w:iCs/>
          <w:noProof/>
          <w:sz w:val="20"/>
          <w:szCs w:val="20"/>
          <w:u w:val="single"/>
        </w:rPr>
      </w:pPr>
      <w:r>
        <w:rPr>
          <w:i/>
          <w:noProof/>
          <w:sz w:val="20"/>
        </w:rPr>
        <w:t>Uveďte časový interval a podmienky.</w:t>
      </w:r>
    </w:p>
    <w:p>
      <w:pPr>
        <w:pStyle w:val="Text1"/>
        <w:pBdr>
          <w:top w:val="single" w:sz="4" w:space="0" w:color="000000"/>
          <w:left w:val="single" w:sz="4" w:space="0" w:color="000000"/>
          <w:bottom w:val="single" w:sz="4" w:space="0" w:color="000000"/>
          <w:right w:val="single" w:sz="4" w:space="0" w:color="000000"/>
        </w:pBdr>
        <w:rPr>
          <w:noProof/>
        </w:rPr>
      </w:pPr>
      <w:r>
        <w:rPr>
          <w:noProof/>
        </w:rPr>
        <w:t>Monitorovacie a hodnotiace opatrenia Európskeho zboru solidarity budú pozostávať zo stáleho monitorovania v záujme posúdenia pokroku a z hodnotenia v záujme posúdenia existujúcich dôkazov o účinnosti dosiahnutých výsledkov.</w:t>
      </w:r>
    </w:p>
    <w:p>
      <w:pPr>
        <w:pStyle w:val="Text1"/>
        <w:pBdr>
          <w:top w:val="single" w:sz="4" w:space="0" w:color="000000"/>
          <w:left w:val="single" w:sz="4" w:space="0" w:color="000000"/>
          <w:bottom w:val="single" w:sz="4" w:space="0" w:color="000000"/>
          <w:right w:val="single" w:sz="4" w:space="0" w:color="000000"/>
        </w:pBdr>
        <w:rPr>
          <w:noProof/>
        </w:rPr>
      </w:pPr>
      <w:r>
        <w:rPr>
          <w:noProof/>
        </w:rPr>
        <w:t>Monitorovacie opatrenia budú vychádzať z rozsiahlej analýzy kvantitatívnych výstupov a kvalitatívnych výsledkov Európskeho zboru solidarity. Kvantitatívne výstupy sa budú systematicky získavať zo systémov IT zavedených na riadenie akcií Európskeho zboru solidarity. Kvalitatívne výsledky sa budú monitorovať prostredníctvom pravidelných prieskumov zameraných na jednotlivcov, ako aj na účastnícke organizácie. Mechanizmami predkladania správ a posudzovania zo strany všetkých vykonávacích orgánov sa zabezpečí komplexné monitorovanie vykonávania návrhu.</w:t>
      </w:r>
    </w:p>
    <w:p>
      <w:pPr>
        <w:pStyle w:val="Text1"/>
        <w:pBdr>
          <w:top w:val="single" w:sz="4" w:space="0" w:color="000000"/>
          <w:left w:val="single" w:sz="4" w:space="0" w:color="000000"/>
          <w:bottom w:val="single" w:sz="4" w:space="0" w:color="000000"/>
          <w:right w:val="single" w:sz="4" w:space="0" w:color="000000"/>
        </w:pBdr>
        <w:rPr>
          <w:noProof/>
        </w:rPr>
      </w:pPr>
      <w:r>
        <w:rPr>
          <w:noProof/>
        </w:rPr>
        <w:t>Program sa okrem toho nezávisle vyhodnotí po štyroch rokoch odo dňa jeho prijatia v záujme posúdenia kvalitatívnych výsledkov podporovaných akcií vrátane ich vplyvu na mladých ľudí a organizácie, ako aj v záujme posúdenia zvýšenia efektívnosti pozorovaného počas prvých štyroch rokov. V hodnotení by sa mali zohľadniť existujúce dôkazy o účinnosti a vplyve výsledkov Európskeho zboru solidarity. Medzi zdroje overovania budú patriť údaje z monitorovania, informácie obsiahnuté v pracovných plánoch a správach od vykonávacích orgánov, výsledky vyplývajúce zo šírenia, dôkazové štúdie, prieskumy atď.</w:t>
      </w:r>
    </w:p>
    <w:p>
      <w:pPr>
        <w:pStyle w:val="ManualHeading2"/>
        <w:rPr>
          <w:noProof/>
        </w:rPr>
      </w:pPr>
      <w:r>
        <w:t>2.2.</w:t>
      </w:r>
      <w:r>
        <w:tab/>
      </w:r>
      <w:r>
        <w:rPr>
          <w:noProof/>
        </w:rPr>
        <w:t>Systémy riadenia a kontroly</w:t>
      </w:r>
    </w:p>
    <w:p>
      <w:pPr>
        <w:pStyle w:val="ManualHeading3"/>
        <w:rPr>
          <w:noProof/>
        </w:rPr>
      </w:pPr>
      <w:r>
        <w:t>2.2.1.</w:t>
      </w:r>
      <w:r>
        <w:tab/>
      </w:r>
      <w:r>
        <w:rPr>
          <w:noProof/>
        </w:rPr>
        <w:t>Opodstatnenie navrhovaných spôsobov riadenia, mechanizmu vykonávania financovania, spôsobov platieb a stratégie kontrol</w:t>
      </w:r>
    </w:p>
    <w:p>
      <w:pPr>
        <w:pStyle w:val="Text1"/>
        <w:pBdr>
          <w:top w:val="single" w:sz="4" w:space="0" w:color="000000"/>
          <w:left w:val="single" w:sz="4" w:space="0" w:color="000000"/>
          <w:bottom w:val="single" w:sz="4" w:space="0" w:color="000000"/>
          <w:right w:val="single" w:sz="4" w:space="0" w:color="000000"/>
        </w:pBdr>
        <w:rPr>
          <w:noProof/>
        </w:rPr>
      </w:pPr>
      <w:r>
        <w:rPr>
          <w:noProof/>
        </w:rPr>
        <w:t xml:space="preserve">V súlade s analýzou vykonanou v rámci hodnotenia </w:t>
      </w:r>
      <w:r>
        <w:rPr>
          <w:i/>
          <w:noProof/>
        </w:rPr>
        <w:t>ex ante</w:t>
      </w:r>
      <w:r>
        <w:rPr>
          <w:noProof/>
        </w:rPr>
        <w:t>, ktoré tvorí sprievodný dokument k tomuto návrhu, a v záujme zabezpečenia účinného a efektívneho vykonávania, synergie a minimalizácie administratívnej záťaže sa v Európskom zbore solidarity využijú existujúce riadiace a vykonávacie opatrenia, ktoré už boli zavedené v programe Erasmus+. Tento návrh vychádza z pozitívnych skúseností z implementácie tohto programu a z jeho štruktúr a stanovuje sa v ňom jasné rozdelenie úloh pri riadení programu medzi Komisiou, národnými agentúrami zriadenými v rámci programu Erasmus+ a Výkonnou agentúrou pre vzdelávanie, audiovizuálny sektor a kultúru (EACEA). Agentúra EACEA od svojho založenia v roku 2006 implementovala niektoré časti programov Erasmus+, Kreatívna Európa, Európa pre občanov a Dobrovoľníci pomoci EÚ (a programov, ktoré im predchádzali), ako sa to potvrdilo v niekoľkých nezávislých externých hodnoteniach. EACEA pracuje na zlepšovaní svojich postupov v nadväznosti na odporúčania Útvaru pre vnútorný audit. Zároveň sa vďaka úspešnému modelu národných agentúr v rámci programu Erasmus+ podarilo dosiahnuť preukázateľne dobré výsledky a efektivitu, ako aj vysokú mieru istoty a správneho finančného riadenia.</w:t>
      </w:r>
    </w:p>
    <w:p>
      <w:pPr>
        <w:pStyle w:val="ManualHeading3"/>
        <w:rPr>
          <w:noProof/>
        </w:rPr>
      </w:pPr>
      <w:r>
        <w:t>2.2.2.</w:t>
      </w:r>
      <w:r>
        <w:tab/>
      </w:r>
      <w:r>
        <w:rPr>
          <w:noProof/>
        </w:rPr>
        <w:t>Informácie o zistených rizikách a systémoch vnútornej kontroly zavedených na ich zmierňovanie</w:t>
      </w:r>
    </w:p>
    <w:p>
      <w:pPr>
        <w:pStyle w:val="Text1"/>
        <w:pBdr>
          <w:top w:val="single" w:sz="4" w:space="0" w:color="000000"/>
          <w:left w:val="single" w:sz="4" w:space="0" w:color="000000"/>
          <w:bottom w:val="single" w:sz="4" w:space="0" w:color="000000"/>
          <w:right w:val="single" w:sz="4" w:space="0" w:color="000000"/>
        </w:pBdr>
        <w:rPr>
          <w:noProof/>
        </w:rPr>
      </w:pPr>
      <w:r>
        <w:rPr>
          <w:noProof/>
        </w:rPr>
        <w:t xml:space="preserve">V hodnotení </w:t>
      </w:r>
      <w:r>
        <w:rPr>
          <w:i/>
          <w:noProof/>
        </w:rPr>
        <w:t>ex ante</w:t>
      </w:r>
      <w:r>
        <w:rPr>
          <w:noProof/>
        </w:rPr>
        <w:t xml:space="preserve"> bolo identifikovaných šesť možných rizík, ktoré treba monitorovať:</w:t>
      </w:r>
    </w:p>
    <w:p>
      <w:pPr>
        <w:pStyle w:val="Text1"/>
        <w:pBdr>
          <w:top w:val="single" w:sz="4" w:space="0" w:color="000000"/>
          <w:left w:val="single" w:sz="4" w:space="0" w:color="000000"/>
          <w:bottom w:val="single" w:sz="4" w:space="0" w:color="000000"/>
          <w:right w:val="single" w:sz="4" w:space="0" w:color="000000"/>
        </w:pBdr>
        <w:rPr>
          <w:noProof/>
        </w:rPr>
      </w:pPr>
      <w:r>
        <w:rPr>
          <w:noProof/>
        </w:rPr>
        <w:t>– Nie je dostatok mladých ľudí registrovaných v databáze s potrebnou motiváciou pre solidárne činnosti.</w:t>
      </w:r>
    </w:p>
    <w:p>
      <w:pPr>
        <w:pStyle w:val="Text1"/>
        <w:pBdr>
          <w:top w:val="single" w:sz="4" w:space="0" w:color="000000"/>
          <w:left w:val="single" w:sz="4" w:space="0" w:color="000000"/>
          <w:bottom w:val="single" w:sz="4" w:space="0" w:color="000000"/>
          <w:right w:val="single" w:sz="4" w:space="0" w:color="000000"/>
        </w:pBdr>
        <w:rPr>
          <w:noProof/>
        </w:rPr>
      </w:pPr>
      <w:r>
        <w:rPr>
          <w:noProof/>
        </w:rPr>
        <w:t>– Nie je dostatok ponúk od organizácií alebo ponuky nezodpovedajú záujmom mladých účastníkov Európskeho zboru solidarity.</w:t>
      </w:r>
    </w:p>
    <w:p>
      <w:pPr>
        <w:pStyle w:val="Text1"/>
        <w:pBdr>
          <w:top w:val="single" w:sz="4" w:space="0" w:color="000000"/>
          <w:left w:val="single" w:sz="4" w:space="0" w:color="000000"/>
          <w:bottom w:val="single" w:sz="4" w:space="0" w:color="000000"/>
          <w:right w:val="single" w:sz="4" w:space="0" w:color="000000"/>
        </w:pBdr>
        <w:rPr>
          <w:noProof/>
        </w:rPr>
      </w:pPr>
      <w:r>
        <w:rPr>
          <w:noProof/>
        </w:rPr>
        <w:t>– Zapojené organizácie, ktoré sa dopúšťajú podvodu alebo nezrovnalostí s prijatými finančnými prostriedkami.</w:t>
      </w:r>
    </w:p>
    <w:p>
      <w:pPr>
        <w:pStyle w:val="Text1"/>
        <w:pBdr>
          <w:top w:val="single" w:sz="4" w:space="0" w:color="000000"/>
          <w:left w:val="single" w:sz="4" w:space="0" w:color="000000"/>
          <w:bottom w:val="single" w:sz="4" w:space="0" w:color="000000"/>
          <w:right w:val="single" w:sz="4" w:space="0" w:color="000000"/>
        </w:pBdr>
        <w:rPr>
          <w:noProof/>
        </w:rPr>
      </w:pPr>
      <w:r>
        <w:rPr>
          <w:noProof/>
        </w:rPr>
        <w:t>– Podvod spáchaný účastníkmi vedie k zvýšeným nákladom na celkové poistenie.</w:t>
      </w:r>
    </w:p>
    <w:p>
      <w:pPr>
        <w:pStyle w:val="Text1"/>
        <w:pBdr>
          <w:top w:val="single" w:sz="4" w:space="0" w:color="000000"/>
          <w:left w:val="single" w:sz="4" w:space="0" w:color="000000"/>
          <w:bottom w:val="single" w:sz="4" w:space="0" w:color="000000"/>
          <w:right w:val="single" w:sz="4" w:space="0" w:color="000000"/>
        </w:pBdr>
        <w:rPr>
          <w:noProof/>
        </w:rPr>
      </w:pPr>
      <w:r>
        <w:rPr>
          <w:noProof/>
        </w:rPr>
        <w:t>– Pre rýchlo sa meniace prostredie v tretej krajine sa vyslanie dobrovoľníka stáva nebezpečné.</w:t>
      </w:r>
    </w:p>
    <w:p>
      <w:pPr>
        <w:pStyle w:val="Text1"/>
        <w:pBdr>
          <w:top w:val="single" w:sz="4" w:space="0" w:color="000000"/>
          <w:left w:val="single" w:sz="4" w:space="0" w:color="000000"/>
          <w:bottom w:val="single" w:sz="4" w:space="0" w:color="000000"/>
          <w:right w:val="single" w:sz="4" w:space="0" w:color="000000"/>
        </w:pBdr>
        <w:rPr>
          <w:noProof/>
        </w:rPr>
      </w:pPr>
      <w:r>
        <w:rPr>
          <w:noProof/>
        </w:rPr>
        <w:t>– Oslabenie činností humanitárnej pomoci v rámci iných činnosti Európskeho zboru solidarity.</w:t>
      </w:r>
    </w:p>
    <w:p>
      <w:pPr>
        <w:pStyle w:val="Text1"/>
        <w:pBdr>
          <w:top w:val="single" w:sz="4" w:space="0" w:color="000000"/>
          <w:left w:val="single" w:sz="4" w:space="0" w:color="000000"/>
          <w:bottom w:val="single" w:sz="4" w:space="0" w:color="000000"/>
          <w:right w:val="single" w:sz="4" w:space="0" w:color="000000"/>
        </w:pBdr>
        <w:rPr>
          <w:noProof/>
        </w:rPr>
      </w:pPr>
      <w:r>
        <w:rPr>
          <w:noProof/>
        </w:rPr>
        <w:t xml:space="preserve">Každé z týchto rizík bolo predmetom analýzy na posúdenie pravdepodobnosti a účinku, ktoré by mali v programe, keby sa realizovali. Okrem toho boli v hodnotení </w:t>
      </w:r>
      <w:r>
        <w:rPr>
          <w:i/>
          <w:noProof/>
        </w:rPr>
        <w:t>ex ante</w:t>
      </w:r>
      <w:r>
        <w:rPr>
          <w:noProof/>
        </w:rPr>
        <w:t xml:space="preserve"> pre každé riziko navrhnuté zmierňujúce opatrenia.</w:t>
      </w:r>
    </w:p>
    <w:p>
      <w:pPr>
        <w:pStyle w:val="Text1"/>
        <w:pBdr>
          <w:top w:val="single" w:sz="4" w:space="0" w:color="000000"/>
          <w:left w:val="single" w:sz="4" w:space="0" w:color="000000"/>
          <w:bottom w:val="single" w:sz="4" w:space="0" w:color="000000"/>
          <w:right w:val="single" w:sz="4" w:space="0" w:color="000000"/>
        </w:pBdr>
        <w:rPr>
          <w:noProof/>
        </w:rPr>
      </w:pPr>
      <w:r>
        <w:rPr>
          <w:noProof/>
        </w:rPr>
        <w:t>Systém kontroly pre iniciatívu bude organizovaný tak, aby sa zabezpečila efektívnosť a nákladová účinnosť kontrol. Dohľadom Komisie a výkonnostnými rámcami sa zabezpečí vysoká úroveň monitorovania a spätnej väzby na účely formovania prístupu v rámci politiky.</w:t>
      </w:r>
    </w:p>
    <w:p>
      <w:pPr>
        <w:pStyle w:val="ManualHeading3"/>
        <w:rPr>
          <w:noProof/>
        </w:rPr>
      </w:pPr>
      <w:r>
        <w:t>2.2.3.</w:t>
      </w:r>
      <w:r>
        <w:tab/>
      </w:r>
      <w:r>
        <w:rPr>
          <w:noProof/>
        </w:rPr>
        <w:t>Odhad a opodstatnenie nákladovej účinnosti kontrol (pomer náklady na kontroly – hodnota súvisiacich riadených finančných prostriedkov) a posúdenie očakávaných úrovní rizika chyby (pri platbe a uzavretí)</w:t>
      </w:r>
    </w:p>
    <w:p>
      <w:pPr>
        <w:pStyle w:val="Text1"/>
        <w:pBdr>
          <w:top w:val="single" w:sz="4" w:space="0" w:color="000000"/>
          <w:left w:val="single" w:sz="4" w:space="0" w:color="000000"/>
          <w:bottom w:val="single" w:sz="4" w:space="0" w:color="000000"/>
          <w:right w:val="single" w:sz="4" w:space="0" w:color="000000"/>
        </w:pBdr>
        <w:rPr>
          <w:noProof/>
        </w:rPr>
      </w:pPr>
      <w:r>
        <w:rPr>
          <w:noProof/>
        </w:rPr>
        <w:t>Komisia odhaduje, že celkové náklady na kontrolu sú nízke, a v závislosti od podniknutého opatrenia sa pohybujú v rozsahu od 1 do 2 % spravovaného rozpočtu (s výnimkou rozpočtu Výkonnej agentúry pre vzdelávanie, audiovizuálny sektor a kultúru). Tieto náklady sú primerané a nákladovo efektívne vzhľadom na pravdepodobné riziko chyby v prípade, že by takéto kontroly neboli zavedené, a vzhľadom na požiadavku, aby chybovosť bola na úrovni pod 2 %. Na základe skúseností so súčasným Európskym zborom solidarity a programom Európska dobrovoľnícka služba, ktorý mu predchádzal, je očakávané riziko chyby menej ako 2 %.</w:t>
      </w:r>
    </w:p>
    <w:p>
      <w:pPr>
        <w:pStyle w:val="ManualHeading2"/>
        <w:rPr>
          <w:noProof/>
        </w:rPr>
      </w:pPr>
      <w:r>
        <w:t>2.3.</w:t>
      </w:r>
      <w:r>
        <w:tab/>
      </w:r>
      <w:r>
        <w:rPr>
          <w:noProof/>
        </w:rPr>
        <w:t>Opatrenia na predchádzanie podvodom a nezrovnalostiam</w:t>
      </w:r>
    </w:p>
    <w:p>
      <w:pPr>
        <w:pStyle w:val="Text1"/>
        <w:rPr>
          <w:i/>
          <w:iCs/>
          <w:noProof/>
          <w:sz w:val="20"/>
          <w:szCs w:val="20"/>
        </w:rPr>
      </w:pPr>
      <w:r>
        <w:rPr>
          <w:i/>
          <w:noProof/>
          <w:sz w:val="20"/>
        </w:rPr>
        <w:t>Uveďte existujúce a plánované preventívne a ochranné opatrenia, napr. zo stratégie boja proti podvodom.</w:t>
      </w:r>
    </w:p>
    <w:p>
      <w:pPr>
        <w:pStyle w:val="Text1"/>
        <w:pBdr>
          <w:top w:val="single" w:sz="4" w:space="0" w:color="000000"/>
          <w:left w:val="single" w:sz="4" w:space="0" w:color="000000"/>
          <w:bottom w:val="single" w:sz="4" w:space="0" w:color="000000"/>
          <w:right w:val="single" w:sz="4" w:space="0" w:color="000000"/>
        </w:pBdr>
        <w:rPr>
          <w:noProof/>
        </w:rPr>
      </w:pPr>
      <w:r>
        <w:rPr>
          <w:noProof/>
        </w:rPr>
        <w:t>Kontroly zamerané na predchádzanie podvodom a ich odhaľovanie sa nelíšia od kontrol, ktorých cieľom je zabezpečiť zákonnosť a riadnosť transakcií (neúmyselné chyby). Komisia každoročne preskúma všetky správy národných agentúr z hľadiska možného podvodu alebo nezrovnalostí. Tieto prípady sa následne riešia na vnútroštátnej úrovni, v rámci ktorej majú národné agentúry priamy prístup k prostriedkom právnej nápravy a podnetom v prípade podvodov.</w:t>
      </w:r>
    </w:p>
    <w:p>
      <w:pPr>
        <w:pStyle w:val="Text1"/>
        <w:pBdr>
          <w:top w:val="single" w:sz="4" w:space="0" w:color="000000"/>
          <w:left w:val="single" w:sz="4" w:space="0" w:color="000000"/>
          <w:bottom w:val="single" w:sz="4" w:space="0" w:color="000000"/>
          <w:right w:val="single" w:sz="4" w:space="0" w:color="000000"/>
        </w:pBdr>
        <w:rPr>
          <w:noProof/>
        </w:rPr>
      </w:pPr>
      <w:r>
        <w:rPr>
          <w:noProof/>
        </w:rPr>
        <w:t>Útvary Komisie prispievajú k prebiehajúcim vyšetrovaniam úradu OLAF a organizujú činnosti nadväzujúce na ukončené vyšetrovania úradu OLAF. Finančné dôsledky pre rozpočet EÚ vyplývajúce z podvodov zistených v záverečných správach úradu OLAF týkajúcich sa programov s podobnými pravidlami financovania a zainteresovanými stranami sú nízke. Jednotlivé konania sa podľa potreby nahlasujú úradu OLAF a úradu IDOC, ale významné množstvo konaní počas roka riešia priamo národné agentúry a národné orgány, ktoré majú priamy prístup k príslušným justičným orgánom a orgánom boja proti podvodom.</w:t>
      </w:r>
    </w:p>
    <w:p>
      <w:pPr>
        <w:pStyle w:val="Text1"/>
        <w:pBdr>
          <w:top w:val="single" w:sz="4" w:space="0" w:color="000000"/>
          <w:left w:val="single" w:sz="4" w:space="0" w:color="000000"/>
          <w:bottom w:val="single" w:sz="4" w:space="0" w:color="000000"/>
          <w:right w:val="single" w:sz="4" w:space="0" w:color="000000"/>
        </w:pBdr>
        <w:rPr>
          <w:noProof/>
        </w:rPr>
      </w:pPr>
      <w:r>
        <w:rPr>
          <w:noProof/>
        </w:rPr>
        <w:t>Útvary Komisie, ktoré implementujú akciu, vypracovali a od roku 2014 vykonávajú vlastnú stratégiu boja proti podvodom, ktorá bol vytvorená podľa metodiky úradu OLAF. Stratégia sa pravidelne aktualizuje a podľa potreby dopĺňa (naposledy v roku 2017) procesnými písomnosťami nižšej úrovne s uvedením informácií o spôsobe podania podnetu a riešení daných konaní.</w:t>
      </w:r>
    </w:p>
    <w:p>
      <w:pPr>
        <w:pStyle w:val="Text1"/>
        <w:pBdr>
          <w:top w:val="single" w:sz="4" w:space="0" w:color="000000"/>
          <w:left w:val="single" w:sz="4" w:space="0" w:color="000000"/>
          <w:bottom w:val="single" w:sz="4" w:space="0" w:color="000000"/>
          <w:right w:val="single" w:sz="4" w:space="0" w:color="000000"/>
        </w:pBdr>
        <w:rPr>
          <w:noProof/>
        </w:rPr>
      </w:pPr>
      <w:r>
        <w:rPr>
          <w:noProof/>
        </w:rPr>
        <w:t>Zo záveru hodnotenia v polovici obdobia programu Erasmus +vyplýva, že vzhľadom na to, že rozsah podvodu v rámci programu je mimoriadne obmedzený a zväčša sa týka iba prípadov, keď sa predloží viacero žiadostí o projekty alebo keď vedúci projektu neplnia svoje povinnosti, súčasné opatrenia sa považujú za vhodné a primerané. Vzhľadom na mieru, v ktorej môže podvod ovplyvniť navrhovaný program, najmä na finančné dôsledky zaznamenané Európskym úradom pre boj proti podvodom, reziduálne riziko podvodu neodôvodňuje dodatočné opatrenia. Útvary Komisie úzko spolupracujú s úradom OLAF a podrobne monitorujú prebiehajúce konania. Pokiaľ teda ide o uistenie v súvislosti s rizikom podvodu, možno vyvodiť pozitívny záver.</w:t>
      </w:r>
    </w:p>
    <w:p>
      <w:pPr>
        <w:pStyle w:val="ManualHeading1"/>
        <w:rPr>
          <w:noProof/>
        </w:rPr>
      </w:pPr>
      <w:r>
        <w:t>3.</w:t>
      </w:r>
      <w:r>
        <w:tab/>
      </w:r>
      <w:r>
        <w:rPr>
          <w:noProof/>
        </w:rPr>
        <w:t>ODHADOVANÝ FINANČNÝ VPLYV NÁVRHU/INICIATÍVY</w:t>
      </w:r>
      <w:r>
        <w:rPr>
          <w:rStyle w:val="FootnoteReference"/>
          <w:noProof/>
        </w:rPr>
        <w:footnoteReference w:id="38"/>
      </w:r>
    </w:p>
    <w:p>
      <w:pPr>
        <w:pStyle w:val="ManualHeading2"/>
        <w:rPr>
          <w:noProof/>
        </w:rPr>
      </w:pPr>
      <w:r>
        <w:t>3.1.</w:t>
      </w:r>
      <w:r>
        <w:tab/>
      </w:r>
      <w:r>
        <w:rPr>
          <w:noProof/>
        </w:rPr>
        <w:t>Okruh viacročného finančného rámca a nové navrhované rozpočtové riadky výdavkov</w:t>
      </w:r>
    </w:p>
    <w:tbl>
      <w:tblPr>
        <w:tblW w:w="10560"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0"/>
        <w:gridCol w:w="3960"/>
        <w:gridCol w:w="1080"/>
        <w:gridCol w:w="956"/>
        <w:gridCol w:w="1080"/>
        <w:gridCol w:w="956"/>
        <w:gridCol w:w="1448"/>
      </w:tblGrid>
      <w:tr>
        <w:trPr>
          <w:trHeight w:val="64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Okruh viacročného finančného rámca</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0"/>
              </w:rPr>
              <w:t>Rozpočtový riadok</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Druh</w:t>
            </w:r>
            <w:r>
              <w:rPr>
                <w:rFonts w:eastAsia="Arial Unicode MS"/>
                <w:noProof/>
                <w:color w:val="auto"/>
                <w:sz w:val="22"/>
                <w:szCs w:val="22"/>
              </w:rPr>
              <w:br/>
            </w:r>
            <w:r>
              <w:rPr>
                <w:noProof/>
                <w:color w:val="auto"/>
                <w:sz w:val="18"/>
              </w:rPr>
              <w:t>výdavkov</w:t>
            </w:r>
          </w:p>
        </w:tc>
        <w:tc>
          <w:tcPr>
            <w:tcW w:w="44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0"/>
              </w:rPr>
              <w:t xml:space="preserve">Príspevky </w:t>
            </w:r>
          </w:p>
        </w:tc>
      </w:tr>
      <w:tr>
        <w:trPr>
          <w:trHeight w:val="1122"/>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pPr>
              <w:rPr>
                <w:noProof/>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rPr>
                <w:noProof/>
                <w:color w:val="auto"/>
              </w:rPr>
            </w:pPr>
            <w:r>
              <w:rPr>
                <w:noProof/>
                <w:color w:val="auto"/>
                <w:sz w:val="20"/>
              </w:rPr>
              <w:t xml:space="preserve">Číslo </w:t>
            </w:r>
            <w:r>
              <w:rPr>
                <w:rFonts w:eastAsia="Arial Unicode MS"/>
                <w:noProof/>
                <w:color w:val="auto"/>
                <w:sz w:val="22"/>
                <w:szCs w:val="22"/>
              </w:rPr>
              <w:br/>
            </w:r>
            <w:r>
              <w:rPr>
                <w:noProof/>
                <w:color w:val="auto"/>
                <w:sz w:val="22"/>
              </w:rPr>
              <w:t>[…]</w:t>
            </w:r>
            <w:r>
              <w:rPr>
                <w:noProof/>
                <w:color w:val="auto"/>
                <w:sz w:val="20"/>
              </w:rPr>
              <w:t>[Názov……………...……………………….]</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DRP/NRP</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krajín EZVO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kandidátskych krajín</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tretích krajín</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6"/>
              </w:rPr>
              <w:t xml:space="preserve">v zmysle článku [21 ods. 2 písm. b)] nariadenia o rozpočtových pravidlách </w:t>
            </w:r>
          </w:p>
        </w:tc>
      </w:tr>
      <w:tr>
        <w:trPr>
          <w:trHeight w:val="90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u w:color="0000FF"/>
              </w:rPr>
              <w:t>2</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rPr>
                <w:noProof/>
                <w:color w:val="auto"/>
              </w:rPr>
            </w:pPr>
            <w:r>
              <w:rPr>
                <w:noProof/>
                <w:color w:val="auto"/>
              </w:rPr>
              <w:t xml:space="preserve">07 01 XX XX – </w:t>
            </w:r>
            <w:r>
              <w:rPr>
                <w:i/>
                <w:noProof/>
                <w:color w:val="auto"/>
              </w:rPr>
              <w:t>Administratívna podpora pre Európsky zbor solidarity</w:t>
            </w:r>
            <w:r>
              <w:rPr>
                <w:noProof/>
                <w:color w:val="auto"/>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NRP</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ÁNO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ÁNO</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ÁNO/NIE</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ÁNO/NIE</w:t>
            </w:r>
          </w:p>
        </w:tc>
      </w:tr>
      <w:tr>
        <w:trPr>
          <w:trHeight w:val="60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u w:color="0000FF"/>
              </w:rPr>
              <w:t>2</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rPr>
                <w:noProof/>
                <w:color w:val="auto"/>
              </w:rPr>
            </w:pPr>
            <w:r>
              <w:rPr>
                <w:noProof/>
                <w:color w:val="auto"/>
              </w:rPr>
              <w:t xml:space="preserve">07 04 01 </w:t>
            </w:r>
            <w:r>
              <w:rPr>
                <w:i/>
                <w:noProof/>
                <w:color w:val="auto"/>
              </w:rPr>
              <w:t>– Európsky zbor solidarity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DRP</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ÁNO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ÁNO</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ÁNO/NIE</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ÁNO/NIE</w:t>
            </w:r>
          </w:p>
        </w:tc>
      </w:tr>
    </w:tbl>
    <w:p>
      <w:pPr>
        <w:rPr>
          <w:noProof/>
        </w:rPr>
      </w:pPr>
    </w:p>
    <w:p>
      <w:pPr>
        <w:pStyle w:val="Text"/>
        <w:rPr>
          <w:noProof/>
          <w:color w:val="auto"/>
        </w:rPr>
        <w:sectPr>
          <w:headerReference w:type="default" r:id="rId20"/>
          <w:footerReference w:type="default" r:id="rId21"/>
          <w:headerReference w:type="first" r:id="rId22"/>
          <w:footerReference w:type="first" r:id="rId23"/>
          <w:pgSz w:w="11900" w:h="16840"/>
          <w:pgMar w:top="1134" w:right="1418" w:bottom="1134" w:left="1418" w:header="709" w:footer="709" w:gutter="0"/>
          <w:cols w:space="720"/>
          <w:docGrid w:linePitch="326"/>
        </w:sectPr>
      </w:pPr>
    </w:p>
    <w:p>
      <w:pPr>
        <w:pStyle w:val="ManualHeading2"/>
        <w:rPr>
          <w:noProof/>
        </w:rPr>
      </w:pPr>
      <w:r>
        <w:t>3.2.</w:t>
      </w:r>
      <w:r>
        <w:tab/>
      </w:r>
      <w:r>
        <w:rPr>
          <w:noProof/>
        </w:rPr>
        <w:t>Odhadovaný vplyv na výdavky</w:t>
      </w:r>
    </w:p>
    <w:p>
      <w:pPr>
        <w:pStyle w:val="ManualHeading3"/>
        <w:rPr>
          <w:noProof/>
          <w:u w:val="single"/>
        </w:rPr>
      </w:pPr>
      <w:r>
        <w:t>3.2.1.</w:t>
      </w:r>
      <w:r>
        <w:tab/>
      </w:r>
      <w:r>
        <w:rPr>
          <w:noProof/>
        </w:rPr>
        <w:t>Zhrnutie odhadovaného vplyvu na výdavky</w:t>
      </w:r>
    </w:p>
    <w:p>
      <w:pPr>
        <w:pStyle w:val="Text"/>
        <w:jc w:val="right"/>
        <w:rPr>
          <w:noProof/>
          <w:color w:val="auto"/>
          <w:sz w:val="20"/>
          <w:szCs w:val="20"/>
        </w:rPr>
      </w:pPr>
      <w:r>
        <w:rPr>
          <w:noProof/>
          <w:color w:val="auto"/>
          <w:sz w:val="20"/>
        </w:rPr>
        <w:t>v mil. EUR (zaokrúhlené na 3 desatinné miesta)</w:t>
      </w: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5"/>
        <w:gridCol w:w="635"/>
        <w:gridCol w:w="793"/>
        <w:gridCol w:w="280"/>
        <w:gridCol w:w="370"/>
        <w:gridCol w:w="862"/>
        <w:gridCol w:w="862"/>
        <w:gridCol w:w="862"/>
        <w:gridCol w:w="862"/>
        <w:gridCol w:w="862"/>
        <w:gridCol w:w="862"/>
        <w:gridCol w:w="862"/>
        <w:gridCol w:w="903"/>
        <w:gridCol w:w="456"/>
        <w:gridCol w:w="823"/>
        <w:gridCol w:w="112"/>
      </w:tblGrid>
      <w:tr>
        <w:trPr>
          <w:gridAfter w:val="2"/>
          <w:wAfter w:w="830" w:type="dxa"/>
          <w:jc w:val="center"/>
        </w:trPr>
        <w:tc>
          <w:tcPr>
            <w:tcW w:w="4744" w:type="dxa"/>
            <w:gridSpan w:val="2"/>
            <w:shd w:val="thinDiagStripe" w:color="C0C0C0" w:fill="auto"/>
            <w:vAlign w:val="center"/>
          </w:tcPr>
          <w:p>
            <w:pPr>
              <w:jc w:val="center"/>
              <w:rPr>
                <w:b/>
                <w:noProof/>
              </w:rPr>
            </w:pPr>
            <w:r>
              <w:rPr>
                <w:b/>
                <w:noProof/>
                <w:sz w:val="22"/>
              </w:rPr>
              <w:t xml:space="preserve">Okruh viacročného finančného </w:t>
            </w:r>
            <w:r>
              <w:rPr>
                <w:noProof/>
                <w:sz w:val="22"/>
              </w:rPr>
              <w:br/>
            </w:r>
            <w:r>
              <w:rPr>
                <w:b/>
                <w:noProof/>
                <w:sz w:val="22"/>
              </w:rPr>
              <w:t xml:space="preserve">rámca: </w:t>
            </w:r>
          </w:p>
        </w:tc>
        <w:tc>
          <w:tcPr>
            <w:tcW w:w="1080" w:type="dxa"/>
            <w:gridSpan w:val="2"/>
            <w:vAlign w:val="center"/>
          </w:tcPr>
          <w:p>
            <w:pPr>
              <w:jc w:val="center"/>
              <w:rPr>
                <w:noProof/>
              </w:rPr>
            </w:pPr>
            <w:r>
              <w:rPr>
                <w:noProof/>
              </w:rPr>
              <w:t>2</w:t>
            </w:r>
          </w:p>
        </w:tc>
        <w:tc>
          <w:tcPr>
            <w:tcW w:w="7817" w:type="dxa"/>
            <w:gridSpan w:val="10"/>
            <w:vAlign w:val="center"/>
          </w:tcPr>
          <w:p>
            <w:pPr>
              <w:rPr>
                <w:noProof/>
              </w:rPr>
            </w:pPr>
            <w:r>
              <w:rPr>
                <w:noProof/>
              </w:rPr>
              <w:t>Súdržnosť a hodnoty</w:t>
            </w:r>
          </w:p>
        </w:tc>
      </w:tr>
      <w:tr>
        <w:trPr>
          <w:jc w:val="center"/>
        </w:trPr>
        <w:tc>
          <w:tcPr>
            <w:tcW w:w="6197" w:type="dxa"/>
            <w:gridSpan w:val="5"/>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Po roku 2027</w:t>
            </w:r>
          </w:p>
        </w:tc>
        <w:tc>
          <w:tcPr>
            <w:tcW w:w="1289" w:type="dxa"/>
            <w:gridSpan w:val="3"/>
            <w:vAlign w:val="center"/>
          </w:tcPr>
          <w:p>
            <w:pPr>
              <w:jc w:val="center"/>
              <w:rPr>
                <w:b/>
                <w:noProof/>
                <w:sz w:val="20"/>
              </w:rPr>
            </w:pPr>
            <w:r>
              <w:rPr>
                <w:b/>
                <w:noProof/>
                <w:sz w:val="20"/>
              </w:rPr>
              <w:t>SPOLU</w:t>
            </w:r>
          </w:p>
        </w:tc>
      </w:tr>
      <w:tr>
        <w:trPr>
          <w:trHeight w:val="433"/>
          <w:jc w:val="center"/>
        </w:trPr>
        <w:tc>
          <w:tcPr>
            <w:tcW w:w="14471" w:type="dxa"/>
            <w:gridSpan w:val="16"/>
            <w:vAlign w:val="center"/>
          </w:tcPr>
          <w:p>
            <w:pPr>
              <w:rPr>
                <w:b/>
                <w:noProof/>
                <w:sz w:val="20"/>
              </w:rPr>
            </w:pPr>
            <w:r>
              <w:rPr>
                <w:b/>
                <w:noProof/>
                <w:sz w:val="20"/>
              </w:rPr>
              <w:t>Operačné rozpočtové prostriedky</w:t>
            </w:r>
          </w:p>
        </w:tc>
      </w:tr>
      <w:tr>
        <w:trPr>
          <w:trHeight w:val="433"/>
          <w:jc w:val="center"/>
        </w:trPr>
        <w:tc>
          <w:tcPr>
            <w:tcW w:w="4103" w:type="dxa"/>
            <w:vMerge w:val="restart"/>
            <w:vAlign w:val="center"/>
          </w:tcPr>
          <w:p>
            <w:pPr>
              <w:rPr>
                <w:noProof/>
              </w:rPr>
            </w:pPr>
            <w:r>
              <w:rPr>
                <w:noProof/>
              </w:rPr>
              <w:t xml:space="preserve">07 04 01 </w:t>
            </w:r>
            <w:r>
              <w:rPr>
                <w:i/>
                <w:noProof/>
              </w:rPr>
              <w:t>– Európsky zbor solidarity</w:t>
            </w:r>
          </w:p>
        </w:tc>
        <w:tc>
          <w:tcPr>
            <w:tcW w:w="1440" w:type="dxa"/>
            <w:gridSpan w:val="2"/>
            <w:vAlign w:val="center"/>
          </w:tcPr>
          <w:p>
            <w:pPr>
              <w:rPr>
                <w:noProof/>
                <w:sz w:val="18"/>
              </w:rPr>
            </w:pPr>
            <w:r>
              <w:rPr>
                <w:noProof/>
                <w:sz w:val="18"/>
              </w:rPr>
              <w:t>Záväzky</w:t>
            </w:r>
          </w:p>
        </w:tc>
        <w:tc>
          <w:tcPr>
            <w:tcW w:w="654" w:type="dxa"/>
            <w:gridSpan w:val="2"/>
            <w:vAlign w:val="center"/>
          </w:tcPr>
          <w:p>
            <w:pPr>
              <w:jc w:val="center"/>
              <w:rPr>
                <w:noProof/>
                <w:sz w:val="14"/>
              </w:rPr>
            </w:pPr>
            <w:r>
              <w:rPr>
                <w:noProof/>
                <w:sz w:val="14"/>
              </w:rPr>
              <w:t>(1)</w:t>
            </w:r>
          </w:p>
        </w:tc>
        <w:tc>
          <w:tcPr>
            <w:tcW w:w="868" w:type="dxa"/>
            <w:vAlign w:val="center"/>
          </w:tcPr>
          <w:p>
            <w:pPr>
              <w:jc w:val="right"/>
              <w:rPr>
                <w:noProof/>
                <w:sz w:val="18"/>
                <w:szCs w:val="18"/>
              </w:rPr>
            </w:pPr>
            <w:r>
              <w:rPr>
                <w:noProof/>
                <w:sz w:val="18"/>
              </w:rPr>
              <w:t>141,595</w:t>
            </w:r>
          </w:p>
        </w:tc>
        <w:tc>
          <w:tcPr>
            <w:tcW w:w="868" w:type="dxa"/>
            <w:vAlign w:val="center"/>
          </w:tcPr>
          <w:p>
            <w:pPr>
              <w:jc w:val="right"/>
              <w:rPr>
                <w:noProof/>
                <w:sz w:val="18"/>
                <w:szCs w:val="18"/>
              </w:rPr>
            </w:pPr>
            <w:r>
              <w:rPr>
                <w:noProof/>
                <w:sz w:val="18"/>
              </w:rPr>
              <w:t>146,347</w:t>
            </w:r>
          </w:p>
        </w:tc>
        <w:tc>
          <w:tcPr>
            <w:tcW w:w="868" w:type="dxa"/>
            <w:vAlign w:val="center"/>
          </w:tcPr>
          <w:p>
            <w:pPr>
              <w:jc w:val="right"/>
              <w:rPr>
                <w:noProof/>
                <w:sz w:val="18"/>
                <w:szCs w:val="18"/>
              </w:rPr>
            </w:pPr>
            <w:r>
              <w:rPr>
                <w:noProof/>
                <w:sz w:val="18"/>
              </w:rPr>
              <w:t>153,799</w:t>
            </w:r>
          </w:p>
        </w:tc>
        <w:tc>
          <w:tcPr>
            <w:tcW w:w="868" w:type="dxa"/>
            <w:vAlign w:val="center"/>
          </w:tcPr>
          <w:p>
            <w:pPr>
              <w:jc w:val="right"/>
              <w:rPr>
                <w:noProof/>
                <w:sz w:val="18"/>
                <w:szCs w:val="18"/>
              </w:rPr>
            </w:pPr>
            <w:r>
              <w:rPr>
                <w:noProof/>
                <w:sz w:val="18"/>
              </w:rPr>
              <w:t>164,372</w:t>
            </w:r>
          </w:p>
        </w:tc>
        <w:tc>
          <w:tcPr>
            <w:tcW w:w="868" w:type="dxa"/>
            <w:vAlign w:val="center"/>
          </w:tcPr>
          <w:p>
            <w:pPr>
              <w:jc w:val="right"/>
              <w:rPr>
                <w:noProof/>
                <w:sz w:val="18"/>
                <w:szCs w:val="18"/>
              </w:rPr>
            </w:pPr>
            <w:r>
              <w:rPr>
                <w:noProof/>
                <w:sz w:val="18"/>
              </w:rPr>
              <w:t>178,692</w:t>
            </w:r>
          </w:p>
        </w:tc>
        <w:tc>
          <w:tcPr>
            <w:tcW w:w="868" w:type="dxa"/>
            <w:vAlign w:val="center"/>
          </w:tcPr>
          <w:p>
            <w:pPr>
              <w:jc w:val="right"/>
              <w:rPr>
                <w:noProof/>
                <w:sz w:val="18"/>
                <w:szCs w:val="18"/>
              </w:rPr>
            </w:pPr>
            <w:r>
              <w:rPr>
                <w:noProof/>
                <w:sz w:val="18"/>
              </w:rPr>
              <w:t>197,648</w:t>
            </w:r>
          </w:p>
        </w:tc>
        <w:tc>
          <w:tcPr>
            <w:tcW w:w="868" w:type="dxa"/>
            <w:vAlign w:val="center"/>
          </w:tcPr>
          <w:p>
            <w:pPr>
              <w:jc w:val="right"/>
              <w:rPr>
                <w:noProof/>
                <w:sz w:val="18"/>
                <w:szCs w:val="18"/>
              </w:rPr>
            </w:pPr>
            <w:r>
              <w:rPr>
                <w:noProof/>
                <w:sz w:val="18"/>
              </w:rPr>
              <w:t>221,547</w:t>
            </w:r>
          </w:p>
        </w:tc>
        <w:tc>
          <w:tcPr>
            <w:tcW w:w="909" w:type="dxa"/>
            <w:shd w:val="clear" w:color="auto" w:fill="A6A6A6" w:themeFill="background1" w:themeFillShade="A6"/>
          </w:tcPr>
          <w:p>
            <w:pPr>
              <w:jc w:val="right"/>
              <w:rPr>
                <w:b/>
                <w:noProof/>
                <w:sz w:val="20"/>
              </w:rPr>
            </w:pPr>
          </w:p>
        </w:tc>
        <w:tc>
          <w:tcPr>
            <w:tcW w:w="1289" w:type="dxa"/>
            <w:gridSpan w:val="3"/>
            <w:vAlign w:val="center"/>
          </w:tcPr>
          <w:p>
            <w:pPr>
              <w:jc w:val="center"/>
              <w:rPr>
                <w:b/>
                <w:noProof/>
                <w:sz w:val="20"/>
              </w:rPr>
            </w:pPr>
            <w:r>
              <w:rPr>
                <w:b/>
                <w:noProof/>
                <w:sz w:val="18"/>
              </w:rPr>
              <w:t>1 204,000</w:t>
            </w:r>
          </w:p>
        </w:tc>
      </w:tr>
      <w:tr>
        <w:trPr>
          <w:trHeight w:val="411"/>
          <w:jc w:val="center"/>
        </w:trPr>
        <w:tc>
          <w:tcPr>
            <w:tcW w:w="4103" w:type="dxa"/>
            <w:vMerge/>
          </w:tcPr>
          <w:p>
            <w:pPr>
              <w:rPr>
                <w:noProof/>
              </w:rPr>
            </w:pPr>
          </w:p>
        </w:tc>
        <w:tc>
          <w:tcPr>
            <w:tcW w:w="1440" w:type="dxa"/>
            <w:gridSpan w:val="2"/>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(2)</w:t>
            </w:r>
          </w:p>
        </w:tc>
        <w:tc>
          <w:tcPr>
            <w:tcW w:w="868" w:type="dxa"/>
            <w:vAlign w:val="center"/>
          </w:tcPr>
          <w:p>
            <w:pPr>
              <w:jc w:val="right"/>
              <w:rPr>
                <w:noProof/>
                <w:sz w:val="18"/>
                <w:szCs w:val="18"/>
              </w:rPr>
            </w:pPr>
            <w:r>
              <w:rPr>
                <w:noProof/>
                <w:sz w:val="18"/>
              </w:rPr>
              <w:t>103,858</w:t>
            </w:r>
          </w:p>
        </w:tc>
        <w:tc>
          <w:tcPr>
            <w:tcW w:w="868" w:type="dxa"/>
            <w:vAlign w:val="center"/>
          </w:tcPr>
          <w:p>
            <w:pPr>
              <w:jc w:val="right"/>
              <w:rPr>
                <w:noProof/>
                <w:sz w:val="18"/>
                <w:szCs w:val="18"/>
              </w:rPr>
            </w:pPr>
            <w:r>
              <w:rPr>
                <w:noProof/>
                <w:sz w:val="18"/>
              </w:rPr>
              <w:t>133,016</w:t>
            </w:r>
          </w:p>
        </w:tc>
        <w:tc>
          <w:tcPr>
            <w:tcW w:w="868" w:type="dxa"/>
            <w:vAlign w:val="center"/>
          </w:tcPr>
          <w:p>
            <w:pPr>
              <w:jc w:val="right"/>
              <w:rPr>
                <w:noProof/>
                <w:sz w:val="18"/>
                <w:szCs w:val="18"/>
              </w:rPr>
            </w:pPr>
            <w:r>
              <w:rPr>
                <w:noProof/>
                <w:sz w:val="18"/>
              </w:rPr>
              <w:t>145,078</w:t>
            </w:r>
          </w:p>
        </w:tc>
        <w:tc>
          <w:tcPr>
            <w:tcW w:w="868" w:type="dxa"/>
            <w:vAlign w:val="center"/>
          </w:tcPr>
          <w:p>
            <w:pPr>
              <w:jc w:val="right"/>
              <w:rPr>
                <w:noProof/>
                <w:sz w:val="18"/>
                <w:szCs w:val="18"/>
              </w:rPr>
            </w:pPr>
            <w:r>
              <w:rPr>
                <w:noProof/>
                <w:sz w:val="18"/>
              </w:rPr>
              <w:t>156,215</w:t>
            </w:r>
          </w:p>
        </w:tc>
        <w:tc>
          <w:tcPr>
            <w:tcW w:w="868" w:type="dxa"/>
            <w:vAlign w:val="center"/>
          </w:tcPr>
          <w:p>
            <w:pPr>
              <w:jc w:val="right"/>
              <w:rPr>
                <w:noProof/>
                <w:sz w:val="18"/>
                <w:szCs w:val="18"/>
              </w:rPr>
            </w:pPr>
            <w:r>
              <w:rPr>
                <w:noProof/>
                <w:sz w:val="18"/>
              </w:rPr>
              <w:t>169,764</w:t>
            </w:r>
          </w:p>
        </w:tc>
        <w:tc>
          <w:tcPr>
            <w:tcW w:w="868" w:type="dxa"/>
            <w:vAlign w:val="center"/>
          </w:tcPr>
          <w:p>
            <w:pPr>
              <w:jc w:val="right"/>
              <w:rPr>
                <w:noProof/>
                <w:sz w:val="18"/>
                <w:szCs w:val="18"/>
              </w:rPr>
            </w:pPr>
            <w:r>
              <w:rPr>
                <w:noProof/>
                <w:sz w:val="18"/>
              </w:rPr>
              <w:t>187,129</w:t>
            </w:r>
          </w:p>
        </w:tc>
        <w:tc>
          <w:tcPr>
            <w:tcW w:w="868" w:type="dxa"/>
            <w:vAlign w:val="center"/>
          </w:tcPr>
          <w:p>
            <w:pPr>
              <w:jc w:val="right"/>
              <w:rPr>
                <w:noProof/>
                <w:sz w:val="18"/>
                <w:szCs w:val="18"/>
              </w:rPr>
            </w:pPr>
            <w:r>
              <w:rPr>
                <w:noProof/>
                <w:sz w:val="18"/>
              </w:rPr>
              <w:t>209,231</w:t>
            </w:r>
          </w:p>
        </w:tc>
        <w:tc>
          <w:tcPr>
            <w:tcW w:w="909" w:type="dxa"/>
            <w:vAlign w:val="center"/>
          </w:tcPr>
          <w:p>
            <w:pPr>
              <w:jc w:val="right"/>
              <w:rPr>
                <w:noProof/>
                <w:sz w:val="18"/>
                <w:szCs w:val="18"/>
              </w:rPr>
            </w:pPr>
            <w:r>
              <w:rPr>
                <w:noProof/>
                <w:sz w:val="18"/>
              </w:rPr>
              <w:t>99,710</w:t>
            </w:r>
          </w:p>
        </w:tc>
        <w:tc>
          <w:tcPr>
            <w:tcW w:w="1289" w:type="dxa"/>
            <w:gridSpan w:val="3"/>
            <w:vAlign w:val="center"/>
          </w:tcPr>
          <w:p>
            <w:pPr>
              <w:jc w:val="center"/>
              <w:rPr>
                <w:b/>
                <w:noProof/>
                <w:sz w:val="18"/>
                <w:szCs w:val="18"/>
              </w:rPr>
            </w:pPr>
            <w:r>
              <w:rPr>
                <w:b/>
                <w:noProof/>
                <w:sz w:val="18"/>
              </w:rPr>
              <w:t>1 204,000</w:t>
            </w:r>
          </w:p>
        </w:tc>
      </w:tr>
      <w:tr>
        <w:trPr>
          <w:trHeight w:val="319"/>
          <w:jc w:val="center"/>
        </w:trPr>
        <w:tc>
          <w:tcPr>
            <w:tcW w:w="14471" w:type="dxa"/>
            <w:gridSpan w:val="16"/>
            <w:vAlign w:val="center"/>
          </w:tcPr>
          <w:p>
            <w:pPr>
              <w:rPr>
                <w:b/>
                <w:noProof/>
                <w:sz w:val="20"/>
              </w:rPr>
            </w:pPr>
            <w:r>
              <w:rPr>
                <w:b/>
                <w:noProof/>
                <w:sz w:val="20"/>
              </w:rPr>
              <w:t>Administratívne rozpočtové prostriedky financované z finančného krytia programu</w:t>
            </w:r>
          </w:p>
        </w:tc>
      </w:tr>
      <w:tr>
        <w:trPr>
          <w:trHeight w:val="319"/>
          <w:jc w:val="center"/>
        </w:trPr>
        <w:tc>
          <w:tcPr>
            <w:tcW w:w="4103" w:type="dxa"/>
            <w:vAlign w:val="center"/>
          </w:tcPr>
          <w:p>
            <w:pPr>
              <w:rPr>
                <w:i/>
                <w:noProof/>
              </w:rPr>
            </w:pPr>
            <w:r>
              <w:rPr>
                <w:i/>
                <w:noProof/>
              </w:rPr>
              <w:t xml:space="preserve">07 01 XX XX – Administratívna podpora pre Európsky zbor solidarity </w:t>
            </w:r>
          </w:p>
        </w:tc>
        <w:tc>
          <w:tcPr>
            <w:tcW w:w="1440" w:type="dxa"/>
            <w:gridSpan w:val="2"/>
            <w:vAlign w:val="center"/>
          </w:tcPr>
          <w:p>
            <w:pPr>
              <w:rPr>
                <w:noProof/>
                <w:sz w:val="18"/>
              </w:rPr>
            </w:pPr>
            <w:r>
              <w:rPr>
                <w:noProof/>
                <w:sz w:val="18"/>
              </w:rPr>
              <w:t>Záväzky = Platby</w:t>
            </w:r>
          </w:p>
        </w:tc>
        <w:tc>
          <w:tcPr>
            <w:tcW w:w="654" w:type="dxa"/>
            <w:gridSpan w:val="2"/>
            <w:vAlign w:val="center"/>
          </w:tcPr>
          <w:p>
            <w:pPr>
              <w:jc w:val="center"/>
              <w:rPr>
                <w:noProof/>
                <w:sz w:val="14"/>
              </w:rPr>
            </w:pPr>
            <w:r>
              <w:rPr>
                <w:noProof/>
                <w:sz w:val="14"/>
              </w:rPr>
              <w:t>(3)</w:t>
            </w:r>
          </w:p>
        </w:tc>
        <w:tc>
          <w:tcPr>
            <w:tcW w:w="868" w:type="dxa"/>
            <w:vAlign w:val="center"/>
          </w:tcPr>
          <w:p>
            <w:pPr>
              <w:jc w:val="right"/>
              <w:rPr>
                <w:noProof/>
                <w:sz w:val="18"/>
                <w:szCs w:val="18"/>
              </w:rPr>
            </w:pPr>
            <w:r>
              <w:rPr>
                <w:noProof/>
                <w:sz w:val="18"/>
              </w:rPr>
              <w:t>6,586</w:t>
            </w:r>
          </w:p>
        </w:tc>
        <w:tc>
          <w:tcPr>
            <w:tcW w:w="868" w:type="dxa"/>
            <w:vAlign w:val="center"/>
          </w:tcPr>
          <w:p>
            <w:pPr>
              <w:jc w:val="right"/>
              <w:rPr>
                <w:noProof/>
                <w:sz w:val="18"/>
                <w:szCs w:val="18"/>
              </w:rPr>
            </w:pPr>
            <w:r>
              <w:rPr>
                <w:noProof/>
                <w:sz w:val="18"/>
              </w:rPr>
              <w:t>6,807</w:t>
            </w:r>
          </w:p>
        </w:tc>
        <w:tc>
          <w:tcPr>
            <w:tcW w:w="868" w:type="dxa"/>
            <w:vAlign w:val="center"/>
          </w:tcPr>
          <w:p>
            <w:pPr>
              <w:jc w:val="right"/>
              <w:rPr>
                <w:noProof/>
                <w:sz w:val="18"/>
                <w:szCs w:val="18"/>
              </w:rPr>
            </w:pPr>
            <w:r>
              <w:rPr>
                <w:noProof/>
                <w:sz w:val="18"/>
              </w:rPr>
              <w:t>7,153</w:t>
            </w:r>
          </w:p>
        </w:tc>
        <w:tc>
          <w:tcPr>
            <w:tcW w:w="868" w:type="dxa"/>
            <w:vAlign w:val="center"/>
          </w:tcPr>
          <w:p>
            <w:pPr>
              <w:jc w:val="right"/>
              <w:rPr>
                <w:noProof/>
                <w:sz w:val="18"/>
                <w:szCs w:val="18"/>
              </w:rPr>
            </w:pPr>
            <w:r>
              <w:rPr>
                <w:noProof/>
                <w:sz w:val="18"/>
              </w:rPr>
              <w:t>7,645</w:t>
            </w:r>
          </w:p>
        </w:tc>
        <w:tc>
          <w:tcPr>
            <w:tcW w:w="868" w:type="dxa"/>
            <w:vAlign w:val="center"/>
          </w:tcPr>
          <w:p>
            <w:pPr>
              <w:jc w:val="right"/>
              <w:rPr>
                <w:noProof/>
                <w:sz w:val="18"/>
                <w:szCs w:val="18"/>
              </w:rPr>
            </w:pPr>
            <w:r>
              <w:rPr>
                <w:noProof/>
                <w:sz w:val="18"/>
              </w:rPr>
              <w:t>8,311</w:t>
            </w:r>
          </w:p>
        </w:tc>
        <w:tc>
          <w:tcPr>
            <w:tcW w:w="868" w:type="dxa"/>
            <w:vAlign w:val="center"/>
          </w:tcPr>
          <w:p>
            <w:pPr>
              <w:jc w:val="right"/>
              <w:rPr>
                <w:noProof/>
                <w:sz w:val="18"/>
                <w:szCs w:val="18"/>
              </w:rPr>
            </w:pPr>
            <w:r>
              <w:rPr>
                <w:noProof/>
                <w:sz w:val="18"/>
              </w:rPr>
              <w:t>9,193</w:t>
            </w:r>
          </w:p>
        </w:tc>
        <w:tc>
          <w:tcPr>
            <w:tcW w:w="868" w:type="dxa"/>
            <w:vAlign w:val="center"/>
          </w:tcPr>
          <w:p>
            <w:pPr>
              <w:jc w:val="right"/>
              <w:rPr>
                <w:noProof/>
                <w:sz w:val="18"/>
                <w:szCs w:val="18"/>
              </w:rPr>
            </w:pPr>
            <w:r>
              <w:rPr>
                <w:noProof/>
                <w:sz w:val="18"/>
              </w:rPr>
              <w:t>10,305</w:t>
            </w:r>
          </w:p>
        </w:tc>
        <w:tc>
          <w:tcPr>
            <w:tcW w:w="909" w:type="dxa"/>
            <w:shd w:val="clear" w:color="auto" w:fill="A6A6A6" w:themeFill="background1" w:themeFillShade="A6"/>
          </w:tcPr>
          <w:p>
            <w:pPr>
              <w:jc w:val="right"/>
              <w:rPr>
                <w:b/>
                <w:noProof/>
                <w:sz w:val="20"/>
              </w:rPr>
            </w:pPr>
          </w:p>
        </w:tc>
        <w:tc>
          <w:tcPr>
            <w:tcW w:w="1289" w:type="dxa"/>
            <w:gridSpan w:val="3"/>
            <w:vAlign w:val="center"/>
          </w:tcPr>
          <w:p>
            <w:pPr>
              <w:jc w:val="center"/>
              <w:rPr>
                <w:b/>
                <w:noProof/>
                <w:sz w:val="18"/>
                <w:szCs w:val="18"/>
              </w:rPr>
            </w:pPr>
            <w:r>
              <w:rPr>
                <w:b/>
                <w:noProof/>
                <w:sz w:val="18"/>
              </w:rPr>
              <w:t>56,000</w:t>
            </w:r>
          </w:p>
        </w:tc>
      </w:tr>
      <w:tr>
        <w:trPr>
          <w:jc w:val="center"/>
        </w:trPr>
        <w:tc>
          <w:tcPr>
            <w:tcW w:w="4103" w:type="dxa"/>
            <w:vMerge w:val="restart"/>
            <w:vAlign w:val="center"/>
          </w:tcPr>
          <w:p>
            <w:pPr>
              <w:rPr>
                <w:b/>
                <w:noProof/>
              </w:rPr>
            </w:pPr>
            <w:r>
              <w:rPr>
                <w:b/>
                <w:noProof/>
                <w:sz w:val="22"/>
              </w:rPr>
              <w:t>Rozpočtové prostriedky na finančné krytie programu SPOLU</w:t>
            </w:r>
          </w:p>
        </w:tc>
        <w:tc>
          <w:tcPr>
            <w:tcW w:w="1440" w:type="dxa"/>
            <w:gridSpan w:val="2"/>
            <w:vAlign w:val="center"/>
          </w:tcPr>
          <w:p>
            <w:pPr>
              <w:rPr>
                <w:noProof/>
                <w:sz w:val="18"/>
              </w:rPr>
            </w:pPr>
            <w:r>
              <w:rPr>
                <w:noProof/>
                <w:sz w:val="18"/>
              </w:rPr>
              <w:t>Záväzky</w:t>
            </w:r>
          </w:p>
        </w:tc>
        <w:tc>
          <w:tcPr>
            <w:tcW w:w="654" w:type="dxa"/>
            <w:gridSpan w:val="2"/>
            <w:vAlign w:val="center"/>
          </w:tcPr>
          <w:p>
            <w:pPr>
              <w:jc w:val="center"/>
              <w:rPr>
                <w:noProof/>
                <w:sz w:val="14"/>
              </w:rPr>
            </w:pPr>
            <w:r>
              <w:rPr>
                <w:noProof/>
                <w:sz w:val="14"/>
              </w:rPr>
              <w:t>= 1 + 3</w:t>
            </w:r>
          </w:p>
        </w:tc>
        <w:tc>
          <w:tcPr>
            <w:tcW w:w="868" w:type="dxa"/>
            <w:vAlign w:val="center"/>
          </w:tcPr>
          <w:p>
            <w:pPr>
              <w:jc w:val="center"/>
              <w:rPr>
                <w:b/>
                <w:noProof/>
                <w:sz w:val="18"/>
                <w:szCs w:val="18"/>
              </w:rPr>
            </w:pPr>
            <w:r>
              <w:rPr>
                <w:b/>
                <w:noProof/>
                <w:sz w:val="18"/>
              </w:rPr>
              <w:t>148,181</w:t>
            </w:r>
          </w:p>
        </w:tc>
        <w:tc>
          <w:tcPr>
            <w:tcW w:w="868" w:type="dxa"/>
            <w:vAlign w:val="center"/>
          </w:tcPr>
          <w:p>
            <w:pPr>
              <w:jc w:val="center"/>
              <w:rPr>
                <w:b/>
                <w:noProof/>
                <w:sz w:val="18"/>
                <w:szCs w:val="18"/>
              </w:rPr>
            </w:pPr>
            <w:r>
              <w:rPr>
                <w:b/>
                <w:noProof/>
                <w:sz w:val="18"/>
              </w:rPr>
              <w:t>153,154</w:t>
            </w:r>
          </w:p>
        </w:tc>
        <w:tc>
          <w:tcPr>
            <w:tcW w:w="868" w:type="dxa"/>
            <w:vAlign w:val="center"/>
          </w:tcPr>
          <w:p>
            <w:pPr>
              <w:jc w:val="center"/>
              <w:rPr>
                <w:b/>
                <w:noProof/>
                <w:sz w:val="18"/>
                <w:szCs w:val="18"/>
              </w:rPr>
            </w:pPr>
            <w:r>
              <w:rPr>
                <w:b/>
                <w:noProof/>
                <w:sz w:val="18"/>
              </w:rPr>
              <w:t>160,952</w:t>
            </w:r>
          </w:p>
        </w:tc>
        <w:tc>
          <w:tcPr>
            <w:tcW w:w="868" w:type="dxa"/>
            <w:vAlign w:val="center"/>
          </w:tcPr>
          <w:p>
            <w:pPr>
              <w:jc w:val="center"/>
              <w:rPr>
                <w:b/>
                <w:noProof/>
                <w:sz w:val="18"/>
                <w:szCs w:val="18"/>
              </w:rPr>
            </w:pPr>
            <w:r>
              <w:rPr>
                <w:b/>
                <w:noProof/>
                <w:sz w:val="18"/>
              </w:rPr>
              <w:t>172,017</w:t>
            </w:r>
          </w:p>
        </w:tc>
        <w:tc>
          <w:tcPr>
            <w:tcW w:w="868" w:type="dxa"/>
            <w:vAlign w:val="center"/>
          </w:tcPr>
          <w:p>
            <w:pPr>
              <w:jc w:val="center"/>
              <w:rPr>
                <w:b/>
                <w:noProof/>
                <w:sz w:val="18"/>
                <w:szCs w:val="18"/>
              </w:rPr>
            </w:pPr>
            <w:r>
              <w:rPr>
                <w:b/>
                <w:noProof/>
                <w:sz w:val="18"/>
              </w:rPr>
              <w:t>187,003</w:t>
            </w:r>
          </w:p>
        </w:tc>
        <w:tc>
          <w:tcPr>
            <w:tcW w:w="868" w:type="dxa"/>
            <w:vAlign w:val="center"/>
          </w:tcPr>
          <w:p>
            <w:pPr>
              <w:jc w:val="center"/>
              <w:rPr>
                <w:b/>
                <w:noProof/>
                <w:sz w:val="18"/>
                <w:szCs w:val="18"/>
              </w:rPr>
            </w:pPr>
            <w:r>
              <w:rPr>
                <w:b/>
                <w:noProof/>
                <w:sz w:val="18"/>
              </w:rPr>
              <w:t>206,841</w:t>
            </w:r>
          </w:p>
        </w:tc>
        <w:tc>
          <w:tcPr>
            <w:tcW w:w="868" w:type="dxa"/>
            <w:vAlign w:val="center"/>
          </w:tcPr>
          <w:p>
            <w:pPr>
              <w:jc w:val="center"/>
              <w:rPr>
                <w:b/>
                <w:noProof/>
                <w:sz w:val="18"/>
                <w:szCs w:val="18"/>
              </w:rPr>
            </w:pPr>
            <w:r>
              <w:rPr>
                <w:b/>
                <w:noProof/>
                <w:sz w:val="18"/>
              </w:rPr>
              <w:t>231,852</w:t>
            </w:r>
          </w:p>
        </w:tc>
        <w:tc>
          <w:tcPr>
            <w:tcW w:w="909" w:type="dxa"/>
            <w:shd w:val="clear" w:color="auto" w:fill="A6A6A6" w:themeFill="background1" w:themeFillShade="A6"/>
            <w:vAlign w:val="center"/>
          </w:tcPr>
          <w:p>
            <w:pPr>
              <w:jc w:val="center"/>
              <w:rPr>
                <w:b/>
                <w:noProof/>
                <w:sz w:val="18"/>
                <w:szCs w:val="18"/>
              </w:rPr>
            </w:pPr>
          </w:p>
        </w:tc>
        <w:tc>
          <w:tcPr>
            <w:tcW w:w="1289" w:type="dxa"/>
            <w:gridSpan w:val="3"/>
            <w:vAlign w:val="center"/>
          </w:tcPr>
          <w:p>
            <w:pPr>
              <w:jc w:val="center"/>
              <w:rPr>
                <w:b/>
                <w:noProof/>
                <w:sz w:val="18"/>
                <w:szCs w:val="18"/>
              </w:rPr>
            </w:pPr>
            <w:r>
              <w:rPr>
                <w:b/>
                <w:noProof/>
                <w:sz w:val="18"/>
              </w:rPr>
              <w:t>1 260,000</w:t>
            </w:r>
          </w:p>
        </w:tc>
      </w:tr>
      <w:tr>
        <w:trPr>
          <w:jc w:val="center"/>
        </w:trPr>
        <w:tc>
          <w:tcPr>
            <w:tcW w:w="4103" w:type="dxa"/>
            <w:vMerge/>
          </w:tcPr>
          <w:p>
            <w:pPr>
              <w:rPr>
                <w:noProof/>
                <w:sz w:val="20"/>
              </w:rPr>
            </w:pPr>
          </w:p>
        </w:tc>
        <w:tc>
          <w:tcPr>
            <w:tcW w:w="1440" w:type="dxa"/>
            <w:gridSpan w:val="2"/>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 2 + 3</w:t>
            </w:r>
          </w:p>
        </w:tc>
        <w:tc>
          <w:tcPr>
            <w:tcW w:w="868" w:type="dxa"/>
            <w:vAlign w:val="bottom"/>
          </w:tcPr>
          <w:p>
            <w:pPr>
              <w:jc w:val="center"/>
              <w:rPr>
                <w:b/>
                <w:noProof/>
                <w:sz w:val="18"/>
                <w:szCs w:val="18"/>
              </w:rPr>
            </w:pPr>
            <w:r>
              <w:rPr>
                <w:b/>
                <w:noProof/>
                <w:sz w:val="18"/>
              </w:rPr>
              <w:t>110,444</w:t>
            </w:r>
          </w:p>
        </w:tc>
        <w:tc>
          <w:tcPr>
            <w:tcW w:w="868" w:type="dxa"/>
            <w:vAlign w:val="bottom"/>
          </w:tcPr>
          <w:p>
            <w:pPr>
              <w:jc w:val="center"/>
              <w:rPr>
                <w:b/>
                <w:noProof/>
                <w:sz w:val="18"/>
                <w:szCs w:val="18"/>
              </w:rPr>
            </w:pPr>
            <w:r>
              <w:rPr>
                <w:b/>
                <w:noProof/>
                <w:sz w:val="18"/>
              </w:rPr>
              <w:t>139,823</w:t>
            </w:r>
          </w:p>
        </w:tc>
        <w:tc>
          <w:tcPr>
            <w:tcW w:w="868" w:type="dxa"/>
            <w:vAlign w:val="bottom"/>
          </w:tcPr>
          <w:p>
            <w:pPr>
              <w:jc w:val="center"/>
              <w:rPr>
                <w:b/>
                <w:noProof/>
                <w:sz w:val="18"/>
                <w:szCs w:val="18"/>
              </w:rPr>
            </w:pPr>
            <w:r>
              <w:rPr>
                <w:b/>
                <w:noProof/>
                <w:sz w:val="18"/>
              </w:rPr>
              <w:t>152,231</w:t>
            </w:r>
          </w:p>
        </w:tc>
        <w:tc>
          <w:tcPr>
            <w:tcW w:w="868" w:type="dxa"/>
            <w:vAlign w:val="bottom"/>
          </w:tcPr>
          <w:p>
            <w:pPr>
              <w:jc w:val="center"/>
              <w:rPr>
                <w:b/>
                <w:noProof/>
                <w:sz w:val="18"/>
                <w:szCs w:val="18"/>
              </w:rPr>
            </w:pPr>
            <w:r>
              <w:rPr>
                <w:b/>
                <w:noProof/>
                <w:sz w:val="18"/>
              </w:rPr>
              <w:t>163,860</w:t>
            </w:r>
          </w:p>
        </w:tc>
        <w:tc>
          <w:tcPr>
            <w:tcW w:w="868" w:type="dxa"/>
            <w:vAlign w:val="bottom"/>
          </w:tcPr>
          <w:p>
            <w:pPr>
              <w:jc w:val="center"/>
              <w:rPr>
                <w:b/>
                <w:noProof/>
                <w:sz w:val="18"/>
                <w:szCs w:val="18"/>
              </w:rPr>
            </w:pPr>
            <w:r>
              <w:rPr>
                <w:b/>
                <w:noProof/>
                <w:sz w:val="18"/>
              </w:rPr>
              <w:t>178,075</w:t>
            </w:r>
          </w:p>
        </w:tc>
        <w:tc>
          <w:tcPr>
            <w:tcW w:w="868" w:type="dxa"/>
            <w:vAlign w:val="bottom"/>
          </w:tcPr>
          <w:p>
            <w:pPr>
              <w:jc w:val="center"/>
              <w:rPr>
                <w:b/>
                <w:noProof/>
                <w:sz w:val="18"/>
                <w:szCs w:val="18"/>
              </w:rPr>
            </w:pPr>
            <w:r>
              <w:rPr>
                <w:b/>
                <w:noProof/>
                <w:sz w:val="18"/>
              </w:rPr>
              <w:t>196,321</w:t>
            </w:r>
          </w:p>
        </w:tc>
        <w:tc>
          <w:tcPr>
            <w:tcW w:w="868" w:type="dxa"/>
            <w:vAlign w:val="bottom"/>
          </w:tcPr>
          <w:p>
            <w:pPr>
              <w:jc w:val="center"/>
              <w:rPr>
                <w:b/>
                <w:noProof/>
                <w:sz w:val="18"/>
                <w:szCs w:val="18"/>
              </w:rPr>
            </w:pPr>
            <w:r>
              <w:rPr>
                <w:b/>
                <w:noProof/>
                <w:sz w:val="18"/>
              </w:rPr>
              <w:t>219,536</w:t>
            </w:r>
          </w:p>
        </w:tc>
        <w:tc>
          <w:tcPr>
            <w:tcW w:w="909" w:type="dxa"/>
            <w:vAlign w:val="bottom"/>
          </w:tcPr>
          <w:p>
            <w:pPr>
              <w:jc w:val="center"/>
              <w:rPr>
                <w:b/>
                <w:noProof/>
                <w:sz w:val="18"/>
                <w:szCs w:val="18"/>
              </w:rPr>
            </w:pPr>
            <w:r>
              <w:rPr>
                <w:b/>
                <w:noProof/>
                <w:sz w:val="18"/>
              </w:rPr>
              <w:t>99,710</w:t>
            </w:r>
          </w:p>
        </w:tc>
        <w:tc>
          <w:tcPr>
            <w:tcW w:w="1289" w:type="dxa"/>
            <w:gridSpan w:val="3"/>
            <w:vAlign w:val="center"/>
          </w:tcPr>
          <w:p>
            <w:pPr>
              <w:jc w:val="center"/>
              <w:rPr>
                <w:b/>
                <w:noProof/>
                <w:sz w:val="18"/>
                <w:szCs w:val="18"/>
              </w:rPr>
            </w:pPr>
            <w:r>
              <w:rPr>
                <w:b/>
                <w:noProof/>
                <w:sz w:val="18"/>
              </w:rPr>
              <w:t>1 260,000</w:t>
            </w:r>
          </w:p>
        </w:tc>
      </w:tr>
      <w:tr>
        <w:trPr>
          <w:gridAfter w:val="2"/>
          <w:wAfter w:w="830" w:type="dxa"/>
          <w:jc w:val="center"/>
        </w:trPr>
        <w:tc>
          <w:tcPr>
            <w:tcW w:w="4744" w:type="dxa"/>
            <w:gridSpan w:val="2"/>
            <w:shd w:val="thinDiagStripe" w:color="C0C0C0" w:fill="auto"/>
            <w:vAlign w:val="center"/>
          </w:tcPr>
          <w:p>
            <w:pPr>
              <w:jc w:val="center"/>
              <w:rPr>
                <w:rFonts w:eastAsia="Times New Roman"/>
                <w:b/>
                <w:noProof/>
              </w:rPr>
            </w:pPr>
            <w:r>
              <w:rPr>
                <w:b/>
                <w:noProof/>
                <w:sz w:val="22"/>
              </w:rPr>
              <w:t xml:space="preserve">Okruh viacročného finančného </w:t>
            </w:r>
            <w:r>
              <w:rPr>
                <w:rFonts w:eastAsia="Times New Roman"/>
                <w:noProof/>
                <w:sz w:val="22"/>
              </w:rPr>
              <w:br/>
            </w:r>
            <w:r>
              <w:rPr>
                <w:b/>
                <w:noProof/>
                <w:sz w:val="22"/>
              </w:rPr>
              <w:t xml:space="preserve">rámca: </w:t>
            </w:r>
          </w:p>
        </w:tc>
        <w:tc>
          <w:tcPr>
            <w:tcW w:w="1080" w:type="dxa"/>
            <w:gridSpan w:val="2"/>
            <w:vAlign w:val="center"/>
          </w:tcPr>
          <w:p>
            <w:pPr>
              <w:jc w:val="center"/>
              <w:rPr>
                <w:rFonts w:eastAsia="Times New Roman"/>
                <w:noProof/>
              </w:rPr>
            </w:pPr>
            <w:r>
              <w:rPr>
                <w:noProof/>
              </w:rPr>
              <w:t>2</w:t>
            </w:r>
          </w:p>
        </w:tc>
        <w:tc>
          <w:tcPr>
            <w:tcW w:w="7817" w:type="dxa"/>
            <w:gridSpan w:val="10"/>
            <w:vAlign w:val="center"/>
          </w:tcPr>
          <w:p>
            <w:pPr>
              <w:rPr>
                <w:rFonts w:eastAsia="Times New Roman"/>
                <w:noProof/>
              </w:rPr>
            </w:pPr>
            <w:r>
              <w:rPr>
                <w:noProof/>
                <w:sz w:val="22"/>
              </w:rPr>
              <w:t>Súdržnosť a hodnoty</w:t>
            </w:r>
          </w:p>
        </w:tc>
      </w:tr>
      <w:tr>
        <w:trPr>
          <w:gridAfter w:val="1"/>
          <w:wAfter w:w="113" w:type="dxa"/>
          <w:jc w:val="center"/>
        </w:trPr>
        <w:tc>
          <w:tcPr>
            <w:tcW w:w="6197" w:type="dxa"/>
            <w:gridSpan w:val="5"/>
            <w:tcBorders>
              <w:top w:val="nil"/>
              <w:left w:val="nil"/>
              <w:bottom w:val="nil"/>
              <w:right w:val="single" w:sz="4" w:space="0" w:color="auto"/>
            </w:tcBorders>
            <w:vAlign w:val="center"/>
          </w:tcPr>
          <w:p>
            <w:pPr>
              <w:jc w:val="center"/>
              <w:rPr>
                <w:rFonts w:eastAsia="Times New Roman"/>
                <w:b/>
                <w:noProof/>
                <w:sz w:val="20"/>
              </w:rPr>
            </w:pPr>
          </w:p>
        </w:tc>
        <w:tc>
          <w:tcPr>
            <w:tcW w:w="868" w:type="dxa"/>
            <w:tcBorders>
              <w:left w:val="single" w:sz="4" w:space="0" w:color="auto"/>
            </w:tcBorders>
            <w:vAlign w:val="center"/>
          </w:tcPr>
          <w:p>
            <w:pPr>
              <w:jc w:val="center"/>
              <w:rPr>
                <w:rFonts w:eastAsia="Times New Roman"/>
                <w:b/>
                <w:noProof/>
                <w:sz w:val="20"/>
              </w:rPr>
            </w:pPr>
            <w:r>
              <w:rPr>
                <w:b/>
                <w:noProof/>
                <w:sz w:val="20"/>
              </w:rPr>
              <w:t>2021</w:t>
            </w:r>
          </w:p>
        </w:tc>
        <w:tc>
          <w:tcPr>
            <w:tcW w:w="868" w:type="dxa"/>
            <w:vAlign w:val="center"/>
          </w:tcPr>
          <w:p>
            <w:pPr>
              <w:jc w:val="center"/>
              <w:rPr>
                <w:rFonts w:eastAsia="Times New Roman"/>
                <w:b/>
                <w:noProof/>
                <w:sz w:val="20"/>
              </w:rPr>
            </w:pPr>
            <w:r>
              <w:rPr>
                <w:b/>
                <w:noProof/>
                <w:sz w:val="20"/>
              </w:rPr>
              <w:t>2022</w:t>
            </w:r>
          </w:p>
        </w:tc>
        <w:tc>
          <w:tcPr>
            <w:tcW w:w="868" w:type="dxa"/>
            <w:vAlign w:val="center"/>
          </w:tcPr>
          <w:p>
            <w:pPr>
              <w:jc w:val="center"/>
              <w:rPr>
                <w:rFonts w:eastAsia="Times New Roman"/>
                <w:b/>
                <w:noProof/>
                <w:sz w:val="20"/>
              </w:rPr>
            </w:pPr>
            <w:r>
              <w:rPr>
                <w:b/>
                <w:noProof/>
                <w:sz w:val="20"/>
              </w:rPr>
              <w:t>2023</w:t>
            </w:r>
          </w:p>
        </w:tc>
        <w:tc>
          <w:tcPr>
            <w:tcW w:w="868" w:type="dxa"/>
            <w:vAlign w:val="center"/>
          </w:tcPr>
          <w:p>
            <w:pPr>
              <w:jc w:val="center"/>
              <w:rPr>
                <w:rFonts w:eastAsia="Times New Roman"/>
                <w:b/>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909" w:type="dxa"/>
          </w:tcPr>
          <w:p>
            <w:pPr>
              <w:jc w:val="center"/>
              <w:rPr>
                <w:rFonts w:eastAsia="Times New Roman"/>
                <w:b/>
                <w:i/>
                <w:noProof/>
                <w:sz w:val="20"/>
              </w:rPr>
            </w:pPr>
            <w:r>
              <w:rPr>
                <w:b/>
                <w:i/>
                <w:noProof/>
                <w:sz w:val="20"/>
              </w:rPr>
              <w:t>Po roku 2027</w:t>
            </w:r>
          </w:p>
        </w:tc>
        <w:tc>
          <w:tcPr>
            <w:tcW w:w="1289" w:type="dxa"/>
            <w:gridSpan w:val="2"/>
            <w:vAlign w:val="center"/>
          </w:tcPr>
          <w:p>
            <w:pPr>
              <w:jc w:val="center"/>
              <w:rPr>
                <w:rFonts w:eastAsia="Times New Roman"/>
                <w:b/>
                <w:noProof/>
                <w:sz w:val="20"/>
              </w:rPr>
            </w:pPr>
            <w:r>
              <w:rPr>
                <w:b/>
                <w:noProof/>
                <w:sz w:val="20"/>
              </w:rPr>
              <w:t>SPOLU</w:t>
            </w:r>
          </w:p>
        </w:tc>
      </w:tr>
      <w:tr>
        <w:trPr>
          <w:gridAfter w:val="1"/>
          <w:wAfter w:w="113" w:type="dxa"/>
          <w:trHeight w:val="433"/>
          <w:jc w:val="center"/>
        </w:trPr>
        <w:tc>
          <w:tcPr>
            <w:tcW w:w="14471" w:type="dxa"/>
            <w:gridSpan w:val="15"/>
            <w:vAlign w:val="center"/>
          </w:tcPr>
          <w:p>
            <w:pPr>
              <w:rPr>
                <w:rFonts w:eastAsia="Times New Roman"/>
                <w:b/>
                <w:noProof/>
                <w:sz w:val="20"/>
              </w:rPr>
            </w:pPr>
            <w:r>
              <w:rPr>
                <w:b/>
                <w:noProof/>
                <w:sz w:val="20"/>
              </w:rPr>
              <w:t>Operačné rozpočtové prostriedky</w:t>
            </w:r>
          </w:p>
        </w:tc>
      </w:tr>
      <w:tr>
        <w:trPr>
          <w:gridAfter w:val="1"/>
          <w:wAfter w:w="113" w:type="dxa"/>
          <w:trHeight w:val="433"/>
          <w:jc w:val="center"/>
        </w:trPr>
        <w:tc>
          <w:tcPr>
            <w:tcW w:w="4103" w:type="dxa"/>
            <w:vMerge w:val="restart"/>
            <w:vAlign w:val="center"/>
          </w:tcPr>
          <w:p>
            <w:pPr>
              <w:rPr>
                <w:rFonts w:eastAsia="Times New Roman"/>
                <w:noProof/>
              </w:rPr>
            </w:pPr>
            <w:r>
              <w:rPr>
                <w:noProof/>
              </w:rPr>
              <w:t xml:space="preserve">07 04 01 </w:t>
            </w:r>
            <w:r>
              <w:rPr>
                <w:i/>
                <w:noProof/>
              </w:rPr>
              <w:t>– Európsky zbor solidarity</w:t>
            </w:r>
          </w:p>
        </w:tc>
        <w:tc>
          <w:tcPr>
            <w:tcW w:w="1440" w:type="dxa"/>
            <w:gridSpan w:val="2"/>
            <w:vAlign w:val="center"/>
          </w:tcPr>
          <w:p>
            <w:pPr>
              <w:rPr>
                <w:rFonts w:eastAsia="Times New Roman"/>
                <w:noProof/>
                <w:sz w:val="18"/>
              </w:rPr>
            </w:pPr>
            <w:r>
              <w:rPr>
                <w:noProof/>
                <w:sz w:val="18"/>
              </w:rPr>
              <w:t>Záväzky</w:t>
            </w:r>
          </w:p>
        </w:tc>
        <w:tc>
          <w:tcPr>
            <w:tcW w:w="654" w:type="dxa"/>
            <w:gridSpan w:val="2"/>
            <w:vAlign w:val="center"/>
          </w:tcPr>
          <w:p>
            <w:pPr>
              <w:jc w:val="center"/>
              <w:rPr>
                <w:rFonts w:eastAsia="Times New Roman"/>
                <w:noProof/>
                <w:sz w:val="14"/>
              </w:rPr>
            </w:pPr>
            <w:r>
              <w:rPr>
                <w:noProof/>
                <w:sz w:val="14"/>
              </w:rPr>
              <w:t>(1)</w:t>
            </w:r>
          </w:p>
        </w:tc>
        <w:tc>
          <w:tcPr>
            <w:tcW w:w="868" w:type="dxa"/>
            <w:vAlign w:val="center"/>
          </w:tcPr>
          <w:p>
            <w:pPr>
              <w:jc w:val="right"/>
              <w:rPr>
                <w:rFonts w:eastAsia="Times New Roman"/>
                <w:noProof/>
                <w:sz w:val="18"/>
                <w:szCs w:val="18"/>
              </w:rPr>
            </w:pPr>
            <w:r>
              <w:rPr>
                <w:noProof/>
                <w:sz w:val="18"/>
              </w:rPr>
              <w:t>141,595</w:t>
            </w:r>
          </w:p>
        </w:tc>
        <w:tc>
          <w:tcPr>
            <w:tcW w:w="868" w:type="dxa"/>
            <w:vAlign w:val="center"/>
          </w:tcPr>
          <w:p>
            <w:pPr>
              <w:jc w:val="right"/>
              <w:rPr>
                <w:rFonts w:eastAsia="Times New Roman"/>
                <w:noProof/>
                <w:sz w:val="18"/>
                <w:szCs w:val="18"/>
              </w:rPr>
            </w:pPr>
            <w:r>
              <w:rPr>
                <w:noProof/>
                <w:sz w:val="18"/>
              </w:rPr>
              <w:t>146,347</w:t>
            </w:r>
          </w:p>
        </w:tc>
        <w:tc>
          <w:tcPr>
            <w:tcW w:w="868" w:type="dxa"/>
            <w:vAlign w:val="center"/>
          </w:tcPr>
          <w:p>
            <w:pPr>
              <w:jc w:val="right"/>
              <w:rPr>
                <w:rFonts w:eastAsia="Times New Roman"/>
                <w:noProof/>
                <w:sz w:val="18"/>
                <w:szCs w:val="18"/>
              </w:rPr>
            </w:pPr>
            <w:r>
              <w:rPr>
                <w:noProof/>
                <w:sz w:val="18"/>
              </w:rPr>
              <w:t>153,799</w:t>
            </w:r>
          </w:p>
        </w:tc>
        <w:tc>
          <w:tcPr>
            <w:tcW w:w="868" w:type="dxa"/>
            <w:vAlign w:val="center"/>
          </w:tcPr>
          <w:p>
            <w:pPr>
              <w:jc w:val="right"/>
              <w:rPr>
                <w:rFonts w:eastAsia="Times New Roman"/>
                <w:noProof/>
                <w:sz w:val="18"/>
                <w:szCs w:val="18"/>
              </w:rPr>
            </w:pPr>
            <w:r>
              <w:rPr>
                <w:noProof/>
                <w:sz w:val="18"/>
              </w:rPr>
              <w:t>164,372</w:t>
            </w:r>
          </w:p>
        </w:tc>
        <w:tc>
          <w:tcPr>
            <w:tcW w:w="868" w:type="dxa"/>
            <w:vAlign w:val="center"/>
          </w:tcPr>
          <w:p>
            <w:pPr>
              <w:jc w:val="right"/>
              <w:rPr>
                <w:rFonts w:eastAsia="Times New Roman"/>
                <w:noProof/>
                <w:sz w:val="18"/>
                <w:szCs w:val="18"/>
              </w:rPr>
            </w:pPr>
            <w:r>
              <w:rPr>
                <w:noProof/>
                <w:sz w:val="18"/>
              </w:rPr>
              <w:t>178,692</w:t>
            </w:r>
          </w:p>
        </w:tc>
        <w:tc>
          <w:tcPr>
            <w:tcW w:w="868" w:type="dxa"/>
            <w:vAlign w:val="center"/>
          </w:tcPr>
          <w:p>
            <w:pPr>
              <w:jc w:val="right"/>
              <w:rPr>
                <w:rFonts w:eastAsia="Times New Roman"/>
                <w:noProof/>
                <w:sz w:val="18"/>
                <w:szCs w:val="18"/>
              </w:rPr>
            </w:pPr>
            <w:r>
              <w:rPr>
                <w:noProof/>
                <w:sz w:val="18"/>
              </w:rPr>
              <w:t>197,648</w:t>
            </w:r>
          </w:p>
        </w:tc>
        <w:tc>
          <w:tcPr>
            <w:tcW w:w="868" w:type="dxa"/>
            <w:vAlign w:val="center"/>
          </w:tcPr>
          <w:p>
            <w:pPr>
              <w:jc w:val="right"/>
              <w:rPr>
                <w:rFonts w:eastAsia="Times New Roman"/>
                <w:noProof/>
                <w:sz w:val="18"/>
                <w:szCs w:val="18"/>
              </w:rPr>
            </w:pPr>
            <w:r>
              <w:rPr>
                <w:noProof/>
                <w:sz w:val="18"/>
              </w:rPr>
              <w:t>221,547</w:t>
            </w:r>
          </w:p>
        </w:tc>
        <w:tc>
          <w:tcPr>
            <w:tcW w:w="909" w:type="dxa"/>
            <w:shd w:val="clear" w:color="auto" w:fill="A6A6A6" w:themeFill="background1" w:themeFillShade="A6"/>
          </w:tcPr>
          <w:p>
            <w:pPr>
              <w:jc w:val="right"/>
              <w:rPr>
                <w:rFonts w:eastAsia="Times New Roman"/>
                <w:b/>
                <w:noProof/>
                <w:sz w:val="20"/>
              </w:rPr>
            </w:pPr>
          </w:p>
        </w:tc>
        <w:tc>
          <w:tcPr>
            <w:tcW w:w="1289" w:type="dxa"/>
            <w:gridSpan w:val="2"/>
            <w:vAlign w:val="center"/>
          </w:tcPr>
          <w:p>
            <w:pPr>
              <w:jc w:val="center"/>
              <w:rPr>
                <w:rFonts w:eastAsia="Times New Roman"/>
                <w:b/>
                <w:noProof/>
                <w:sz w:val="20"/>
              </w:rPr>
            </w:pPr>
            <w:r>
              <w:rPr>
                <w:b/>
                <w:noProof/>
                <w:sz w:val="18"/>
              </w:rPr>
              <w:t>1 204,000</w:t>
            </w:r>
          </w:p>
        </w:tc>
      </w:tr>
      <w:tr>
        <w:trPr>
          <w:gridAfter w:val="1"/>
          <w:wAfter w:w="113" w:type="dxa"/>
          <w:trHeight w:val="411"/>
          <w:jc w:val="center"/>
        </w:trPr>
        <w:tc>
          <w:tcPr>
            <w:tcW w:w="4103" w:type="dxa"/>
            <w:vMerge/>
          </w:tcPr>
          <w:p>
            <w:pPr>
              <w:rPr>
                <w:rFonts w:eastAsia="Times New Roman"/>
                <w:noProof/>
              </w:rPr>
            </w:pPr>
          </w:p>
        </w:tc>
        <w:tc>
          <w:tcPr>
            <w:tcW w:w="1440" w:type="dxa"/>
            <w:gridSpan w:val="2"/>
            <w:vAlign w:val="center"/>
          </w:tcPr>
          <w:p>
            <w:pPr>
              <w:rPr>
                <w:rFonts w:eastAsia="Times New Roman"/>
                <w:noProof/>
                <w:sz w:val="18"/>
              </w:rPr>
            </w:pPr>
            <w:r>
              <w:rPr>
                <w:noProof/>
                <w:sz w:val="18"/>
              </w:rPr>
              <w:t>Platby</w:t>
            </w:r>
          </w:p>
        </w:tc>
        <w:tc>
          <w:tcPr>
            <w:tcW w:w="654" w:type="dxa"/>
            <w:gridSpan w:val="2"/>
            <w:vAlign w:val="center"/>
          </w:tcPr>
          <w:p>
            <w:pPr>
              <w:jc w:val="center"/>
              <w:rPr>
                <w:rFonts w:eastAsia="Times New Roman"/>
                <w:noProof/>
                <w:sz w:val="14"/>
              </w:rPr>
            </w:pPr>
            <w:r>
              <w:rPr>
                <w:noProof/>
                <w:sz w:val="14"/>
              </w:rPr>
              <w:t>(2)</w:t>
            </w:r>
          </w:p>
        </w:tc>
        <w:tc>
          <w:tcPr>
            <w:tcW w:w="868" w:type="dxa"/>
            <w:vAlign w:val="center"/>
          </w:tcPr>
          <w:p>
            <w:pPr>
              <w:jc w:val="right"/>
              <w:rPr>
                <w:rFonts w:eastAsia="Times New Roman"/>
                <w:noProof/>
                <w:sz w:val="18"/>
                <w:szCs w:val="18"/>
              </w:rPr>
            </w:pPr>
            <w:r>
              <w:rPr>
                <w:noProof/>
                <w:sz w:val="18"/>
              </w:rPr>
              <w:t>103,858</w:t>
            </w:r>
          </w:p>
        </w:tc>
        <w:tc>
          <w:tcPr>
            <w:tcW w:w="868" w:type="dxa"/>
            <w:vAlign w:val="center"/>
          </w:tcPr>
          <w:p>
            <w:pPr>
              <w:jc w:val="right"/>
              <w:rPr>
                <w:rFonts w:eastAsia="Times New Roman"/>
                <w:noProof/>
                <w:sz w:val="18"/>
                <w:szCs w:val="18"/>
              </w:rPr>
            </w:pPr>
            <w:r>
              <w:rPr>
                <w:noProof/>
                <w:sz w:val="18"/>
              </w:rPr>
              <w:t>133,016</w:t>
            </w:r>
          </w:p>
        </w:tc>
        <w:tc>
          <w:tcPr>
            <w:tcW w:w="868" w:type="dxa"/>
            <w:vAlign w:val="center"/>
          </w:tcPr>
          <w:p>
            <w:pPr>
              <w:jc w:val="right"/>
              <w:rPr>
                <w:rFonts w:eastAsia="Times New Roman"/>
                <w:noProof/>
                <w:sz w:val="18"/>
                <w:szCs w:val="18"/>
              </w:rPr>
            </w:pPr>
            <w:r>
              <w:rPr>
                <w:noProof/>
                <w:sz w:val="18"/>
              </w:rPr>
              <w:t>145,078</w:t>
            </w:r>
          </w:p>
        </w:tc>
        <w:tc>
          <w:tcPr>
            <w:tcW w:w="868" w:type="dxa"/>
            <w:vAlign w:val="center"/>
          </w:tcPr>
          <w:p>
            <w:pPr>
              <w:jc w:val="right"/>
              <w:rPr>
                <w:rFonts w:eastAsia="Times New Roman"/>
                <w:noProof/>
                <w:sz w:val="18"/>
                <w:szCs w:val="18"/>
              </w:rPr>
            </w:pPr>
            <w:r>
              <w:rPr>
                <w:noProof/>
                <w:sz w:val="18"/>
              </w:rPr>
              <w:t>156,215</w:t>
            </w:r>
          </w:p>
        </w:tc>
        <w:tc>
          <w:tcPr>
            <w:tcW w:w="868" w:type="dxa"/>
            <w:vAlign w:val="center"/>
          </w:tcPr>
          <w:p>
            <w:pPr>
              <w:jc w:val="right"/>
              <w:rPr>
                <w:rFonts w:eastAsia="Times New Roman"/>
                <w:noProof/>
                <w:sz w:val="18"/>
                <w:szCs w:val="18"/>
              </w:rPr>
            </w:pPr>
            <w:r>
              <w:rPr>
                <w:noProof/>
                <w:sz w:val="18"/>
              </w:rPr>
              <w:t>169,764</w:t>
            </w:r>
          </w:p>
        </w:tc>
        <w:tc>
          <w:tcPr>
            <w:tcW w:w="868" w:type="dxa"/>
            <w:vAlign w:val="center"/>
          </w:tcPr>
          <w:p>
            <w:pPr>
              <w:jc w:val="right"/>
              <w:rPr>
                <w:rFonts w:eastAsia="Times New Roman"/>
                <w:noProof/>
                <w:sz w:val="18"/>
                <w:szCs w:val="18"/>
              </w:rPr>
            </w:pPr>
            <w:r>
              <w:rPr>
                <w:noProof/>
                <w:sz w:val="18"/>
              </w:rPr>
              <w:t>187,129</w:t>
            </w:r>
          </w:p>
        </w:tc>
        <w:tc>
          <w:tcPr>
            <w:tcW w:w="868" w:type="dxa"/>
            <w:vAlign w:val="center"/>
          </w:tcPr>
          <w:p>
            <w:pPr>
              <w:jc w:val="right"/>
              <w:rPr>
                <w:rFonts w:eastAsia="Times New Roman"/>
                <w:noProof/>
                <w:sz w:val="18"/>
                <w:szCs w:val="18"/>
              </w:rPr>
            </w:pPr>
            <w:r>
              <w:rPr>
                <w:noProof/>
                <w:sz w:val="18"/>
              </w:rPr>
              <w:t>209,231</w:t>
            </w:r>
          </w:p>
        </w:tc>
        <w:tc>
          <w:tcPr>
            <w:tcW w:w="909" w:type="dxa"/>
            <w:vAlign w:val="center"/>
          </w:tcPr>
          <w:p>
            <w:pPr>
              <w:jc w:val="right"/>
              <w:rPr>
                <w:rFonts w:eastAsia="Times New Roman"/>
                <w:noProof/>
                <w:sz w:val="18"/>
                <w:szCs w:val="18"/>
              </w:rPr>
            </w:pPr>
            <w:r>
              <w:rPr>
                <w:noProof/>
                <w:sz w:val="18"/>
              </w:rPr>
              <w:t>99,710</w:t>
            </w:r>
          </w:p>
        </w:tc>
        <w:tc>
          <w:tcPr>
            <w:tcW w:w="1289" w:type="dxa"/>
            <w:gridSpan w:val="2"/>
            <w:vAlign w:val="center"/>
          </w:tcPr>
          <w:p>
            <w:pPr>
              <w:jc w:val="center"/>
              <w:rPr>
                <w:rFonts w:eastAsia="Times New Roman"/>
                <w:b/>
                <w:noProof/>
                <w:sz w:val="18"/>
                <w:szCs w:val="18"/>
              </w:rPr>
            </w:pPr>
            <w:r>
              <w:rPr>
                <w:b/>
                <w:noProof/>
                <w:sz w:val="18"/>
              </w:rPr>
              <w:t>1 204,000</w:t>
            </w:r>
          </w:p>
        </w:tc>
      </w:tr>
      <w:tr>
        <w:trPr>
          <w:gridAfter w:val="1"/>
          <w:wAfter w:w="113" w:type="dxa"/>
          <w:trHeight w:val="319"/>
          <w:jc w:val="center"/>
        </w:trPr>
        <w:tc>
          <w:tcPr>
            <w:tcW w:w="14471" w:type="dxa"/>
            <w:gridSpan w:val="15"/>
            <w:vAlign w:val="center"/>
          </w:tcPr>
          <w:p>
            <w:pPr>
              <w:rPr>
                <w:rFonts w:eastAsia="Times New Roman"/>
                <w:b/>
                <w:noProof/>
                <w:sz w:val="20"/>
              </w:rPr>
            </w:pPr>
            <w:r>
              <w:rPr>
                <w:b/>
                <w:noProof/>
                <w:sz w:val="20"/>
              </w:rPr>
              <w:t>Administratívne rozpočtové prostriedky financované z finančného krytia programu</w:t>
            </w:r>
          </w:p>
        </w:tc>
      </w:tr>
      <w:tr>
        <w:tblPrEx>
          <w:shd w:val="clear" w:color="auto" w:fill="CED7E7"/>
        </w:tblPrEx>
        <w:trPr>
          <w:gridAfter w:val="1"/>
          <w:wAfter w:w="113" w:type="dxa"/>
          <w:trHeight w:val="319"/>
          <w:jc w:val="center"/>
        </w:trPr>
        <w:tc>
          <w:tcPr>
            <w:tcW w:w="4103" w:type="dxa"/>
            <w:vAlign w:val="center"/>
          </w:tcPr>
          <w:p>
            <w:pPr>
              <w:rPr>
                <w:rFonts w:eastAsia="Times New Roman"/>
                <w:i/>
                <w:noProof/>
              </w:rPr>
            </w:pPr>
            <w:r>
              <w:rPr>
                <w:i/>
                <w:noProof/>
              </w:rPr>
              <w:t xml:space="preserve">07 01 XX XX – Administratívna podpora pre Európsky zbor solidarity </w:t>
            </w:r>
          </w:p>
        </w:tc>
        <w:tc>
          <w:tcPr>
            <w:tcW w:w="1440" w:type="dxa"/>
            <w:gridSpan w:val="2"/>
            <w:vAlign w:val="center"/>
          </w:tcPr>
          <w:p>
            <w:pPr>
              <w:rPr>
                <w:rFonts w:eastAsia="Times New Roman"/>
                <w:noProof/>
                <w:sz w:val="18"/>
              </w:rPr>
            </w:pPr>
            <w:r>
              <w:rPr>
                <w:noProof/>
                <w:sz w:val="18"/>
              </w:rPr>
              <w:t>Záväzky = Platby</w:t>
            </w:r>
          </w:p>
        </w:tc>
        <w:tc>
          <w:tcPr>
            <w:tcW w:w="654" w:type="dxa"/>
            <w:gridSpan w:val="2"/>
            <w:vAlign w:val="center"/>
          </w:tcPr>
          <w:p>
            <w:pPr>
              <w:jc w:val="center"/>
              <w:rPr>
                <w:rFonts w:eastAsia="Times New Roman"/>
                <w:noProof/>
                <w:sz w:val="14"/>
              </w:rPr>
            </w:pPr>
            <w:r>
              <w:rPr>
                <w:noProof/>
                <w:sz w:val="14"/>
              </w:rPr>
              <w:t>(3)</w:t>
            </w:r>
          </w:p>
        </w:tc>
        <w:tc>
          <w:tcPr>
            <w:tcW w:w="868" w:type="dxa"/>
            <w:vAlign w:val="center"/>
          </w:tcPr>
          <w:p>
            <w:pPr>
              <w:jc w:val="center"/>
              <w:rPr>
                <w:rFonts w:eastAsia="Times New Roman"/>
                <w:noProof/>
                <w:sz w:val="18"/>
                <w:szCs w:val="18"/>
              </w:rPr>
            </w:pPr>
            <w:r>
              <w:rPr>
                <w:noProof/>
                <w:sz w:val="18"/>
              </w:rPr>
              <w:t>6,586</w:t>
            </w:r>
          </w:p>
        </w:tc>
        <w:tc>
          <w:tcPr>
            <w:tcW w:w="868" w:type="dxa"/>
            <w:vAlign w:val="center"/>
          </w:tcPr>
          <w:p>
            <w:pPr>
              <w:jc w:val="center"/>
              <w:rPr>
                <w:rFonts w:eastAsia="Times New Roman"/>
                <w:noProof/>
                <w:sz w:val="18"/>
                <w:szCs w:val="18"/>
              </w:rPr>
            </w:pPr>
            <w:r>
              <w:rPr>
                <w:noProof/>
                <w:sz w:val="18"/>
              </w:rPr>
              <w:t>6,807</w:t>
            </w:r>
          </w:p>
        </w:tc>
        <w:tc>
          <w:tcPr>
            <w:tcW w:w="868" w:type="dxa"/>
            <w:vAlign w:val="center"/>
          </w:tcPr>
          <w:p>
            <w:pPr>
              <w:jc w:val="center"/>
              <w:rPr>
                <w:rFonts w:eastAsia="Times New Roman"/>
                <w:noProof/>
                <w:sz w:val="18"/>
                <w:szCs w:val="18"/>
              </w:rPr>
            </w:pPr>
            <w:r>
              <w:rPr>
                <w:noProof/>
                <w:sz w:val="18"/>
              </w:rPr>
              <w:t>7,153</w:t>
            </w:r>
          </w:p>
        </w:tc>
        <w:tc>
          <w:tcPr>
            <w:tcW w:w="868" w:type="dxa"/>
            <w:vAlign w:val="center"/>
          </w:tcPr>
          <w:p>
            <w:pPr>
              <w:jc w:val="center"/>
              <w:rPr>
                <w:rFonts w:eastAsia="Times New Roman"/>
                <w:noProof/>
                <w:sz w:val="18"/>
                <w:szCs w:val="18"/>
              </w:rPr>
            </w:pPr>
            <w:r>
              <w:rPr>
                <w:noProof/>
                <w:sz w:val="18"/>
              </w:rPr>
              <w:t>7,645</w:t>
            </w:r>
          </w:p>
        </w:tc>
        <w:tc>
          <w:tcPr>
            <w:tcW w:w="868" w:type="dxa"/>
            <w:vAlign w:val="center"/>
          </w:tcPr>
          <w:p>
            <w:pPr>
              <w:jc w:val="center"/>
              <w:rPr>
                <w:rFonts w:eastAsia="Times New Roman"/>
                <w:noProof/>
                <w:sz w:val="18"/>
                <w:szCs w:val="18"/>
              </w:rPr>
            </w:pPr>
            <w:r>
              <w:rPr>
                <w:noProof/>
                <w:sz w:val="18"/>
              </w:rPr>
              <w:t>8,311</w:t>
            </w:r>
          </w:p>
        </w:tc>
        <w:tc>
          <w:tcPr>
            <w:tcW w:w="868" w:type="dxa"/>
            <w:vAlign w:val="center"/>
          </w:tcPr>
          <w:p>
            <w:pPr>
              <w:jc w:val="center"/>
              <w:rPr>
                <w:rFonts w:eastAsia="Times New Roman"/>
                <w:noProof/>
                <w:sz w:val="18"/>
                <w:szCs w:val="18"/>
              </w:rPr>
            </w:pPr>
            <w:r>
              <w:rPr>
                <w:noProof/>
                <w:sz w:val="18"/>
              </w:rPr>
              <w:t>9,193</w:t>
            </w:r>
          </w:p>
        </w:tc>
        <w:tc>
          <w:tcPr>
            <w:tcW w:w="868" w:type="dxa"/>
            <w:vAlign w:val="center"/>
          </w:tcPr>
          <w:p>
            <w:pPr>
              <w:jc w:val="center"/>
              <w:rPr>
                <w:rFonts w:eastAsia="Times New Roman"/>
                <w:noProof/>
                <w:sz w:val="18"/>
                <w:szCs w:val="18"/>
              </w:rPr>
            </w:pPr>
            <w:r>
              <w:rPr>
                <w:noProof/>
                <w:sz w:val="18"/>
              </w:rPr>
              <w:t>10,305</w:t>
            </w:r>
          </w:p>
        </w:tc>
        <w:tc>
          <w:tcPr>
            <w:tcW w:w="909" w:type="dxa"/>
            <w:shd w:val="clear" w:color="auto" w:fill="A6A6A6" w:themeFill="background1" w:themeFillShade="A6"/>
            <w:vAlign w:val="center"/>
          </w:tcPr>
          <w:p>
            <w:pPr>
              <w:jc w:val="center"/>
              <w:rPr>
                <w:rFonts w:eastAsia="Times New Roman"/>
                <w:b/>
                <w:noProof/>
                <w:sz w:val="20"/>
              </w:rPr>
            </w:pPr>
          </w:p>
        </w:tc>
        <w:tc>
          <w:tcPr>
            <w:tcW w:w="1289" w:type="dxa"/>
            <w:gridSpan w:val="2"/>
            <w:vAlign w:val="center"/>
          </w:tcPr>
          <w:p>
            <w:pPr>
              <w:jc w:val="center"/>
              <w:rPr>
                <w:rFonts w:eastAsia="Times New Roman"/>
                <w:b/>
                <w:noProof/>
                <w:sz w:val="18"/>
                <w:szCs w:val="18"/>
              </w:rPr>
            </w:pPr>
            <w:r>
              <w:rPr>
                <w:b/>
                <w:noProof/>
                <w:sz w:val="18"/>
              </w:rPr>
              <w:t>56,000</w:t>
            </w:r>
          </w:p>
        </w:tc>
      </w:tr>
      <w:tr>
        <w:tblPrEx>
          <w:shd w:val="clear" w:color="auto" w:fill="CED7E7"/>
        </w:tblPrEx>
        <w:trPr>
          <w:gridAfter w:val="1"/>
          <w:wAfter w:w="113" w:type="dxa"/>
          <w:jc w:val="center"/>
        </w:trPr>
        <w:tc>
          <w:tcPr>
            <w:tcW w:w="4103" w:type="dxa"/>
            <w:vMerge w:val="restart"/>
            <w:vAlign w:val="center"/>
          </w:tcPr>
          <w:p>
            <w:pPr>
              <w:rPr>
                <w:rFonts w:eastAsia="Times New Roman"/>
                <w:b/>
                <w:noProof/>
              </w:rPr>
            </w:pPr>
            <w:r>
              <w:rPr>
                <w:b/>
                <w:noProof/>
                <w:sz w:val="22"/>
              </w:rPr>
              <w:t>Rozpočtové prostriedky na finančné krytie programu SPOLU</w:t>
            </w:r>
          </w:p>
        </w:tc>
        <w:tc>
          <w:tcPr>
            <w:tcW w:w="1440" w:type="dxa"/>
            <w:gridSpan w:val="2"/>
            <w:vAlign w:val="center"/>
          </w:tcPr>
          <w:p>
            <w:pPr>
              <w:rPr>
                <w:rFonts w:eastAsia="Times New Roman"/>
                <w:noProof/>
                <w:sz w:val="18"/>
              </w:rPr>
            </w:pPr>
            <w:r>
              <w:rPr>
                <w:noProof/>
                <w:sz w:val="18"/>
              </w:rPr>
              <w:t>Záväzky</w:t>
            </w:r>
          </w:p>
        </w:tc>
        <w:tc>
          <w:tcPr>
            <w:tcW w:w="654" w:type="dxa"/>
            <w:gridSpan w:val="2"/>
            <w:vAlign w:val="center"/>
          </w:tcPr>
          <w:p>
            <w:pPr>
              <w:jc w:val="center"/>
              <w:rPr>
                <w:rFonts w:eastAsia="Times New Roman"/>
                <w:noProof/>
                <w:sz w:val="14"/>
              </w:rPr>
            </w:pPr>
            <w:r>
              <w:rPr>
                <w:noProof/>
                <w:sz w:val="14"/>
              </w:rPr>
              <w:t>= 1 + 3</w:t>
            </w:r>
          </w:p>
        </w:tc>
        <w:tc>
          <w:tcPr>
            <w:tcW w:w="868" w:type="dxa"/>
            <w:vAlign w:val="center"/>
          </w:tcPr>
          <w:p>
            <w:pPr>
              <w:jc w:val="center"/>
              <w:rPr>
                <w:rFonts w:eastAsia="Times New Roman"/>
                <w:b/>
                <w:noProof/>
                <w:sz w:val="18"/>
                <w:szCs w:val="18"/>
              </w:rPr>
            </w:pPr>
            <w:r>
              <w:rPr>
                <w:b/>
                <w:noProof/>
                <w:sz w:val="18"/>
              </w:rPr>
              <w:t>148,181</w:t>
            </w:r>
          </w:p>
        </w:tc>
        <w:tc>
          <w:tcPr>
            <w:tcW w:w="868" w:type="dxa"/>
            <w:vAlign w:val="center"/>
          </w:tcPr>
          <w:p>
            <w:pPr>
              <w:jc w:val="center"/>
              <w:rPr>
                <w:rFonts w:eastAsia="Times New Roman"/>
                <w:b/>
                <w:noProof/>
                <w:sz w:val="18"/>
                <w:szCs w:val="18"/>
              </w:rPr>
            </w:pPr>
            <w:r>
              <w:rPr>
                <w:b/>
                <w:noProof/>
                <w:sz w:val="18"/>
              </w:rPr>
              <w:t>153,154</w:t>
            </w:r>
          </w:p>
        </w:tc>
        <w:tc>
          <w:tcPr>
            <w:tcW w:w="868" w:type="dxa"/>
            <w:vAlign w:val="center"/>
          </w:tcPr>
          <w:p>
            <w:pPr>
              <w:jc w:val="center"/>
              <w:rPr>
                <w:rFonts w:eastAsia="Times New Roman"/>
                <w:b/>
                <w:noProof/>
                <w:sz w:val="18"/>
                <w:szCs w:val="18"/>
              </w:rPr>
            </w:pPr>
            <w:r>
              <w:rPr>
                <w:b/>
                <w:noProof/>
                <w:sz w:val="18"/>
              </w:rPr>
              <w:t>160,952</w:t>
            </w:r>
          </w:p>
        </w:tc>
        <w:tc>
          <w:tcPr>
            <w:tcW w:w="868" w:type="dxa"/>
            <w:vAlign w:val="center"/>
          </w:tcPr>
          <w:p>
            <w:pPr>
              <w:jc w:val="center"/>
              <w:rPr>
                <w:rFonts w:eastAsia="Times New Roman"/>
                <w:b/>
                <w:noProof/>
                <w:sz w:val="18"/>
                <w:szCs w:val="18"/>
              </w:rPr>
            </w:pPr>
            <w:r>
              <w:rPr>
                <w:b/>
                <w:noProof/>
                <w:sz w:val="18"/>
              </w:rPr>
              <w:t>172,017</w:t>
            </w:r>
          </w:p>
        </w:tc>
        <w:tc>
          <w:tcPr>
            <w:tcW w:w="868" w:type="dxa"/>
            <w:vAlign w:val="center"/>
          </w:tcPr>
          <w:p>
            <w:pPr>
              <w:jc w:val="center"/>
              <w:rPr>
                <w:rFonts w:eastAsia="Times New Roman"/>
                <w:b/>
                <w:noProof/>
                <w:sz w:val="18"/>
                <w:szCs w:val="18"/>
              </w:rPr>
            </w:pPr>
            <w:r>
              <w:rPr>
                <w:b/>
                <w:noProof/>
                <w:sz w:val="18"/>
              </w:rPr>
              <w:t>187,003</w:t>
            </w:r>
          </w:p>
        </w:tc>
        <w:tc>
          <w:tcPr>
            <w:tcW w:w="868" w:type="dxa"/>
            <w:vAlign w:val="center"/>
          </w:tcPr>
          <w:p>
            <w:pPr>
              <w:jc w:val="center"/>
              <w:rPr>
                <w:rFonts w:eastAsia="Times New Roman"/>
                <w:b/>
                <w:noProof/>
                <w:sz w:val="18"/>
                <w:szCs w:val="18"/>
              </w:rPr>
            </w:pPr>
            <w:r>
              <w:rPr>
                <w:b/>
                <w:noProof/>
                <w:sz w:val="18"/>
              </w:rPr>
              <w:t>206,841</w:t>
            </w:r>
          </w:p>
        </w:tc>
        <w:tc>
          <w:tcPr>
            <w:tcW w:w="868" w:type="dxa"/>
            <w:vAlign w:val="center"/>
          </w:tcPr>
          <w:p>
            <w:pPr>
              <w:jc w:val="center"/>
              <w:rPr>
                <w:rFonts w:eastAsia="Times New Roman"/>
                <w:b/>
                <w:noProof/>
                <w:sz w:val="18"/>
                <w:szCs w:val="18"/>
              </w:rPr>
            </w:pPr>
            <w:r>
              <w:rPr>
                <w:b/>
                <w:noProof/>
                <w:sz w:val="18"/>
              </w:rPr>
              <w:t>231,852</w:t>
            </w:r>
          </w:p>
        </w:tc>
        <w:tc>
          <w:tcPr>
            <w:tcW w:w="909" w:type="dxa"/>
            <w:shd w:val="clear" w:color="auto" w:fill="A6A6A6" w:themeFill="background1" w:themeFillShade="A6"/>
            <w:vAlign w:val="center"/>
          </w:tcPr>
          <w:p>
            <w:pPr>
              <w:jc w:val="center"/>
              <w:rPr>
                <w:rFonts w:eastAsia="Times New Roman"/>
                <w:b/>
                <w:noProof/>
                <w:sz w:val="18"/>
                <w:szCs w:val="18"/>
              </w:rPr>
            </w:pPr>
          </w:p>
        </w:tc>
        <w:tc>
          <w:tcPr>
            <w:tcW w:w="1289" w:type="dxa"/>
            <w:gridSpan w:val="2"/>
            <w:vAlign w:val="center"/>
          </w:tcPr>
          <w:p>
            <w:pPr>
              <w:jc w:val="center"/>
              <w:rPr>
                <w:rFonts w:eastAsia="Times New Roman"/>
                <w:b/>
                <w:noProof/>
                <w:sz w:val="18"/>
                <w:szCs w:val="18"/>
              </w:rPr>
            </w:pPr>
            <w:r>
              <w:rPr>
                <w:b/>
                <w:noProof/>
                <w:sz w:val="18"/>
              </w:rPr>
              <w:t>1 260,000</w:t>
            </w:r>
          </w:p>
        </w:tc>
      </w:tr>
      <w:tr>
        <w:tblPrEx>
          <w:shd w:val="clear" w:color="auto" w:fill="CED7E7"/>
        </w:tblPrEx>
        <w:trPr>
          <w:gridAfter w:val="1"/>
          <w:wAfter w:w="113" w:type="dxa"/>
          <w:jc w:val="center"/>
        </w:trPr>
        <w:tc>
          <w:tcPr>
            <w:tcW w:w="4103" w:type="dxa"/>
            <w:vMerge/>
          </w:tcPr>
          <w:p>
            <w:pPr>
              <w:rPr>
                <w:rFonts w:eastAsia="Times New Roman"/>
                <w:noProof/>
                <w:sz w:val="20"/>
              </w:rPr>
            </w:pPr>
          </w:p>
        </w:tc>
        <w:tc>
          <w:tcPr>
            <w:tcW w:w="1440" w:type="dxa"/>
            <w:gridSpan w:val="2"/>
            <w:vAlign w:val="center"/>
          </w:tcPr>
          <w:p>
            <w:pPr>
              <w:rPr>
                <w:rFonts w:eastAsia="Times New Roman"/>
                <w:noProof/>
                <w:sz w:val="18"/>
              </w:rPr>
            </w:pPr>
            <w:r>
              <w:rPr>
                <w:noProof/>
                <w:sz w:val="18"/>
              </w:rPr>
              <w:t>Platby</w:t>
            </w:r>
          </w:p>
        </w:tc>
        <w:tc>
          <w:tcPr>
            <w:tcW w:w="654" w:type="dxa"/>
            <w:gridSpan w:val="2"/>
            <w:vAlign w:val="center"/>
          </w:tcPr>
          <w:p>
            <w:pPr>
              <w:jc w:val="center"/>
              <w:rPr>
                <w:rFonts w:eastAsia="Times New Roman"/>
                <w:noProof/>
                <w:sz w:val="14"/>
              </w:rPr>
            </w:pPr>
            <w:r>
              <w:rPr>
                <w:noProof/>
                <w:sz w:val="14"/>
              </w:rPr>
              <w:t>= 2 + 3</w:t>
            </w:r>
          </w:p>
        </w:tc>
        <w:tc>
          <w:tcPr>
            <w:tcW w:w="868" w:type="dxa"/>
            <w:vAlign w:val="center"/>
          </w:tcPr>
          <w:p>
            <w:pPr>
              <w:jc w:val="center"/>
              <w:rPr>
                <w:rFonts w:eastAsia="Times New Roman"/>
                <w:b/>
                <w:noProof/>
                <w:sz w:val="18"/>
                <w:szCs w:val="18"/>
              </w:rPr>
            </w:pPr>
            <w:r>
              <w:rPr>
                <w:b/>
                <w:noProof/>
                <w:sz w:val="18"/>
              </w:rPr>
              <w:t>110,444</w:t>
            </w:r>
          </w:p>
        </w:tc>
        <w:tc>
          <w:tcPr>
            <w:tcW w:w="868" w:type="dxa"/>
            <w:vAlign w:val="center"/>
          </w:tcPr>
          <w:p>
            <w:pPr>
              <w:jc w:val="center"/>
              <w:rPr>
                <w:rFonts w:eastAsia="Times New Roman"/>
                <w:b/>
                <w:noProof/>
                <w:sz w:val="18"/>
                <w:szCs w:val="18"/>
              </w:rPr>
            </w:pPr>
            <w:r>
              <w:rPr>
                <w:b/>
                <w:noProof/>
                <w:sz w:val="18"/>
              </w:rPr>
              <w:t>139,823</w:t>
            </w:r>
          </w:p>
        </w:tc>
        <w:tc>
          <w:tcPr>
            <w:tcW w:w="868" w:type="dxa"/>
            <w:vAlign w:val="center"/>
          </w:tcPr>
          <w:p>
            <w:pPr>
              <w:jc w:val="center"/>
              <w:rPr>
                <w:rFonts w:eastAsia="Times New Roman"/>
                <w:b/>
                <w:noProof/>
                <w:sz w:val="18"/>
                <w:szCs w:val="18"/>
              </w:rPr>
            </w:pPr>
            <w:r>
              <w:rPr>
                <w:b/>
                <w:noProof/>
                <w:sz w:val="18"/>
              </w:rPr>
              <w:t>152,231</w:t>
            </w:r>
          </w:p>
        </w:tc>
        <w:tc>
          <w:tcPr>
            <w:tcW w:w="868" w:type="dxa"/>
            <w:vAlign w:val="center"/>
          </w:tcPr>
          <w:p>
            <w:pPr>
              <w:jc w:val="center"/>
              <w:rPr>
                <w:rFonts w:eastAsia="Times New Roman"/>
                <w:b/>
                <w:noProof/>
                <w:sz w:val="18"/>
                <w:szCs w:val="18"/>
              </w:rPr>
            </w:pPr>
            <w:r>
              <w:rPr>
                <w:b/>
                <w:noProof/>
                <w:sz w:val="18"/>
              </w:rPr>
              <w:t>163,860</w:t>
            </w:r>
          </w:p>
        </w:tc>
        <w:tc>
          <w:tcPr>
            <w:tcW w:w="868" w:type="dxa"/>
            <w:vAlign w:val="center"/>
          </w:tcPr>
          <w:p>
            <w:pPr>
              <w:jc w:val="center"/>
              <w:rPr>
                <w:rFonts w:eastAsia="Times New Roman"/>
                <w:b/>
                <w:noProof/>
                <w:sz w:val="18"/>
                <w:szCs w:val="18"/>
              </w:rPr>
            </w:pPr>
            <w:r>
              <w:rPr>
                <w:b/>
                <w:noProof/>
                <w:sz w:val="18"/>
              </w:rPr>
              <w:t>178,075</w:t>
            </w:r>
          </w:p>
        </w:tc>
        <w:tc>
          <w:tcPr>
            <w:tcW w:w="868" w:type="dxa"/>
            <w:vAlign w:val="center"/>
          </w:tcPr>
          <w:p>
            <w:pPr>
              <w:jc w:val="center"/>
              <w:rPr>
                <w:rFonts w:eastAsia="Times New Roman"/>
                <w:b/>
                <w:noProof/>
                <w:sz w:val="18"/>
                <w:szCs w:val="18"/>
              </w:rPr>
            </w:pPr>
            <w:r>
              <w:rPr>
                <w:b/>
                <w:noProof/>
                <w:sz w:val="18"/>
              </w:rPr>
              <w:t>196,321</w:t>
            </w:r>
          </w:p>
        </w:tc>
        <w:tc>
          <w:tcPr>
            <w:tcW w:w="868" w:type="dxa"/>
            <w:vAlign w:val="center"/>
          </w:tcPr>
          <w:p>
            <w:pPr>
              <w:jc w:val="center"/>
              <w:rPr>
                <w:rFonts w:eastAsia="Times New Roman"/>
                <w:b/>
                <w:noProof/>
                <w:sz w:val="18"/>
                <w:szCs w:val="18"/>
              </w:rPr>
            </w:pPr>
            <w:r>
              <w:rPr>
                <w:b/>
                <w:noProof/>
                <w:sz w:val="18"/>
              </w:rPr>
              <w:t>219,536</w:t>
            </w:r>
          </w:p>
        </w:tc>
        <w:tc>
          <w:tcPr>
            <w:tcW w:w="909" w:type="dxa"/>
            <w:vAlign w:val="center"/>
          </w:tcPr>
          <w:p>
            <w:pPr>
              <w:jc w:val="center"/>
              <w:rPr>
                <w:rFonts w:eastAsia="Times New Roman"/>
                <w:b/>
                <w:noProof/>
                <w:sz w:val="18"/>
                <w:szCs w:val="18"/>
              </w:rPr>
            </w:pPr>
            <w:r>
              <w:rPr>
                <w:b/>
                <w:noProof/>
                <w:sz w:val="18"/>
              </w:rPr>
              <w:t>99,710</w:t>
            </w:r>
          </w:p>
        </w:tc>
        <w:tc>
          <w:tcPr>
            <w:tcW w:w="1289" w:type="dxa"/>
            <w:gridSpan w:val="2"/>
            <w:vAlign w:val="center"/>
          </w:tcPr>
          <w:p>
            <w:pPr>
              <w:jc w:val="center"/>
              <w:rPr>
                <w:rFonts w:eastAsia="Times New Roman"/>
                <w:b/>
                <w:noProof/>
                <w:sz w:val="18"/>
                <w:szCs w:val="18"/>
              </w:rPr>
            </w:pPr>
            <w:r>
              <w:rPr>
                <w:b/>
                <w:noProof/>
                <w:sz w:val="18"/>
              </w:rPr>
              <w:t>1 260,000</w:t>
            </w:r>
          </w:p>
        </w:tc>
      </w:tr>
    </w:tbl>
    <w:p>
      <w:pPr>
        <w:rPr>
          <w:rFonts w:eastAsia="Times New Roman"/>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jc w:val="center"/>
              <w:rPr>
                <w:rFonts w:eastAsia="Times New Roman"/>
                <w:b/>
                <w:noProof/>
              </w:rPr>
            </w:pPr>
            <w:r>
              <w:rPr>
                <w:noProof/>
              </w:rPr>
              <w:br w:type="page"/>
            </w:r>
            <w:r>
              <w:rPr>
                <w:b/>
                <w:noProof/>
                <w:sz w:val="22"/>
              </w:rPr>
              <w:t xml:space="preserve">Okruh viacročného finančného </w:t>
            </w:r>
            <w:r>
              <w:rPr>
                <w:rFonts w:eastAsia="Times New Roman"/>
                <w:noProof/>
                <w:sz w:val="22"/>
              </w:rPr>
              <w:br/>
            </w:r>
            <w:r>
              <w:rPr>
                <w:b/>
                <w:noProof/>
                <w:sz w:val="22"/>
              </w:rPr>
              <w:t xml:space="preserve">rámca: </w:t>
            </w:r>
          </w:p>
        </w:tc>
        <w:tc>
          <w:tcPr>
            <w:tcW w:w="1080" w:type="dxa"/>
            <w:shd w:val="thinDiagStripe" w:color="C0C0C0" w:fill="auto"/>
            <w:vAlign w:val="center"/>
          </w:tcPr>
          <w:p>
            <w:pPr>
              <w:jc w:val="center"/>
              <w:rPr>
                <w:rFonts w:eastAsia="Times New Roman"/>
                <w:noProof/>
              </w:rPr>
            </w:pPr>
            <w:r>
              <w:rPr>
                <w:noProof/>
              </w:rPr>
              <w:t>7</w:t>
            </w:r>
          </w:p>
        </w:tc>
        <w:tc>
          <w:tcPr>
            <w:tcW w:w="7817" w:type="dxa"/>
            <w:vAlign w:val="center"/>
          </w:tcPr>
          <w:p>
            <w:pPr>
              <w:rPr>
                <w:rFonts w:eastAsia="Times New Roman"/>
                <w:noProof/>
              </w:rPr>
            </w:pPr>
            <w:r>
              <w:rPr>
                <w:noProof/>
                <w:sz w:val="22"/>
              </w:rPr>
              <w:t>„Administratívne výdavky“</w:t>
            </w:r>
          </w:p>
        </w:tc>
      </w:tr>
    </w:tbl>
    <w:p>
      <w:pPr>
        <w:rPr>
          <w:noProof/>
        </w:rPr>
      </w:pPr>
      <w:r>
        <w:rPr>
          <w:noProof/>
        </w:rPr>
        <w:t xml:space="preserve">Tento oddiel sa vyplní použitím „rozpočtových údajov administratívnej povahy“, ktoré sa najprv uvedú v </w:t>
      </w:r>
      <w:hyperlink r:id="rId24">
        <w:r>
          <w:rPr>
            <w:rStyle w:val="Hyperlink0"/>
            <w:noProof/>
            <w:color w:val="auto"/>
          </w:rPr>
          <w:t>prílohe k legislatívnemu finančnému výkazu</w:t>
        </w:r>
      </w:hyperlink>
      <w:r>
        <w:rPr>
          <w:noProof/>
        </w:rPr>
        <w:t>, ktorá sa na účely konzultácie medzi útvarmi vloží do aplikácie DECIDE.</w:t>
      </w:r>
    </w:p>
    <w:p>
      <w:pPr>
        <w:pStyle w:val="Text"/>
        <w:jc w:val="right"/>
        <w:rPr>
          <w:noProof/>
          <w:color w:val="auto"/>
          <w:sz w:val="20"/>
          <w:szCs w:val="20"/>
        </w:rPr>
      </w:pPr>
      <w:r>
        <w:rPr>
          <w:noProof/>
          <w:color w:val="auto"/>
          <w:sz w:val="20"/>
        </w:rPr>
        <w:t>v mil. EUR (zaokrúhlené na 3 desatinné miesta)</w:t>
      </w:r>
    </w:p>
    <w:tbl>
      <w:tblPr>
        <w:tblW w:w="1449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00"/>
        <w:gridCol w:w="2046"/>
        <w:gridCol w:w="868"/>
        <w:gridCol w:w="868"/>
        <w:gridCol w:w="868"/>
        <w:gridCol w:w="868"/>
        <w:gridCol w:w="868"/>
        <w:gridCol w:w="868"/>
        <w:gridCol w:w="868"/>
        <w:gridCol w:w="886"/>
        <w:gridCol w:w="1291"/>
      </w:tblGrid>
      <w:tr>
        <w:trPr>
          <w:trHeight w:val="667"/>
          <w:jc w:val="center"/>
        </w:trPr>
        <w:tc>
          <w:tcPr>
            <w:tcW w:w="6246"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pPr>
              <w:rPr>
                <w:noProof/>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2021</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2022</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2023</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18"/>
              </w:rPr>
              <w:t>2025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18"/>
              </w:rPr>
              <w:t>2026</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18"/>
              </w:rPr>
              <w:t>2027</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ext"/>
              <w:jc w:val="center"/>
              <w:rPr>
                <w:noProof/>
                <w:color w:val="auto"/>
              </w:rPr>
            </w:pPr>
            <w:r>
              <w:rPr>
                <w:b/>
                <w:i/>
                <w:noProof/>
                <w:color w:val="auto"/>
                <w:sz w:val="20"/>
              </w:rPr>
              <w:t>Po roku 2027</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SPOLU</w:t>
            </w:r>
          </w:p>
        </w:tc>
      </w:tr>
      <w:tr>
        <w:trPr>
          <w:trHeight w:val="582"/>
          <w:jc w:val="center"/>
        </w:trPr>
        <w:tc>
          <w:tcPr>
            <w:tcW w:w="62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rPr>
                <w:noProof/>
                <w:color w:val="auto"/>
              </w:rPr>
            </w:pPr>
            <w:r>
              <w:rPr>
                <w:noProof/>
                <w:color w:val="auto"/>
                <w:sz w:val="22"/>
              </w:rPr>
              <w:t xml:space="preserve">Ľudské zdroje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2,505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2,505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2,579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2,579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2,579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2,579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2,579</w:t>
            </w:r>
          </w:p>
        </w:tc>
        <w:tc>
          <w:tcPr>
            <w:tcW w:w="88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jc w:val="center"/>
              <w:rPr>
                <w:noProof/>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jc w:val="center"/>
              <w:rPr>
                <w:b/>
                <w:bCs/>
                <w:noProof/>
                <w:sz w:val="22"/>
              </w:rPr>
            </w:pPr>
            <w:r>
              <w:rPr>
                <w:b/>
                <w:noProof/>
                <w:sz w:val="22"/>
              </w:rPr>
              <w:t>17,905</w:t>
            </w:r>
          </w:p>
        </w:tc>
      </w:tr>
      <w:tr>
        <w:trPr>
          <w:trHeight w:val="562"/>
          <w:jc w:val="center"/>
        </w:trPr>
        <w:tc>
          <w:tcPr>
            <w:tcW w:w="62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rPr>
                <w:noProof/>
                <w:color w:val="auto"/>
              </w:rPr>
            </w:pPr>
            <w:r>
              <w:rPr>
                <w:noProof/>
                <w:color w:val="auto"/>
                <w:sz w:val="22"/>
              </w:rPr>
              <w:t xml:space="preserve">Ostatné administratívne výdavky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0,838</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0,838</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0,838</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0,838</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0,838</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0,838</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0,838</w:t>
            </w:r>
          </w:p>
        </w:tc>
        <w:tc>
          <w:tcPr>
            <w:tcW w:w="88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jc w:val="center"/>
              <w:rPr>
                <w:noProof/>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jc w:val="center"/>
              <w:rPr>
                <w:b/>
                <w:bCs/>
                <w:noProof/>
                <w:sz w:val="22"/>
              </w:rPr>
            </w:pPr>
            <w:r>
              <w:rPr>
                <w:b/>
                <w:noProof/>
                <w:sz w:val="22"/>
              </w:rPr>
              <w:t>5,866</w:t>
            </w:r>
          </w:p>
        </w:tc>
      </w:tr>
      <w:tr>
        <w:trPr>
          <w:trHeight w:val="961"/>
          <w:jc w:val="center"/>
        </w:trPr>
        <w:tc>
          <w:tcPr>
            <w:tcW w:w="4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left"/>
              <w:rPr>
                <w:noProof/>
                <w:color w:val="auto"/>
              </w:rPr>
            </w:pPr>
            <w:r>
              <w:rPr>
                <w:b/>
                <w:noProof/>
                <w:color w:val="auto"/>
                <w:sz w:val="22"/>
              </w:rPr>
              <w:t>Rozpočtové prostriedky v rámci OKRUHU 7 viacročného finančného rámca SPOLU</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pPr>
              <w:pStyle w:val="Text"/>
              <w:rPr>
                <w:noProof/>
                <w:color w:val="auto"/>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2"/>
              </w:rPr>
              <w:t>3,343</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2"/>
              </w:rPr>
              <w:t>3,343</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2"/>
              </w:rPr>
              <w:t>3,417</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2"/>
              </w:rPr>
              <w:t>3,417</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2"/>
              </w:rPr>
              <w:t>3,417</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2"/>
              </w:rPr>
              <w:t>3,417</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2"/>
              </w:rPr>
              <w:t>3,417</w:t>
            </w:r>
          </w:p>
        </w:tc>
        <w:tc>
          <w:tcPr>
            <w:tcW w:w="88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jc w:val="center"/>
              <w:rPr>
                <w:noProof/>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jc w:val="center"/>
              <w:rPr>
                <w:noProof/>
              </w:rPr>
            </w:pPr>
            <w:r>
              <w:rPr>
                <w:b/>
                <w:noProof/>
                <w:sz w:val="22"/>
              </w:rPr>
              <w:t>23,771</w:t>
            </w:r>
          </w:p>
        </w:tc>
      </w:tr>
    </w:tbl>
    <w:p>
      <w:pPr>
        <w:pStyle w:val="Text"/>
        <w:jc w:val="right"/>
        <w:rPr>
          <w:noProof/>
          <w:color w:val="auto"/>
          <w:sz w:val="20"/>
          <w:szCs w:val="20"/>
        </w:rPr>
      </w:pPr>
      <w:r>
        <w:rPr>
          <w:noProof/>
          <w:color w:val="auto"/>
          <w:sz w:val="20"/>
        </w:rPr>
        <w:t>v mil. EUR (zaokrúhlené na 3 desatinné miesta)</w:t>
      </w:r>
    </w:p>
    <w:tbl>
      <w:tblPr>
        <w:tblW w:w="1451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73"/>
        <w:gridCol w:w="1560"/>
        <w:gridCol w:w="534"/>
        <w:gridCol w:w="868"/>
        <w:gridCol w:w="868"/>
        <w:gridCol w:w="868"/>
        <w:gridCol w:w="868"/>
        <w:gridCol w:w="868"/>
        <w:gridCol w:w="868"/>
        <w:gridCol w:w="868"/>
        <w:gridCol w:w="877"/>
        <w:gridCol w:w="1292"/>
      </w:tblGrid>
      <w:tr>
        <w:trPr>
          <w:trHeight w:val="667"/>
          <w:jc w:val="center"/>
        </w:trPr>
        <w:tc>
          <w:tcPr>
            <w:tcW w:w="41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rPr>
                <w:noProof/>
              </w:rPr>
            </w:pPr>
          </w:p>
        </w:tc>
        <w:tc>
          <w:tcPr>
            <w:tcW w:w="1560" w:type="dxa"/>
            <w:tcBorders>
              <w:top w:val="nil"/>
              <w:left w:val="nil"/>
              <w:bottom w:val="single" w:sz="4" w:space="0" w:color="000000"/>
              <w:right w:val="nil"/>
            </w:tcBorders>
            <w:shd w:val="clear" w:color="auto" w:fill="auto"/>
            <w:tcMar>
              <w:top w:w="80" w:type="dxa"/>
              <w:left w:w="80" w:type="dxa"/>
              <w:bottom w:w="80" w:type="dxa"/>
              <w:right w:w="80" w:type="dxa"/>
            </w:tcMar>
          </w:tcPr>
          <w:p>
            <w:pPr>
              <w:rPr>
                <w:noProof/>
              </w:rPr>
            </w:pPr>
          </w:p>
        </w:tc>
        <w:tc>
          <w:tcPr>
            <w:tcW w:w="534"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2021</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2022</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2023</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18"/>
              </w:rPr>
              <w:t>2025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18"/>
              </w:rPr>
              <w:t>2026</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18"/>
              </w:rPr>
              <w:t>2027</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ext"/>
              <w:jc w:val="center"/>
              <w:rPr>
                <w:noProof/>
                <w:color w:val="auto"/>
              </w:rPr>
            </w:pPr>
            <w:r>
              <w:rPr>
                <w:b/>
                <w:i/>
                <w:noProof/>
                <w:color w:val="auto"/>
                <w:sz w:val="20"/>
              </w:rPr>
              <w:t>Po roku 2027</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SPOLU</w:t>
            </w:r>
          </w:p>
        </w:tc>
      </w:tr>
      <w:tr>
        <w:trPr>
          <w:trHeight w:val="822"/>
          <w:jc w:val="center"/>
        </w:trPr>
        <w:tc>
          <w:tcPr>
            <w:tcW w:w="4173" w:type="dxa"/>
            <w:vMerge w:val="restart"/>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pPr>
              <w:pStyle w:val="Text"/>
              <w:jc w:val="center"/>
              <w:rPr>
                <w:noProof/>
                <w:color w:val="auto"/>
              </w:rPr>
            </w:pPr>
            <w:r>
              <w:rPr>
                <w:b/>
                <w:noProof/>
                <w:color w:val="auto"/>
                <w:sz w:val="22"/>
              </w:rPr>
              <w:t>Rozpočtové prostriedky</w:t>
            </w:r>
            <w:r>
              <w:rPr>
                <w:rFonts w:eastAsia="Arial Unicode MS"/>
                <w:noProof/>
                <w:color w:val="auto"/>
                <w:sz w:val="22"/>
                <w:szCs w:val="22"/>
              </w:rPr>
              <w:br/>
            </w:r>
            <w:r>
              <w:rPr>
                <w:b/>
                <w:noProof/>
                <w:color w:val="auto"/>
                <w:sz w:val="22"/>
              </w:rPr>
              <w:t xml:space="preserve">v rámci všetkých okruhov </w:t>
            </w:r>
            <w:r>
              <w:rPr>
                <w:rFonts w:eastAsia="Arial Unicode MS"/>
                <w:noProof/>
                <w:color w:val="auto"/>
                <w:sz w:val="22"/>
                <w:szCs w:val="22"/>
              </w:rPr>
              <w:br/>
            </w:r>
            <w:r>
              <w:rPr>
                <w:noProof/>
                <w:color w:val="auto"/>
                <w:sz w:val="22"/>
              </w:rPr>
              <w:t>viacročného finančného rámca</w:t>
            </w:r>
            <w:r>
              <w:rPr>
                <w:b/>
                <w:noProof/>
                <w:color w:val="auto"/>
                <w:sz w:val="22"/>
              </w:rPr>
              <w:t xml:space="preserve"> </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rPr>
                <w:noProof/>
                <w:color w:val="auto"/>
              </w:rPr>
            </w:pPr>
            <w:r>
              <w:rPr>
                <w:noProof/>
                <w:color w:val="auto"/>
                <w:sz w:val="18"/>
              </w:rPr>
              <w:t>Záväzky</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151,524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156,497</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164,369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175,434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190,420</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210,258</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235,269</w:t>
            </w:r>
          </w:p>
        </w:tc>
        <w:tc>
          <w:tcPr>
            <w:tcW w:w="877"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jc w:val="center"/>
              <w:rPr>
                <w:noProof/>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jc w:val="center"/>
              <w:rPr>
                <w:b/>
                <w:noProof/>
                <w:sz w:val="22"/>
              </w:rPr>
            </w:pPr>
            <w:r>
              <w:rPr>
                <w:b/>
                <w:noProof/>
                <w:sz w:val="22"/>
              </w:rPr>
              <w:t>1 283,771</w:t>
            </w:r>
          </w:p>
        </w:tc>
      </w:tr>
      <w:tr>
        <w:trPr>
          <w:trHeight w:val="802"/>
          <w:jc w:val="center"/>
        </w:trPr>
        <w:tc>
          <w:tcPr>
            <w:tcW w:w="4173" w:type="dxa"/>
            <w:vMerge/>
            <w:tcBorders>
              <w:top w:val="single" w:sz="4" w:space="0" w:color="000000"/>
              <w:left w:val="single" w:sz="4" w:space="0" w:color="000000"/>
              <w:bottom w:val="single" w:sz="4" w:space="0" w:color="000000"/>
              <w:right w:val="single" w:sz="4" w:space="0" w:color="000000"/>
            </w:tcBorders>
            <w:shd w:val="clear" w:color="auto" w:fill="C0C0C0"/>
          </w:tcPr>
          <w:p>
            <w:pPr>
              <w:rPr>
                <w:noProof/>
              </w:rPr>
            </w:pP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rPr>
                <w:noProof/>
                <w:color w:val="auto"/>
              </w:rPr>
            </w:pPr>
            <w:r>
              <w:rPr>
                <w:noProof/>
                <w:color w:val="auto"/>
                <w:sz w:val="18"/>
              </w:rPr>
              <w:t>Platby</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113,787</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143,166</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155,648</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167,277</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181,492</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199,738</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222,953</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99,710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jc w:val="center"/>
              <w:rPr>
                <w:b/>
                <w:noProof/>
                <w:sz w:val="22"/>
              </w:rPr>
            </w:pPr>
            <w:r>
              <w:rPr>
                <w:b/>
                <w:noProof/>
                <w:sz w:val="22"/>
              </w:rPr>
              <w:t>1 283,771</w:t>
            </w:r>
          </w:p>
        </w:tc>
      </w:tr>
    </w:tbl>
    <w:p>
      <w:pPr>
        <w:pStyle w:val="Text"/>
        <w:widowControl w:val="0"/>
        <w:jc w:val="center"/>
        <w:rPr>
          <w:noProof/>
          <w:color w:val="auto"/>
          <w:sz w:val="20"/>
          <w:szCs w:val="20"/>
        </w:rPr>
      </w:pPr>
    </w:p>
    <w:p>
      <w:pPr>
        <w:pStyle w:val="Text"/>
        <w:rPr>
          <w:noProof/>
          <w:color w:val="auto"/>
        </w:rPr>
        <w:sectPr>
          <w:headerReference w:type="default" r:id="rId25"/>
          <w:footerReference w:type="default" r:id="rId26"/>
          <w:headerReference w:type="first" r:id="rId27"/>
          <w:footerReference w:type="first" r:id="rId28"/>
          <w:pgSz w:w="16840" w:h="11900" w:orient="landscape"/>
          <w:pgMar w:top="1418" w:right="1134" w:bottom="1418" w:left="1134" w:header="709" w:footer="709" w:gutter="0"/>
          <w:cols w:space="720"/>
          <w:docGrid w:linePitch="326"/>
        </w:sectPr>
      </w:pPr>
    </w:p>
    <w:p>
      <w:pPr>
        <w:pStyle w:val="ManualHeading3"/>
        <w:rPr>
          <w:noProof/>
        </w:rPr>
      </w:pPr>
      <w:r>
        <w:t>3.2.2.</w:t>
      </w:r>
      <w:r>
        <w:tab/>
      </w:r>
      <w:r>
        <w:rPr>
          <w:noProof/>
        </w:rPr>
        <w:t>Zhrnutie odhadovaného vplyvu na administratívne rozpočtové prostriedky</w:t>
      </w:r>
    </w:p>
    <w:p>
      <w:pPr>
        <w:pStyle w:val="ListDash1"/>
        <w:numPr>
          <w:ilvl w:val="0"/>
          <w:numId w:val="47"/>
        </w:numPr>
        <w:pBdr>
          <w:top w:val="nil"/>
          <w:left w:val="nil"/>
          <w:bottom w:val="nil"/>
          <w:right w:val="nil"/>
          <w:between w:val="nil"/>
          <w:bar w:val="nil"/>
        </w:pBdr>
        <w:tabs>
          <w:tab w:val="left" w:pos="1134"/>
        </w:tabs>
        <w:rPr>
          <w:noProof/>
        </w:rPr>
      </w:pPr>
      <w:r>
        <w:rPr>
          <w:noProof/>
          <w:sz w:val="22"/>
        </w:rPr>
        <w:sym w:font="Wingdings" w:char="F0A8"/>
      </w:r>
      <w:r>
        <w:rPr>
          <w:noProof/>
        </w:rPr>
        <w:tab/>
        <w:t>Návrh/iniciatíva si nevyžaduje použitie administratívnych rozpočtových prostriedkov.</w:t>
      </w:r>
    </w:p>
    <w:p>
      <w:pPr>
        <w:pStyle w:val="ListDash1"/>
        <w:numPr>
          <w:ilvl w:val="0"/>
          <w:numId w:val="47"/>
        </w:numPr>
        <w:pBdr>
          <w:top w:val="nil"/>
          <w:left w:val="nil"/>
          <w:bottom w:val="nil"/>
          <w:right w:val="nil"/>
          <w:between w:val="nil"/>
          <w:bar w:val="nil"/>
        </w:pBdr>
        <w:tabs>
          <w:tab w:val="left" w:pos="1134"/>
        </w:tabs>
        <w:rPr>
          <w:noProof/>
        </w:rPr>
      </w:pPr>
      <w:r>
        <w:rPr>
          <w:noProof/>
        </w:rPr>
        <w:sym w:font="Wingdings" w:char="F078"/>
      </w:r>
      <w:r>
        <w:rPr>
          <w:noProof/>
        </w:rPr>
        <w:tab/>
        <w:t>Návrh/iniciatíva si vyžaduje použitie administratívnych rozpočtových prostriedkov, ako je uvedené v nasledujúcej tabuľke:</w:t>
      </w:r>
    </w:p>
    <w:p>
      <w:pPr>
        <w:pStyle w:val="Text"/>
        <w:rPr>
          <w:noProof/>
          <w:color w:val="auto"/>
          <w:sz w:val="20"/>
          <w:szCs w:val="20"/>
        </w:rPr>
      </w:pPr>
      <w:r>
        <w:rPr>
          <w:noProof/>
          <w:color w:val="auto"/>
          <w:sz w:val="20"/>
        </w:rPr>
        <w:t>v mil. EUR (zaokrúhlené na 3 desatinné miesta)</w:t>
      </w:r>
    </w:p>
    <w:tbl>
      <w:tblPr>
        <w:tblW w:w="10620"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Roky</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2021</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2022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2023</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2024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2025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2026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2027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SPOLU</w:t>
            </w:r>
          </w:p>
        </w:tc>
      </w:tr>
    </w:tbl>
    <w:p>
      <w:pPr>
        <w:rPr>
          <w:noProof/>
        </w:rPr>
      </w:pPr>
    </w:p>
    <w:tbl>
      <w:tblPr>
        <w:tblW w:w="10620"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60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OKRUH 7</w:t>
            </w:r>
            <w:r>
              <w:rPr>
                <w:rFonts w:eastAsia="Arial Unicode MS"/>
                <w:noProof/>
                <w:color w:val="auto"/>
                <w:sz w:val="20"/>
                <w:szCs w:val="20"/>
              </w:rPr>
              <w:br/>
            </w:r>
            <w:r>
              <w:rPr>
                <w:b/>
                <w:noProof/>
                <w:color w:val="auto"/>
                <w:sz w:val="20"/>
              </w:rPr>
              <w:t>viacročného finančného rámca</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r>
      <w:tr>
        <w:trPr>
          <w:trHeight w:val="560"/>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Style w:val="Text"/>
              <w:ind w:left="72"/>
              <w:jc w:val="left"/>
              <w:rPr>
                <w:noProof/>
                <w:color w:val="auto"/>
                <w:sz w:val="20"/>
                <w:szCs w:val="20"/>
              </w:rPr>
            </w:pPr>
            <w:r>
              <w:rPr>
                <w:noProof/>
                <w:color w:val="auto"/>
                <w:sz w:val="20"/>
              </w:rPr>
              <w:t xml:space="preserve">Ľudské zdroje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2,505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2,505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2,579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2,579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2,579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2,579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2,579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jc w:val="center"/>
              <w:rPr>
                <w:b/>
                <w:bCs/>
                <w:noProof/>
                <w:sz w:val="22"/>
              </w:rPr>
            </w:pPr>
            <w:r>
              <w:rPr>
                <w:b/>
                <w:noProof/>
                <w:sz w:val="22"/>
              </w:rPr>
              <w:t>17,905</w:t>
            </w:r>
          </w:p>
        </w:tc>
      </w:tr>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Style w:val="Text"/>
              <w:ind w:left="72"/>
              <w:jc w:val="left"/>
              <w:rPr>
                <w:noProof/>
                <w:color w:val="auto"/>
                <w:sz w:val="20"/>
                <w:szCs w:val="20"/>
              </w:rPr>
            </w:pPr>
            <w:r>
              <w:rPr>
                <w:noProof/>
                <w:color w:val="auto"/>
                <w:sz w:val="20"/>
              </w:rPr>
              <w:t xml:space="preserve">Ostatné administratívne výdavky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0,838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0,838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0,838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0,838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0,838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0,838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0,838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jc w:val="center"/>
              <w:rPr>
                <w:b/>
                <w:bCs/>
                <w:noProof/>
                <w:sz w:val="22"/>
              </w:rPr>
            </w:pPr>
            <w:r>
              <w:rPr>
                <w:b/>
                <w:noProof/>
                <w:sz w:val="22"/>
              </w:rPr>
              <w:t>5,866</w:t>
            </w:r>
          </w:p>
        </w:tc>
      </w:tr>
      <w:tr>
        <w:trPr>
          <w:trHeight w:val="60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Medzisúčet OKRUHU 7</w:t>
            </w:r>
            <w:r>
              <w:rPr>
                <w:rFonts w:eastAsia="Arial Unicode MS"/>
                <w:noProof/>
                <w:color w:val="auto"/>
                <w:sz w:val="20"/>
                <w:szCs w:val="20"/>
              </w:rPr>
              <w:br/>
            </w:r>
            <w:r>
              <w:rPr>
                <w:b/>
                <w:noProof/>
                <w:color w:val="auto"/>
                <w:sz w:val="20"/>
              </w:rPr>
              <w:t xml:space="preserve">viacročného finančného rámca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2"/>
              </w:rPr>
              <w:t>3,343</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2"/>
              </w:rPr>
              <w:t>3,343</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2"/>
              </w:rPr>
              <w:t>3,417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2"/>
              </w:rPr>
              <w:t>3,417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2"/>
              </w:rPr>
              <w:t>3,417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2"/>
              </w:rPr>
              <w:t>3,417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2"/>
              </w:rPr>
              <w:t>3,417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jc w:val="center"/>
              <w:rPr>
                <w:b/>
                <w:noProof/>
                <w:sz w:val="22"/>
              </w:rPr>
            </w:pPr>
            <w:r>
              <w:rPr>
                <w:b/>
                <w:noProof/>
                <w:sz w:val="22"/>
              </w:rPr>
              <w:t>23,771</w:t>
            </w:r>
          </w:p>
        </w:tc>
      </w:tr>
    </w:tbl>
    <w:p>
      <w:pPr>
        <w:rPr>
          <w:noProof/>
        </w:rPr>
      </w:pPr>
    </w:p>
    <w:tbl>
      <w:tblPr>
        <w:tblW w:w="10620"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86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Mimo OKRUHU 7</w:t>
            </w:r>
            <w:r>
              <w:rPr>
                <w:rFonts w:eastAsia="Arial Unicode MS"/>
                <w:noProof/>
                <w:color w:val="auto"/>
                <w:sz w:val="20"/>
                <w:szCs w:val="20"/>
              </w:rPr>
              <w:br/>
            </w:r>
            <w:r>
              <w:rPr>
                <w:b/>
                <w:noProof/>
                <w:color w:val="auto"/>
                <w:sz w:val="20"/>
              </w:rPr>
              <w:t xml:space="preserve">viacročného finančného rámca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r>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Style w:val="Text"/>
              <w:ind w:left="72"/>
              <w:jc w:val="left"/>
              <w:rPr>
                <w:noProof/>
                <w:color w:val="auto"/>
                <w:sz w:val="20"/>
                <w:szCs w:val="20"/>
              </w:rPr>
            </w:pPr>
            <w:r>
              <w:rPr>
                <w:noProof/>
                <w:color w:val="auto"/>
                <w:sz w:val="20"/>
              </w:rPr>
              <w:t xml:space="preserve">Ľudské zdroje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r>
      <w:tr>
        <w:trPr>
          <w:trHeight w:val="600"/>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Style w:val="Text"/>
              <w:ind w:left="72"/>
              <w:jc w:val="left"/>
              <w:rPr>
                <w:noProof/>
                <w:color w:val="auto"/>
                <w:sz w:val="20"/>
                <w:szCs w:val="20"/>
              </w:rPr>
            </w:pPr>
            <w:r>
              <w:rPr>
                <w:noProof/>
                <w:color w:val="auto"/>
                <w:sz w:val="20"/>
              </w:rPr>
              <w:t xml:space="preserve">Ostatné výdavky </w:t>
            </w:r>
            <w:r>
              <w:rPr>
                <w:noProof/>
                <w:color w:val="auto"/>
                <w:sz w:val="20"/>
                <w:szCs w:val="20"/>
              </w:rPr>
              <w:br/>
            </w:r>
            <w:r>
              <w:rPr>
                <w:noProof/>
                <w:color w:val="auto"/>
                <w:sz w:val="20"/>
              </w:rPr>
              <w:t>administratívne výdavky</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jc w:val="center"/>
              <w:rPr>
                <w:noProof/>
                <w:sz w:val="20"/>
                <w:szCs w:val="20"/>
              </w:rPr>
            </w:pPr>
            <w:r>
              <w:rPr>
                <w:noProof/>
                <w:sz w:val="20"/>
              </w:rPr>
              <w:t>6,586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jc w:val="center"/>
              <w:rPr>
                <w:noProof/>
                <w:sz w:val="20"/>
                <w:szCs w:val="20"/>
              </w:rPr>
            </w:pPr>
            <w:r>
              <w:rPr>
                <w:noProof/>
                <w:sz w:val="20"/>
              </w:rPr>
              <w:t>6,807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jc w:val="center"/>
              <w:rPr>
                <w:noProof/>
                <w:sz w:val="20"/>
                <w:szCs w:val="20"/>
              </w:rPr>
            </w:pPr>
            <w:r>
              <w:rPr>
                <w:noProof/>
                <w:sz w:val="20"/>
              </w:rPr>
              <w:t>7,153</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jc w:val="center"/>
              <w:rPr>
                <w:noProof/>
                <w:sz w:val="20"/>
                <w:szCs w:val="20"/>
              </w:rPr>
            </w:pPr>
            <w:r>
              <w:rPr>
                <w:noProof/>
                <w:sz w:val="20"/>
              </w:rPr>
              <w:t>7,645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jc w:val="center"/>
              <w:rPr>
                <w:noProof/>
                <w:sz w:val="20"/>
                <w:szCs w:val="20"/>
              </w:rPr>
            </w:pPr>
            <w:r>
              <w:rPr>
                <w:noProof/>
                <w:sz w:val="20"/>
              </w:rPr>
              <w:t>8,311</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jc w:val="center"/>
              <w:rPr>
                <w:noProof/>
                <w:sz w:val="20"/>
                <w:szCs w:val="20"/>
              </w:rPr>
            </w:pPr>
            <w:r>
              <w:rPr>
                <w:noProof/>
                <w:sz w:val="20"/>
              </w:rPr>
              <w:t>9,193</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jc w:val="center"/>
              <w:rPr>
                <w:noProof/>
                <w:sz w:val="20"/>
                <w:szCs w:val="20"/>
              </w:rPr>
            </w:pPr>
            <w:r>
              <w:rPr>
                <w:noProof/>
                <w:sz w:val="20"/>
              </w:rPr>
              <w:t>10,305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jc w:val="center"/>
              <w:rPr>
                <w:noProof/>
                <w:sz w:val="20"/>
                <w:szCs w:val="20"/>
              </w:rPr>
            </w:pPr>
            <w:r>
              <w:rPr>
                <w:b/>
                <w:noProof/>
                <w:sz w:val="20"/>
              </w:rPr>
              <w:t>56,000</w:t>
            </w:r>
          </w:p>
        </w:tc>
      </w:tr>
      <w:tr>
        <w:trPr>
          <w:trHeight w:val="80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Medzisúčet mimo</w:t>
            </w:r>
            <w:r>
              <w:rPr>
                <w:rFonts w:eastAsia="Arial Unicode MS"/>
                <w:noProof/>
                <w:color w:val="auto"/>
                <w:sz w:val="20"/>
                <w:szCs w:val="20"/>
              </w:rPr>
              <w:br/>
            </w:r>
            <w:r>
              <w:rPr>
                <w:b/>
                <w:noProof/>
                <w:color w:val="auto"/>
                <w:sz w:val="20"/>
              </w:rPr>
              <w:t>OKRUHU 7</w:t>
            </w:r>
            <w:r>
              <w:rPr>
                <w:rFonts w:eastAsia="Arial Unicode MS"/>
                <w:noProof/>
                <w:color w:val="auto"/>
                <w:sz w:val="20"/>
                <w:szCs w:val="20"/>
              </w:rPr>
              <w:br/>
            </w:r>
            <w:r>
              <w:rPr>
                <w:b/>
                <w:noProof/>
                <w:color w:val="auto"/>
                <w:sz w:val="20"/>
              </w:rPr>
              <w:t xml:space="preserve">viacročného finančného rámca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0"/>
              </w:rPr>
              <w:t>6,586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0"/>
              </w:rPr>
              <w:t>6,807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0"/>
              </w:rPr>
              <w:t>7,153</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0"/>
              </w:rPr>
              <w:t>7,645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0"/>
              </w:rPr>
              <w:t>8,311</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0"/>
              </w:rPr>
              <w:t>9,193</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0"/>
              </w:rPr>
              <w:t>10,305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56,000</w:t>
            </w:r>
          </w:p>
        </w:tc>
      </w:tr>
    </w:tbl>
    <w:p>
      <w:pPr>
        <w:rPr>
          <w:noProof/>
        </w:rPr>
      </w:pPr>
    </w:p>
    <w:tbl>
      <w:tblPr>
        <w:tblW w:w="10620"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SPOLU</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b/>
                <w:noProof/>
                <w:color w:val="auto"/>
                <w:sz w:val="20"/>
                <w:szCs w:val="20"/>
              </w:rPr>
            </w:pPr>
            <w:r>
              <w:rPr>
                <w:b/>
                <w:noProof/>
                <w:color w:val="auto"/>
              </w:rPr>
              <w:t>9,929</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b/>
                <w:noProof/>
                <w:color w:val="auto"/>
                <w:sz w:val="20"/>
                <w:szCs w:val="20"/>
              </w:rPr>
            </w:pPr>
            <w:r>
              <w:rPr>
                <w:b/>
                <w:noProof/>
                <w:color w:val="auto"/>
              </w:rPr>
              <w:t>10,150</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b/>
                <w:noProof/>
                <w:color w:val="auto"/>
                <w:sz w:val="20"/>
                <w:szCs w:val="20"/>
              </w:rPr>
            </w:pPr>
            <w:r>
              <w:rPr>
                <w:b/>
                <w:noProof/>
                <w:color w:val="auto"/>
              </w:rPr>
              <w:t>10,570</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b/>
                <w:noProof/>
                <w:color w:val="auto"/>
                <w:sz w:val="20"/>
                <w:szCs w:val="20"/>
              </w:rPr>
            </w:pPr>
            <w:r>
              <w:rPr>
                <w:b/>
                <w:noProof/>
                <w:color w:val="auto"/>
              </w:rPr>
              <w:t>11,062</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b/>
                <w:noProof/>
                <w:color w:val="auto"/>
                <w:sz w:val="20"/>
                <w:szCs w:val="20"/>
              </w:rPr>
            </w:pPr>
            <w:r>
              <w:rPr>
                <w:b/>
                <w:noProof/>
                <w:color w:val="auto"/>
              </w:rPr>
              <w:t>11,728</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b/>
                <w:noProof/>
                <w:color w:val="auto"/>
                <w:sz w:val="20"/>
                <w:szCs w:val="20"/>
              </w:rPr>
            </w:pPr>
            <w:r>
              <w:rPr>
                <w:b/>
                <w:noProof/>
                <w:color w:val="auto"/>
              </w:rPr>
              <w:t>12,610</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b/>
                <w:noProof/>
                <w:color w:val="auto"/>
                <w:sz w:val="20"/>
                <w:szCs w:val="20"/>
              </w:rPr>
            </w:pPr>
            <w:r>
              <w:rPr>
                <w:b/>
                <w:noProof/>
                <w:color w:val="auto"/>
              </w:rPr>
              <w:t>13,722</w:t>
            </w:r>
          </w:p>
        </w:tc>
        <w:tc>
          <w:tcPr>
            <w:tcW w:w="1080" w:type="dxa"/>
            <w:tcBorders>
              <w:top w:val="single" w:sz="1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pPr>
              <w:pStyle w:val="Text"/>
              <w:jc w:val="center"/>
              <w:rPr>
                <w:b/>
                <w:noProof/>
                <w:color w:val="auto"/>
                <w:sz w:val="20"/>
                <w:szCs w:val="20"/>
              </w:rPr>
            </w:pPr>
            <w:r>
              <w:rPr>
                <w:b/>
                <w:noProof/>
                <w:color w:val="auto"/>
              </w:rPr>
              <w:t>79,771</w:t>
            </w:r>
          </w:p>
        </w:tc>
      </w:tr>
    </w:tbl>
    <w:p>
      <w:pPr>
        <w:rPr>
          <w:noProof/>
        </w:rPr>
      </w:pPr>
    </w:p>
    <w:p>
      <w:pPr>
        <w:pStyle w:val="Text"/>
        <w:rPr>
          <w:noProof/>
          <w:color w:val="auto"/>
        </w:rPr>
      </w:pPr>
      <w:r>
        <w:rPr>
          <w:noProof/>
          <w:color w:val="auto"/>
        </w:rPr>
        <w:t>Rozpočtové prostriedky potrebné na ľudské zdroje a na ostatné administratívne výdavky budú pokryté rozpočtovými prostriedkami generálneho riaditeľstva, ktoré už boli pridelené na riadenie akcie a/alebo boli prerozdelené v rámci generálneho riaditeľstva, a v prípade potreby budú doplnené zdrojmi, ktoré sa môžu prideliť riadiacemu generálnemu riaditeľstvu v rámci ročného postupu prideľovania zdrojov a v závislosti od rozpočtových obmedzení.</w:t>
      </w:r>
    </w:p>
    <w:p>
      <w:pPr>
        <w:pStyle w:val="ManualHeading4"/>
        <w:rPr>
          <w:noProof/>
        </w:rPr>
      </w:pPr>
      <w:r>
        <w:t>3.2.2.1.</w:t>
      </w:r>
      <w:r>
        <w:tab/>
      </w:r>
      <w:r>
        <w:rPr>
          <w:noProof/>
        </w:rPr>
        <w:t>Odhadované potreby ľudských zdrojov</w:t>
      </w:r>
      <w:r>
        <w:rPr>
          <w:rStyle w:val="FootnoteReference"/>
          <w:noProof/>
        </w:rPr>
        <w:footnoteReference w:id="39"/>
      </w:r>
    </w:p>
    <w:p>
      <w:pPr>
        <w:pStyle w:val="ListDash1"/>
        <w:rPr>
          <w:noProof/>
        </w:rPr>
      </w:pPr>
      <w:r>
        <w:rPr>
          <w:noProof/>
        </w:rPr>
        <w:sym w:font="Wingdings" w:char="F0A8"/>
      </w:r>
      <w:r>
        <w:rPr>
          <w:noProof/>
        </w:rPr>
        <w:tab/>
        <w:t>Návrh/iniciatíva si nevyžaduje použitie ľudských zdrojov.</w:t>
      </w:r>
    </w:p>
    <w:p>
      <w:pPr>
        <w:pStyle w:val="ListDash1"/>
        <w:rPr>
          <w:noProof/>
        </w:rPr>
      </w:pPr>
      <w:r>
        <w:rPr>
          <w:noProof/>
        </w:rPr>
        <w:sym w:font="Wingdings" w:char="F078"/>
      </w:r>
      <w:r>
        <w:rPr>
          <w:noProof/>
        </w:rPr>
        <w:tab/>
        <w:t>Návrh/iniciatíva si vyžaduje použitie ľudských zdrojov, ako je uvedené v nasledujúcej tabuľke:</w:t>
      </w:r>
    </w:p>
    <w:p>
      <w:pPr>
        <w:pStyle w:val="Text"/>
        <w:jc w:val="right"/>
        <w:rPr>
          <w:i/>
          <w:iCs/>
          <w:noProof/>
          <w:color w:val="auto"/>
          <w:sz w:val="20"/>
          <w:szCs w:val="20"/>
        </w:rPr>
      </w:pPr>
      <w:r>
        <w:rPr>
          <w:i/>
          <w:noProof/>
          <w:color w:val="auto"/>
          <w:sz w:val="20"/>
        </w:rPr>
        <w:t>odhady sa vyjadrujú v jednotkách ekvivalentu plného pracovného času</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4"/>
        <w:gridCol w:w="989"/>
        <w:gridCol w:w="1133"/>
        <w:gridCol w:w="989"/>
        <w:gridCol w:w="1133"/>
        <w:gridCol w:w="1131"/>
        <w:gridCol w:w="993"/>
        <w:gridCol w:w="1118"/>
      </w:tblGrid>
      <w:tr>
        <w:trPr>
          <w:trHeight w:val="289"/>
        </w:trPr>
        <w:tc>
          <w:tcPr>
            <w:tcW w:w="1472" w:type="pct"/>
            <w:gridSpan w:val="2"/>
            <w:vAlign w:val="center"/>
          </w:tcPr>
          <w:p>
            <w:pPr>
              <w:pStyle w:val="Text1"/>
              <w:ind w:left="0"/>
              <w:jc w:val="center"/>
              <w:rPr>
                <w:i/>
                <w:noProof/>
                <w:sz w:val="16"/>
                <w:szCs w:val="16"/>
              </w:rPr>
            </w:pPr>
            <w:r>
              <w:rPr>
                <w:b/>
                <w:noProof/>
                <w:sz w:val="16"/>
              </w:rPr>
              <w:t>Roky</w:t>
            </w:r>
          </w:p>
        </w:tc>
        <w:tc>
          <w:tcPr>
            <w:tcW w:w="466" w:type="pct"/>
            <w:shd w:val="clear" w:color="auto" w:fill="auto"/>
            <w:vAlign w:val="center"/>
          </w:tcPr>
          <w:p>
            <w:pPr>
              <w:jc w:val="center"/>
              <w:rPr>
                <w:b/>
                <w:noProof/>
                <w:sz w:val="16"/>
                <w:szCs w:val="16"/>
              </w:rPr>
            </w:pPr>
            <w:r>
              <w:rPr>
                <w:b/>
                <w:noProof/>
                <w:sz w:val="20"/>
              </w:rPr>
              <w:t>2021</w:t>
            </w:r>
          </w:p>
        </w:tc>
        <w:tc>
          <w:tcPr>
            <w:tcW w:w="534" w:type="pct"/>
            <w:shd w:val="clear" w:color="auto" w:fill="auto"/>
            <w:vAlign w:val="center"/>
          </w:tcPr>
          <w:p>
            <w:pPr>
              <w:jc w:val="center"/>
              <w:rPr>
                <w:b/>
                <w:noProof/>
                <w:sz w:val="20"/>
              </w:rPr>
            </w:pPr>
            <w:r>
              <w:rPr>
                <w:b/>
                <w:noProof/>
                <w:sz w:val="20"/>
              </w:rPr>
              <w:t>2022</w:t>
            </w:r>
          </w:p>
        </w:tc>
        <w:tc>
          <w:tcPr>
            <w:tcW w:w="466" w:type="pct"/>
            <w:shd w:val="clear" w:color="auto" w:fill="auto"/>
            <w:vAlign w:val="center"/>
          </w:tcPr>
          <w:p>
            <w:pPr>
              <w:jc w:val="center"/>
              <w:rPr>
                <w:b/>
                <w:noProof/>
                <w:sz w:val="20"/>
              </w:rPr>
            </w:pPr>
            <w:r>
              <w:rPr>
                <w:b/>
                <w:noProof/>
                <w:sz w:val="20"/>
              </w:rPr>
              <w:t>2023</w:t>
            </w:r>
          </w:p>
        </w:tc>
        <w:tc>
          <w:tcPr>
            <w:tcW w:w="534" w:type="pct"/>
            <w:shd w:val="clear" w:color="auto" w:fill="auto"/>
            <w:vAlign w:val="center"/>
          </w:tcPr>
          <w:p>
            <w:pPr>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rPr>
                <w:noProof/>
                <w:sz w:val="16"/>
                <w:szCs w:val="16"/>
              </w:rPr>
            </w:pPr>
            <w:r>
              <w:rPr>
                <w:b/>
                <w:noProof/>
                <w:sz w:val="16"/>
              </w:rPr>
              <w:sym w:font="Wingdings" w:char="F09F"/>
            </w:r>
            <w:r>
              <w:rPr>
                <w:b/>
                <w:noProof/>
                <w:sz w:val="16"/>
              </w:rPr>
              <w:t>Plán pracovných miest (úradníci a dočasní zamestnanci)</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Ústredie a zastúpenia Komisie</w:t>
            </w:r>
          </w:p>
        </w:tc>
        <w:tc>
          <w:tcPr>
            <w:tcW w:w="466" w:type="pct"/>
            <w:shd w:val="clear" w:color="auto" w:fill="auto"/>
            <w:vAlign w:val="center"/>
          </w:tcPr>
          <w:p>
            <w:pPr>
              <w:spacing w:beforeLines="20" w:before="48" w:afterLines="20" w:after="48"/>
              <w:jc w:val="center"/>
              <w:rPr>
                <w:noProof/>
                <w:sz w:val="16"/>
                <w:szCs w:val="16"/>
              </w:rPr>
            </w:pPr>
            <w:r>
              <w:rPr>
                <w:noProof/>
                <w:sz w:val="22"/>
              </w:rPr>
              <w:t>17</w:t>
            </w:r>
          </w:p>
        </w:tc>
        <w:tc>
          <w:tcPr>
            <w:tcW w:w="534" w:type="pct"/>
            <w:shd w:val="clear" w:color="auto" w:fill="auto"/>
            <w:vAlign w:val="center"/>
          </w:tcPr>
          <w:p>
            <w:pPr>
              <w:spacing w:beforeLines="20" w:before="48" w:afterLines="20" w:after="48"/>
              <w:jc w:val="center"/>
              <w:rPr>
                <w:noProof/>
                <w:sz w:val="16"/>
                <w:szCs w:val="16"/>
              </w:rPr>
            </w:pPr>
            <w:r>
              <w:rPr>
                <w:noProof/>
                <w:sz w:val="22"/>
              </w:rPr>
              <w:t>17</w:t>
            </w:r>
          </w:p>
        </w:tc>
        <w:tc>
          <w:tcPr>
            <w:tcW w:w="466" w:type="pct"/>
            <w:shd w:val="clear" w:color="auto" w:fill="auto"/>
            <w:vAlign w:val="center"/>
          </w:tcPr>
          <w:p>
            <w:pPr>
              <w:spacing w:beforeLines="20" w:before="48" w:afterLines="20" w:after="48"/>
              <w:jc w:val="center"/>
              <w:rPr>
                <w:noProof/>
                <w:sz w:val="16"/>
                <w:szCs w:val="16"/>
              </w:rPr>
            </w:pPr>
            <w:r>
              <w:rPr>
                <w:noProof/>
                <w:sz w:val="22"/>
              </w:rPr>
              <w:t>17</w:t>
            </w:r>
          </w:p>
        </w:tc>
        <w:tc>
          <w:tcPr>
            <w:tcW w:w="534" w:type="pct"/>
            <w:shd w:val="clear" w:color="auto" w:fill="auto"/>
            <w:vAlign w:val="center"/>
          </w:tcPr>
          <w:p>
            <w:pPr>
              <w:spacing w:beforeLines="20" w:before="48" w:afterLines="20" w:after="48"/>
              <w:jc w:val="center"/>
              <w:rPr>
                <w:noProof/>
                <w:sz w:val="16"/>
                <w:szCs w:val="16"/>
              </w:rPr>
            </w:pPr>
            <w:r>
              <w:rPr>
                <w:noProof/>
                <w:sz w:val="22"/>
              </w:rPr>
              <w:t>17</w:t>
            </w:r>
          </w:p>
        </w:tc>
        <w:tc>
          <w:tcPr>
            <w:tcW w:w="533" w:type="pct"/>
            <w:shd w:val="clear" w:color="auto" w:fill="auto"/>
            <w:vAlign w:val="center"/>
          </w:tcPr>
          <w:p>
            <w:pPr>
              <w:spacing w:beforeLines="20" w:before="48" w:afterLines="20" w:after="48"/>
              <w:jc w:val="center"/>
              <w:rPr>
                <w:noProof/>
                <w:sz w:val="16"/>
                <w:szCs w:val="16"/>
              </w:rPr>
            </w:pPr>
            <w:r>
              <w:rPr>
                <w:noProof/>
                <w:sz w:val="22"/>
              </w:rPr>
              <w:t>17</w:t>
            </w:r>
          </w:p>
        </w:tc>
        <w:tc>
          <w:tcPr>
            <w:tcW w:w="468" w:type="pct"/>
            <w:shd w:val="clear" w:color="auto" w:fill="auto"/>
            <w:vAlign w:val="center"/>
          </w:tcPr>
          <w:p>
            <w:pPr>
              <w:spacing w:beforeLines="20" w:before="48" w:afterLines="20" w:after="48"/>
              <w:jc w:val="center"/>
              <w:rPr>
                <w:noProof/>
                <w:sz w:val="16"/>
                <w:szCs w:val="16"/>
              </w:rPr>
            </w:pPr>
            <w:r>
              <w:rPr>
                <w:noProof/>
                <w:sz w:val="22"/>
              </w:rPr>
              <w:t>17</w:t>
            </w:r>
          </w:p>
        </w:tc>
        <w:tc>
          <w:tcPr>
            <w:tcW w:w="527" w:type="pct"/>
            <w:shd w:val="clear" w:color="auto" w:fill="auto"/>
            <w:vAlign w:val="center"/>
          </w:tcPr>
          <w:p>
            <w:pPr>
              <w:spacing w:beforeLines="20" w:before="48" w:afterLines="20" w:after="48"/>
              <w:jc w:val="center"/>
              <w:rPr>
                <w:noProof/>
                <w:sz w:val="16"/>
                <w:szCs w:val="16"/>
              </w:rPr>
            </w:pPr>
            <w:r>
              <w:rPr>
                <w:noProof/>
                <w:sz w:val="22"/>
              </w:rPr>
              <w:t>17</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Delegácie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Výskum</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vAlign w:val="center"/>
          </w:tcPr>
          <w:p>
            <w:pPr>
              <w:pStyle w:val="Text1"/>
              <w:ind w:left="0"/>
              <w:jc w:val="center"/>
              <w:rPr>
                <w:noProof/>
                <w:sz w:val="16"/>
                <w:szCs w:val="16"/>
              </w:rPr>
            </w:pP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rPr>
              <w:t>Financované z OKRUHU 7 viacročného finančného rámca</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ústredia</w:t>
            </w:r>
          </w:p>
        </w:tc>
        <w:tc>
          <w:tcPr>
            <w:tcW w:w="466" w:type="pct"/>
            <w:shd w:val="clear" w:color="auto" w:fill="auto"/>
            <w:vAlign w:val="center"/>
          </w:tcPr>
          <w:p>
            <w:pPr>
              <w:spacing w:beforeLines="20" w:before="48" w:afterLines="20" w:after="48"/>
              <w:jc w:val="center"/>
              <w:rPr>
                <w:noProof/>
                <w:sz w:val="16"/>
                <w:szCs w:val="16"/>
              </w:rPr>
            </w:pPr>
            <w:r>
              <w:rPr>
                <w:noProof/>
                <w:sz w:val="22"/>
              </w:rPr>
              <w:t>1</w:t>
            </w:r>
          </w:p>
        </w:tc>
        <w:tc>
          <w:tcPr>
            <w:tcW w:w="534" w:type="pct"/>
            <w:shd w:val="clear" w:color="auto" w:fill="auto"/>
            <w:vAlign w:val="center"/>
          </w:tcPr>
          <w:p>
            <w:pPr>
              <w:spacing w:beforeLines="20" w:before="48" w:afterLines="20" w:after="48"/>
              <w:jc w:val="center"/>
              <w:rPr>
                <w:noProof/>
                <w:sz w:val="16"/>
                <w:szCs w:val="16"/>
              </w:rPr>
            </w:pPr>
            <w:r>
              <w:rPr>
                <w:noProof/>
                <w:sz w:val="22"/>
              </w:rPr>
              <w:t>1</w:t>
            </w:r>
          </w:p>
        </w:tc>
        <w:tc>
          <w:tcPr>
            <w:tcW w:w="466" w:type="pct"/>
            <w:shd w:val="clear" w:color="auto" w:fill="auto"/>
            <w:vAlign w:val="center"/>
          </w:tcPr>
          <w:p>
            <w:pPr>
              <w:spacing w:beforeLines="20" w:before="48" w:afterLines="20" w:after="48"/>
              <w:jc w:val="center"/>
              <w:rPr>
                <w:noProof/>
                <w:sz w:val="16"/>
                <w:szCs w:val="16"/>
              </w:rPr>
            </w:pPr>
            <w:r>
              <w:rPr>
                <w:noProof/>
                <w:sz w:val="22"/>
              </w:rPr>
              <w:t>2</w:t>
            </w:r>
          </w:p>
        </w:tc>
        <w:tc>
          <w:tcPr>
            <w:tcW w:w="534" w:type="pct"/>
            <w:shd w:val="clear" w:color="auto" w:fill="auto"/>
            <w:vAlign w:val="center"/>
          </w:tcPr>
          <w:p>
            <w:pPr>
              <w:spacing w:beforeLines="20" w:before="48" w:afterLines="20" w:after="48"/>
              <w:jc w:val="center"/>
              <w:rPr>
                <w:noProof/>
                <w:sz w:val="16"/>
                <w:szCs w:val="16"/>
              </w:rPr>
            </w:pPr>
            <w:r>
              <w:rPr>
                <w:noProof/>
                <w:sz w:val="22"/>
              </w:rPr>
              <w:t>2</w:t>
            </w:r>
          </w:p>
        </w:tc>
        <w:tc>
          <w:tcPr>
            <w:tcW w:w="533" w:type="pct"/>
            <w:shd w:val="clear" w:color="auto" w:fill="auto"/>
            <w:vAlign w:val="center"/>
          </w:tcPr>
          <w:p>
            <w:pPr>
              <w:spacing w:beforeLines="20" w:before="48" w:afterLines="20" w:after="48"/>
              <w:jc w:val="center"/>
              <w:rPr>
                <w:noProof/>
                <w:sz w:val="16"/>
                <w:szCs w:val="16"/>
              </w:rPr>
            </w:pPr>
            <w:r>
              <w:rPr>
                <w:noProof/>
                <w:sz w:val="22"/>
              </w:rPr>
              <w:t>2</w:t>
            </w:r>
          </w:p>
        </w:tc>
        <w:tc>
          <w:tcPr>
            <w:tcW w:w="468" w:type="pct"/>
            <w:shd w:val="clear" w:color="auto" w:fill="auto"/>
            <w:vAlign w:val="center"/>
          </w:tcPr>
          <w:p>
            <w:pPr>
              <w:spacing w:beforeLines="20" w:before="48" w:afterLines="20" w:after="48"/>
              <w:jc w:val="center"/>
              <w:rPr>
                <w:noProof/>
                <w:sz w:val="16"/>
                <w:szCs w:val="16"/>
              </w:rPr>
            </w:pPr>
            <w:r>
              <w:rPr>
                <w:noProof/>
                <w:sz w:val="22"/>
              </w:rPr>
              <w:t>2</w:t>
            </w:r>
          </w:p>
        </w:tc>
        <w:tc>
          <w:tcPr>
            <w:tcW w:w="527" w:type="pct"/>
            <w:shd w:val="clear" w:color="auto" w:fill="auto"/>
            <w:vAlign w:val="center"/>
          </w:tcPr>
          <w:p>
            <w:pPr>
              <w:spacing w:beforeLines="20" w:before="48" w:afterLines="20" w:after="48"/>
              <w:jc w:val="center"/>
              <w:rPr>
                <w:noProof/>
                <w:sz w:val="16"/>
                <w:szCs w:val="16"/>
              </w:rPr>
            </w:pPr>
            <w:r>
              <w:rPr>
                <w:noProof/>
                <w:sz w:val="22"/>
              </w:rPr>
              <w:t>2</w:t>
            </w: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delegácie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rPr>
              <w:t>Financované z finančného krytia programu</w:t>
            </w:r>
            <w:r>
              <w:rPr>
                <w:b/>
                <w:noProof/>
                <w:sz w:val="16"/>
              </w:rPr>
              <w:t xml:space="preserve"> </w:t>
            </w:r>
            <w:r>
              <w:rPr>
                <w:rStyle w:val="FootnoteReference"/>
                <w:b/>
                <w:noProof/>
                <w:sz w:val="16"/>
              </w:rPr>
              <w:footnoteReference w:id="40"/>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ústredia</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delegácie </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rPr>
              <w:t>Výskum</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Iné (uveďte)</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SPOLU</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22"/>
              </w:rPr>
              <w:t>18</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22"/>
              </w:rPr>
              <w:t>18</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22"/>
              </w:rPr>
              <w:t>19</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22"/>
              </w:rPr>
              <w:t>19</w:t>
            </w:r>
          </w:p>
        </w:tc>
        <w:tc>
          <w:tcPr>
            <w:tcW w:w="53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22"/>
              </w:rPr>
              <w:t>19</w:t>
            </w:r>
          </w:p>
        </w:tc>
        <w:tc>
          <w:tcPr>
            <w:tcW w:w="46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22"/>
              </w:rPr>
              <w:t>19</w:t>
            </w: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22"/>
              </w:rPr>
              <w:t>19</w:t>
            </w:r>
          </w:p>
        </w:tc>
      </w:tr>
    </w:tbl>
    <w:p>
      <w:pPr>
        <w:pStyle w:val="Text1"/>
        <w:ind w:left="0"/>
        <w:rPr>
          <w:noProof/>
          <w:sz w:val="18"/>
          <w:szCs w:val="18"/>
        </w:rPr>
      </w:pPr>
      <w:r>
        <w:rPr>
          <w:noProof/>
          <w:sz w:val="18"/>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rPr>
          <w:noProof/>
        </w:rPr>
      </w:pPr>
      <w:r>
        <w:rPr>
          <w:noProof/>
        </w:rPr>
        <w:t>Opis úloh, ktoré sa majú vykonať:</w:t>
      </w:r>
    </w:p>
    <w:tbl>
      <w:tblPr>
        <w:tblW w:w="10632"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40"/>
        <w:gridCol w:w="7392"/>
      </w:tblGrid>
      <w:tr>
        <w:trPr>
          <w:trHeight w:val="217"/>
        </w:trPr>
        <w:tc>
          <w:tcPr>
            <w:tcW w:w="3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Text"/>
              <w:rPr>
                <w:noProof/>
                <w:color w:val="auto"/>
              </w:rPr>
            </w:pPr>
            <w:r>
              <w:rPr>
                <w:noProof/>
                <w:color w:val="auto"/>
                <w:sz w:val="20"/>
              </w:rPr>
              <w:t>Úradníci a dočasní zamestnanci</w:t>
            </w:r>
          </w:p>
        </w:tc>
        <w:tc>
          <w:tcPr>
            <w:tcW w:w="7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rPr>
                <w:noProof/>
              </w:rPr>
            </w:pPr>
          </w:p>
        </w:tc>
      </w:tr>
      <w:tr>
        <w:trPr>
          <w:trHeight w:val="217"/>
        </w:trPr>
        <w:tc>
          <w:tcPr>
            <w:tcW w:w="3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Text"/>
              <w:rPr>
                <w:noProof/>
                <w:color w:val="auto"/>
              </w:rPr>
            </w:pPr>
            <w:r>
              <w:rPr>
                <w:noProof/>
                <w:color w:val="auto"/>
                <w:sz w:val="20"/>
              </w:rPr>
              <w:t>Externí zamestnanci</w:t>
            </w:r>
          </w:p>
        </w:tc>
        <w:tc>
          <w:tcPr>
            <w:tcW w:w="7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rPr>
                <w:noProof/>
              </w:rPr>
            </w:pPr>
          </w:p>
        </w:tc>
      </w:tr>
    </w:tbl>
    <w:p>
      <w:pPr>
        <w:pStyle w:val="Text"/>
        <w:rPr>
          <w:noProof/>
          <w:color w:val="auto"/>
        </w:rPr>
        <w:sectPr>
          <w:headerReference w:type="default" r:id="rId29"/>
          <w:footerReference w:type="default" r:id="rId30"/>
          <w:headerReference w:type="first" r:id="rId31"/>
          <w:footerReference w:type="first" r:id="rId32"/>
          <w:pgSz w:w="11900" w:h="16840"/>
          <w:pgMar w:top="1134" w:right="1418" w:bottom="1134" w:left="1418" w:header="709" w:footer="709" w:gutter="0"/>
          <w:cols w:space="720"/>
          <w:docGrid w:linePitch="326"/>
        </w:sectPr>
      </w:pPr>
    </w:p>
    <w:p>
      <w:pPr>
        <w:pStyle w:val="ManualHeading3"/>
        <w:rPr>
          <w:noProof/>
        </w:rPr>
      </w:pPr>
      <w:r>
        <w:t>3.2.3.</w:t>
      </w:r>
      <w:r>
        <w:tab/>
      </w:r>
      <w:r>
        <w:rPr>
          <w:noProof/>
        </w:rPr>
        <w:t>Príspevky od tretích strán</w:t>
      </w:r>
    </w:p>
    <w:p>
      <w:pPr>
        <w:rPr>
          <w:noProof/>
        </w:rPr>
      </w:pPr>
      <w:r>
        <w:rPr>
          <w:noProof/>
        </w:rPr>
        <w:t>Návrh/iniciatíva:</w:t>
      </w:r>
    </w:p>
    <w:p>
      <w:pPr>
        <w:pStyle w:val="ListDash1"/>
        <w:rPr>
          <w:noProof/>
        </w:rPr>
      </w:pPr>
      <w:r>
        <w:rPr>
          <w:noProof/>
        </w:rPr>
        <w:sym w:font="Wingdings" w:char="F0A8"/>
      </w:r>
      <w:r>
        <w:rPr>
          <w:noProof/>
        </w:rPr>
        <w:tab/>
        <w:t>nezahŕňa spolufinancovanie tretími stranami.</w:t>
      </w:r>
    </w:p>
    <w:p>
      <w:pPr>
        <w:pStyle w:val="ListDash1"/>
        <w:rPr>
          <w:noProof/>
        </w:rPr>
      </w:pPr>
      <w:r>
        <w:rPr>
          <w:noProof/>
        </w:rPr>
        <w:sym w:font="Wingdings" w:char="F0A8"/>
      </w:r>
      <w:r>
        <w:rPr>
          <w:noProof/>
        </w:rPr>
        <w:tab/>
        <w:t>zahŕňa spolufinancovanie tretími stranami, ako je odhadnuté v nasledujúcej tabuľke:</w:t>
      </w:r>
    </w:p>
    <w:p>
      <w:pPr>
        <w:pStyle w:val="Text"/>
        <w:jc w:val="right"/>
        <w:rPr>
          <w:noProof/>
          <w:color w:val="auto"/>
          <w:sz w:val="20"/>
          <w:szCs w:val="20"/>
        </w:rPr>
      </w:pPr>
      <w:r>
        <w:rPr>
          <w:noProof/>
          <w:color w:val="auto"/>
          <w:sz w:val="20"/>
        </w:rPr>
        <w:t>rozpočtové prostriedky v mil. EUR (zaokrúhlené na 3 desatinné miesta)</w:t>
      </w:r>
    </w:p>
    <w:tbl>
      <w:tblPr>
        <w:tblW w:w="1046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9"/>
        <w:gridCol w:w="985"/>
        <w:gridCol w:w="984"/>
        <w:gridCol w:w="984"/>
        <w:gridCol w:w="984"/>
        <w:gridCol w:w="984"/>
        <w:gridCol w:w="984"/>
        <w:gridCol w:w="984"/>
        <w:gridCol w:w="1182"/>
      </w:tblGrid>
      <w:tr>
        <w:trPr>
          <w:trHeight w:val="227"/>
          <w:jc w:val="center"/>
        </w:trPr>
        <w:tc>
          <w:tcPr>
            <w:tcW w:w="23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Roky</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2021</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2022</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2023</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2024</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2025</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2026</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2027</w:t>
            </w: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SPOLU</w:t>
            </w:r>
          </w:p>
        </w:tc>
      </w:tr>
      <w:tr>
        <w:trPr>
          <w:trHeight w:val="447"/>
          <w:jc w:val="center"/>
        </w:trPr>
        <w:tc>
          <w:tcPr>
            <w:tcW w:w="23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Text"/>
              <w:rPr>
                <w:noProof/>
                <w:color w:val="auto"/>
              </w:rPr>
            </w:pPr>
            <w:r>
              <w:rPr>
                <w:noProof/>
                <w:color w:val="auto"/>
                <w:sz w:val="20"/>
              </w:rPr>
              <w:t>Uveďte spolufinancujúci subjekt</w:t>
            </w:r>
            <w:r>
              <w:rPr>
                <w:i/>
                <w:noProof/>
                <w:color w:val="auto"/>
                <w:sz w:val="20"/>
              </w:rPr>
              <w:t xml:space="preserve"> </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r>
      <w:tr>
        <w:trPr>
          <w:trHeight w:val="447"/>
          <w:jc w:val="center"/>
        </w:trPr>
        <w:tc>
          <w:tcPr>
            <w:tcW w:w="23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Text"/>
              <w:jc w:val="left"/>
              <w:rPr>
                <w:noProof/>
                <w:color w:val="auto"/>
              </w:rPr>
            </w:pPr>
            <w:r>
              <w:rPr>
                <w:noProof/>
                <w:color w:val="auto"/>
                <w:sz w:val="20"/>
              </w:rPr>
              <w:t xml:space="preserve">Prostriedky zo spolufinancovania SPOLU </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r>
    </w:tbl>
    <w:p>
      <w:pPr>
        <w:pStyle w:val="ManualHeading2"/>
        <w:rPr>
          <w:noProof/>
        </w:rPr>
      </w:pPr>
      <w:r>
        <w:t>3.3.</w:t>
      </w:r>
      <w:r>
        <w:tab/>
      </w:r>
      <w:r>
        <w:rPr>
          <w:noProof/>
        </w:rPr>
        <w:t>Odhadovaný vplyv na príjmy</w:t>
      </w:r>
    </w:p>
    <w:p>
      <w:pPr>
        <w:pStyle w:val="ListDash1"/>
        <w:rPr>
          <w:noProof/>
        </w:rPr>
      </w:pPr>
      <w:r>
        <w:rPr>
          <w:noProof/>
        </w:rPr>
        <w:sym w:font="Wingdings" w:char="F078"/>
      </w:r>
      <w:r>
        <w:rPr>
          <w:noProof/>
        </w:rPr>
        <w:tab/>
        <w:t>Návrh/iniciatíva nemá finančný vplyv na príjmy.</w:t>
      </w:r>
    </w:p>
    <w:p>
      <w:pPr>
        <w:pStyle w:val="ListDash1"/>
        <w:rPr>
          <w:noProof/>
        </w:rPr>
      </w:pPr>
      <w:r>
        <w:rPr>
          <w:noProof/>
        </w:rPr>
        <w:sym w:font="Wingdings" w:char="F0A8"/>
      </w:r>
      <w:r>
        <w:rPr>
          <w:noProof/>
        </w:rPr>
        <w:tab/>
        <w:t>Návrh/iniciatíva má finančný vplyv na príjmy, ako je uvedené v nasledujúcej tabuľke:</w:t>
      </w:r>
    </w:p>
    <w:p>
      <w:pPr>
        <w:pStyle w:val="ListNumberLevel3"/>
        <w:tabs>
          <w:tab w:val="clear" w:pos="2126"/>
          <w:tab w:val="num" w:pos="1843"/>
        </w:tabs>
        <w:rPr>
          <w:noProof/>
        </w:rPr>
      </w:pPr>
      <w:r>
        <w:rPr>
          <w:noProof/>
        </w:rPr>
        <w:sym w:font="Wingdings" w:char="F0A8"/>
      </w:r>
      <w:r>
        <w:rPr>
          <w:noProof/>
        </w:rPr>
        <w:tab/>
        <w:t>vplyv na vlastné zdroje</w:t>
      </w:r>
    </w:p>
    <w:p>
      <w:pPr>
        <w:pStyle w:val="ListNumberLevel3"/>
        <w:tabs>
          <w:tab w:val="clear" w:pos="2126"/>
          <w:tab w:val="num" w:pos="1843"/>
        </w:tabs>
        <w:rPr>
          <w:noProof/>
        </w:rPr>
      </w:pPr>
      <w:r>
        <w:rPr>
          <w:noProof/>
        </w:rPr>
        <w:sym w:font="Wingdings" w:char="F0A8"/>
      </w:r>
      <w:r>
        <w:rPr>
          <w:noProof/>
        </w:rPr>
        <w:tab/>
        <w:t>vplyv na iné príjmy</w:t>
      </w:r>
    </w:p>
    <w:p>
      <w:pPr>
        <w:pStyle w:val="NormalRight"/>
        <w:rPr>
          <w:noProof/>
        </w:rPr>
      </w:pPr>
      <w:r>
        <w:rPr>
          <w:noProof/>
        </w:rPr>
        <w:t xml:space="preserve">      uveďte, či sú príjmy pripísané rozpočtovým riadkom výdavkov </w:t>
      </w:r>
      <w:r>
        <w:rPr>
          <w:noProof/>
        </w:rPr>
        <w:sym w:font="Wingdings" w:char="F0A8"/>
      </w:r>
      <w:r>
        <w:rPr>
          <w:noProof/>
        </w:rPr>
        <w:tab/>
      </w:r>
    </w:p>
    <w:p>
      <w:pPr>
        <w:pStyle w:val="NormalRight"/>
        <w:rPr>
          <w:noProof/>
        </w:rPr>
      </w:pPr>
      <w:r>
        <w:rPr>
          <w:noProof/>
        </w:rPr>
        <w:t>v mil. EUR (zaokrúhlené na 3 desatinné miesta)</w:t>
      </w:r>
    </w:p>
    <w:tbl>
      <w:tblPr>
        <w:tblW w:w="934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4"/>
        <w:gridCol w:w="1080"/>
        <w:gridCol w:w="900"/>
        <w:gridCol w:w="900"/>
        <w:gridCol w:w="1080"/>
        <w:gridCol w:w="1080"/>
        <w:gridCol w:w="1080"/>
        <w:gridCol w:w="1080"/>
      </w:tblGrid>
      <w:tr>
        <w:trPr>
          <w:trHeight w:val="228"/>
          <w:jc w:val="center"/>
        </w:trPr>
        <w:tc>
          <w:tcPr>
            <w:tcW w:w="21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rPr>
                <w:noProof/>
                <w:color w:val="auto"/>
              </w:rPr>
            </w:pPr>
            <w:r>
              <w:rPr>
                <w:noProof/>
                <w:color w:val="auto"/>
                <w:sz w:val="18"/>
              </w:rPr>
              <w:t>Rozpočtový riadok príjmov:</w:t>
            </w:r>
          </w:p>
        </w:tc>
        <w:tc>
          <w:tcPr>
            <w:tcW w:w="720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Vplyv návrhu/iniciatívy</w:t>
            </w:r>
          </w:p>
        </w:tc>
      </w:tr>
      <w:tr>
        <w:trPr>
          <w:trHeight w:val="228"/>
          <w:jc w:val="center"/>
        </w:trPr>
        <w:tc>
          <w:tcPr>
            <w:tcW w:w="2144" w:type="dxa"/>
            <w:vMerge/>
            <w:tcBorders>
              <w:top w:val="single" w:sz="4" w:space="0" w:color="000000"/>
              <w:left w:val="single" w:sz="4" w:space="0" w:color="000000"/>
              <w:bottom w:val="single" w:sz="4" w:space="0" w:color="000000"/>
              <w:right w:val="single" w:sz="4" w:space="0" w:color="000000"/>
            </w:tcBorders>
            <w:shd w:val="clear" w:color="auto" w:fill="auto"/>
          </w:tcPr>
          <w:p>
            <w:pPr>
              <w:rPr>
                <w:noProo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2027</w:t>
            </w:r>
          </w:p>
        </w:tc>
      </w:tr>
      <w:tr>
        <w:trPr>
          <w:trHeight w:val="228"/>
          <w:jc w:val="center"/>
        </w:trPr>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rPr>
                <w:noProof/>
                <w:color w:val="auto"/>
              </w:rPr>
            </w:pPr>
            <w:r>
              <w:rPr>
                <w:noProof/>
                <w:color w:val="auto"/>
                <w:sz w:val="18"/>
              </w:rPr>
              <w:t>Článok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r>
    </w:tbl>
    <w:p>
      <w:pPr>
        <w:pStyle w:val="Text1"/>
        <w:rPr>
          <w:noProof/>
          <w:sz w:val="20"/>
          <w:szCs w:val="20"/>
        </w:rPr>
      </w:pPr>
      <w:r>
        <w:rPr>
          <w:noProof/>
          <w:sz w:val="20"/>
        </w:rPr>
        <w:t>V prípade pripísaných príjmov uveďte príslušné rozpočtové riadky výdavkov.</w:t>
      </w:r>
    </w:p>
    <w:p>
      <w:pPr>
        <w:pStyle w:val="Text1"/>
        <w:pBdr>
          <w:top w:val="single" w:sz="4" w:space="0" w:color="000000"/>
          <w:left w:val="single" w:sz="4" w:space="0" w:color="000000"/>
          <w:bottom w:val="single" w:sz="4" w:space="0" w:color="000000"/>
          <w:right w:val="single" w:sz="4" w:space="0" w:color="000000"/>
        </w:pBdr>
        <w:rPr>
          <w:noProof/>
        </w:rPr>
      </w:pPr>
      <w:r>
        <w:rPr>
          <w:noProof/>
        </w:rPr>
        <w:t>[…]</w:t>
      </w:r>
    </w:p>
    <w:p>
      <w:pPr>
        <w:pStyle w:val="Text1"/>
        <w:rPr>
          <w:noProof/>
          <w:sz w:val="20"/>
          <w:szCs w:val="20"/>
        </w:rPr>
      </w:pPr>
      <w:r>
        <w:rPr>
          <w:noProof/>
          <w:sz w:val="20"/>
        </w:rPr>
        <w:t>Ďalšie poznámky (napr. spôsob/vzorec použitý na výpočet vplyvu na príjmy alebo akékoľvek ďalšie informácie).</w:t>
      </w:r>
    </w:p>
    <w:p>
      <w:pPr>
        <w:pStyle w:val="Text1"/>
        <w:pBdr>
          <w:top w:val="single" w:sz="4" w:space="0" w:color="000000"/>
          <w:left w:val="single" w:sz="4" w:space="0" w:color="000000"/>
          <w:bottom w:val="single" w:sz="4" w:space="0" w:color="000000"/>
          <w:right w:val="single" w:sz="4" w:space="0" w:color="000000"/>
        </w:pBdr>
        <w:rPr>
          <w:noProof/>
        </w:rPr>
      </w:pPr>
      <w:r>
        <w:rPr>
          <w:noProof/>
        </w:rPr>
        <w:t>[…]</w:t>
      </w:r>
    </w:p>
    <w:sectPr>
      <w:headerReference w:type="default" r:id="rId33"/>
      <w:footerReference w:type="default" r:id="rId34"/>
      <w:headerReference w:type="first" r:id="rId35"/>
      <w:footerReference w:type="first" r:id="rId36"/>
      <w:pgSz w:w="11900" w:h="16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SK</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SK</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r>
          <w:rPr>
            <w:rStyle w:val="Hyperlink0"/>
          </w:rPr>
          <w:t>http://www.consilium.europa.eu/en/press/press-releases/2017/03/25-rome-declaration/</w:t>
        </w:r>
      </w:hyperlink>
    </w:p>
  </w:footnote>
  <w:footnote w:id="2">
    <w:p>
      <w:pPr>
        <w:pStyle w:val="FootnoteText"/>
      </w:pPr>
      <w:r>
        <w:rPr>
          <w:rStyle w:val="FootnoteReference"/>
        </w:rPr>
        <w:footnoteRef/>
      </w:r>
      <w:r>
        <w:tab/>
        <w:t>Európska komisia (2016) – Európsky zbor solidarity – oznámenie Komisie Európskemu parlamentu, Rade, Európskemu hospodárskemu a sociálnemu výboru a Výboru regiónov, COM(2016) 942 final zo 7.12.2016.</w:t>
      </w:r>
    </w:p>
  </w:footnote>
  <w:footnote w:id="3">
    <w:p>
      <w:pPr>
        <w:pStyle w:val="FootnoteText"/>
      </w:pPr>
      <w:r>
        <w:rPr>
          <w:rStyle w:val="FootnoteReference"/>
        </w:rPr>
        <w:footnoteRef/>
      </w:r>
      <w:r>
        <w:tab/>
        <w:t>Program Erasmus+, program Európskej únie v oblasti zamestnanosti a sociálnej inovácie (EaSI), program LIFE, Fond pre azyl, migráciu a integráciu, program v oblasti zdravia, program Európa pre občanov, Európsky fond regionálneho rozvoja (prostredníctvom iniciatívy Interreg) a Európsky poľnohospodársky fond pre rozvoj vidieka.</w:t>
      </w:r>
    </w:p>
  </w:footnote>
  <w:footnote w:id="4">
    <w:p>
      <w:pPr>
        <w:pStyle w:val="FootnoteText"/>
      </w:pPr>
      <w:r>
        <w:rPr>
          <w:rStyle w:val="FootnoteReference"/>
        </w:rPr>
        <w:footnoteRef/>
      </w:r>
      <w:r>
        <w:tab/>
        <w:t>Moderný rozpočet pre Úniu, ktorá chráni, posilňuje a obraňuje – Viacročný finančný rámec na roky 2021 – 2027, COM(2018) 321 final.</w:t>
      </w:r>
    </w:p>
  </w:footnote>
  <w:footnote w:id="5">
    <w:p>
      <w:pPr>
        <w:pStyle w:val="FootnoteText"/>
      </w:pPr>
      <w:r>
        <w:rPr>
          <w:rStyle w:val="FootnoteReference"/>
        </w:rPr>
        <w:footnoteRef/>
      </w:r>
      <w:r>
        <w:tab/>
        <w:t>[Odkaz na Európsky zbor solidarity 2018 – 2020].</w:t>
      </w:r>
    </w:p>
  </w:footnote>
  <w:footnote w:id="6">
    <w:p>
      <w:pPr>
        <w:pStyle w:val="FootnoteText"/>
      </w:pPr>
      <w:r>
        <w:rPr>
          <w:rStyle w:val="FootnoteReference"/>
        </w:rPr>
        <w:footnoteRef/>
      </w:r>
      <w:r>
        <w:tab/>
        <w:t>Odporúčanie Rady z 15. marca 2018 týkajúce sa európskeho rámca pre kvalitnú a účinnú učňovskú prípravu (Ú. v. EÚ C 153, 2.5.2018, s. 1).</w:t>
      </w:r>
    </w:p>
  </w:footnote>
  <w:footnote w:id="7">
    <w:p>
      <w:pPr>
        <w:pStyle w:val="FootnoteText"/>
      </w:pPr>
      <w:r>
        <w:rPr>
          <w:rStyle w:val="FootnoteReference"/>
        </w:rPr>
        <w:footnoteRef/>
      </w:r>
      <w:r>
        <w:tab/>
        <w:t>Hodnotenie programu Erasmus+ v polovici jeho trvania (2014 – 2020) [SWD(2018) 40 z 31. januára 2018].</w:t>
      </w:r>
    </w:p>
  </w:footnote>
  <w:footnote w:id="8">
    <w:p>
      <w:pPr>
        <w:pStyle w:val="FootnoteText"/>
      </w:pPr>
      <w:r>
        <w:rPr>
          <w:rStyle w:val="FootnoteReference"/>
        </w:rPr>
        <w:footnoteRef/>
      </w:r>
      <w:r>
        <w:tab/>
        <w:t>Hodnotenie iniciatívy Dobrovoľníci pomoci EÚ v polovici trvania, 2017.</w:t>
      </w:r>
    </w:p>
  </w:footnote>
  <w:footnote w:id="9">
    <w:p>
      <w:pPr>
        <w:pStyle w:val="FootnoteText"/>
      </w:pPr>
      <w:r>
        <w:rPr>
          <w:rStyle w:val="FootnoteReference"/>
        </w:rPr>
        <w:footnoteRef/>
      </w:r>
      <w:r>
        <w:tab/>
        <w:t xml:space="preserve">Upozorňujeme, že zatiaľ ešte nebola prijatá správa Komisie Európskemu parlamentu a Rade ani pracovný dokument útvarov Komisie o priebežnom hodnotení iniciatívy Dobrovoľníci pomoci EÚ. Môže sa stať, že túto časť hodnotenia </w:t>
      </w:r>
      <w:r>
        <w:rPr>
          <w:i/>
        </w:rPr>
        <w:t>ex ante</w:t>
      </w:r>
      <w:r>
        <w:t xml:space="preserve"> nahradí text uvedený v správe alebo pracovnom dokumente útvarov Komisie po ich prijatí.</w:t>
      </w:r>
    </w:p>
  </w:footnote>
  <w:footnote w:id="10">
    <w:p>
      <w:pPr>
        <w:pStyle w:val="FootnoteText"/>
      </w:pPr>
      <w:r>
        <w:rPr>
          <w:rStyle w:val="FootnoteReference"/>
        </w:rPr>
        <w:footnoteRef/>
      </w:r>
      <w:r>
        <w:tab/>
        <w:t xml:space="preserve">Hlavné body a hlavné dokumenty sa nachádzajú na tejto webovej stránke venovanej hodnoteniam: </w:t>
      </w:r>
      <w:hyperlink r:id="rId2">
        <w:r>
          <w:rPr>
            <w:rStyle w:val="Hyperlink0"/>
          </w:rPr>
          <w:t>https://ec.europa.eu/programmes/erasmus-plus/resources/documents.evaluations_sk</w:t>
        </w:r>
      </w:hyperlink>
      <w:r>
        <w:rPr>
          <w:rStyle w:val="Hyperlink0"/>
          <w:u w:val="none"/>
        </w:rPr>
        <w:t>.</w:t>
      </w:r>
    </w:p>
  </w:footnote>
  <w:footnote w:id="11">
    <w:p>
      <w:pPr>
        <w:pStyle w:val="FootnoteText"/>
      </w:pPr>
      <w:r>
        <w:rPr>
          <w:rStyle w:val="FootnoteReference"/>
        </w:rPr>
        <w:footnoteRef/>
      </w:r>
      <w:r>
        <w:tab/>
        <w:t>Konečná konsolidovaná analýza sa stále pripravuje.</w:t>
      </w:r>
    </w:p>
  </w:footnote>
  <w:footnote w:id="12">
    <w:p>
      <w:pPr>
        <w:pStyle w:val="FootnoteText"/>
      </w:pPr>
      <w:r>
        <w:rPr>
          <w:rStyle w:val="FootnoteReference"/>
        </w:rPr>
        <w:footnoteRef/>
      </w:r>
      <w:r>
        <w:tab/>
        <w:t>[Odkaz na nariadenie o rozpočtových pravidlách].</w:t>
      </w:r>
    </w:p>
  </w:footnote>
  <w:footnote w:id="13">
    <w:p>
      <w:pPr>
        <w:pStyle w:val="FootnoteText"/>
      </w:pPr>
      <w:r>
        <w:rPr>
          <w:rStyle w:val="FootnoteReference"/>
        </w:rPr>
        <w:footnoteRef/>
      </w:r>
      <w:r>
        <w:tab/>
        <w:t>Charta základných práv Európskej únie (Ú. v. EÚ C 326, 26.10.2012, s. 391).</w:t>
      </w:r>
    </w:p>
  </w:footnote>
  <w:footnote w:id="14">
    <w:p>
      <w:pPr>
        <w:pStyle w:val="FootnoteText"/>
      </w:pPr>
      <w:r>
        <w:rPr>
          <w:rStyle w:val="FootnoteReference"/>
        </w:rPr>
        <w:footnoteRef/>
      </w:r>
      <w:r>
        <w:tab/>
        <w:t>Moderný rozpočet pre Úniu, ktorá chráni, posilňuje a obraňuje – Viacročný finančný rámec na roky 2021 – 2027, COM(2018) 321 final, s. 29.</w:t>
      </w:r>
    </w:p>
  </w:footnote>
  <w:footnote w:id="15">
    <w:p>
      <w:pPr>
        <w:pStyle w:val="FootnoteText"/>
      </w:pPr>
      <w:r>
        <w:rPr>
          <w:rStyle w:val="FootnoteReference"/>
        </w:rPr>
        <w:footnoteRef/>
      </w:r>
      <w:r>
        <w:tab/>
        <w:t>Medziinštitucionálna dohoda medzi Európskym parlamentom, Radou Európskej únie a Európskou komisiou o lepšej tvorbe práva z 13. apríla 2016 (Ú. v. EÚ L 123, 12.5.2016, s. 1 – 14).</w:t>
      </w:r>
    </w:p>
  </w:footnote>
  <w:footnote w:id="16">
    <w:p>
      <w:pPr>
        <w:pStyle w:val="FootnoteText"/>
      </w:pPr>
      <w:r>
        <w:rPr>
          <w:rStyle w:val="FootnoteReference"/>
        </w:rPr>
        <w:footnoteRef/>
      </w:r>
      <w:r>
        <w:tab/>
        <w:t>Ú. v. EÚ C , , s. .</w:t>
      </w:r>
    </w:p>
  </w:footnote>
  <w:footnote w:id="17">
    <w:p>
      <w:pPr>
        <w:pStyle w:val="FootnoteText"/>
      </w:pPr>
      <w:r>
        <w:rPr>
          <w:rStyle w:val="FootnoteReference"/>
        </w:rPr>
        <w:footnoteRef/>
      </w:r>
      <w:r>
        <w:tab/>
        <w:t>Ú. v. EÚ C , , s. .</w:t>
      </w:r>
    </w:p>
  </w:footnote>
  <w:footnote w:id="18">
    <w:p>
      <w:pPr>
        <w:pStyle w:val="FootnoteText"/>
      </w:pPr>
      <w:r>
        <w:rPr>
          <w:rStyle w:val="FootnoteReference"/>
        </w:rPr>
        <w:footnoteRef/>
      </w:r>
      <w:r>
        <w:tab/>
        <w:t>Oznámenie Komisie Európskemu parlamentu, Rade, Európskemu hospodárskemu a sociálnemu výboru a Výboru regiónov – Európsky zbor solidarity [COM(2016) 942 final].</w:t>
      </w:r>
    </w:p>
  </w:footnote>
  <w:footnote w:id="19">
    <w:p>
      <w:pPr>
        <w:pStyle w:val="FootnoteText"/>
      </w:pPr>
      <w:r>
        <w:rPr>
          <w:rStyle w:val="FootnoteReference"/>
        </w:rPr>
        <w:footnoteRef/>
      </w:r>
      <w:r>
        <w:tab/>
        <w:t>Nariadenie Európskeho parlamentu a Rady (EÚ) č. 1288/2013 z 11. decembra 2013, ktorým sa zriaďuje „Erasmus+“: program Únie pre vzdelávanie, odbornú prípravu, mládež a šport, a ktorým sa zrušujú rozhodnutia č. 1719/2006/ES, č. 1720/2006/ES a č. 1298/2008/ES (Ú. v. EÚ L 347, 20.12.2013, s. 50 – 73).</w:t>
      </w:r>
    </w:p>
  </w:footnote>
  <w:footnote w:id="20">
    <w:p>
      <w:pPr>
        <w:pStyle w:val="FootnoteText"/>
      </w:pPr>
      <w:r>
        <w:rPr>
          <w:rStyle w:val="FootnoteReference"/>
        </w:rPr>
        <w:footnoteRef/>
      </w:r>
      <w:r>
        <w:tab/>
        <w:t>Nariadenie Európskeho parlamentu a Rady (EÚ) č. 375/2014 z 3. apríla 2014, ktorým sa zakladá Európsky dobrovoľnícky zbor pre humanitárnu pomoc („iniciatíva Dobrovoľníci pomoci EÚ“) (Ú. v. EÚ L 122, 24.4.2014, s. 1 – 17).</w:t>
      </w:r>
    </w:p>
  </w:footnote>
  <w:footnote w:id="21">
    <w:p>
      <w:pPr>
        <w:pStyle w:val="FootnoteText"/>
      </w:pPr>
      <w:r>
        <w:rPr>
          <w:rStyle w:val="FootnoteReference"/>
        </w:rPr>
        <w:footnoteRef/>
      </w:r>
      <w:r>
        <w:tab/>
        <w:t>Odporúčanie Rady z 15. marca 2018 týkajúce sa európskeho rámca pre kvalitnú a účinnú učňovskú prípravu (Ú. v. EÚ C 153, 2.5.2018, s. 1).</w:t>
      </w:r>
    </w:p>
  </w:footnote>
  <w:footnote w:id="22">
    <w:p>
      <w:pPr>
        <w:pStyle w:val="FootnoteText"/>
        <w:rPr>
          <w:rFonts w:eastAsia="Arial Unicode MS" w:cs="Arial Unicode MS"/>
        </w:rPr>
      </w:pPr>
      <w:r>
        <w:rPr>
          <w:rStyle w:val="FootnoteReference"/>
        </w:rPr>
        <w:footnoteRef/>
      </w:r>
      <w:r>
        <w:tab/>
        <w:t>Odporúčanie Rady z 20. decembra 2012 o potvrdzovaní neformálneho vzdelávania a informálneho učenia sa (Ú. v. EÚ C 398, 22.12.2012, s. 1 – 5).</w:t>
      </w:r>
    </w:p>
  </w:footnote>
  <w:footnote w:id="23">
    <w:p>
      <w:pPr>
        <w:pStyle w:val="FootnoteText"/>
      </w:pPr>
      <w:r>
        <w:rPr>
          <w:rStyle w:val="FootnoteReference"/>
        </w:rPr>
        <w:footnoteRef/>
      </w:r>
      <w:r>
        <w:tab/>
        <w:t>Oznámenie Komisie Európskemu parlamentu, Rade, Európskemu hospodárskemu a sociálnemu výboru a Výboru regiónov – Európsky rámec interoperability – stratégia vykonávania [COM(2017) 134 final].</w:t>
      </w:r>
    </w:p>
  </w:footnote>
  <w:footnote w:id="24">
    <w:p>
      <w:pPr>
        <w:pStyle w:val="FootnoteText"/>
      </w:pPr>
      <w:r>
        <w:rPr>
          <w:rStyle w:val="FootnoteReference"/>
        </w:rPr>
        <w:footnoteRef/>
      </w:r>
      <w:r>
        <w:tab/>
        <w:t>[Odkaz na nariadenie o rozpočtových pravidlách].</w:t>
      </w:r>
    </w:p>
  </w:footnote>
  <w:footnote w:id="25">
    <w:p>
      <w:pPr>
        <w:pStyle w:val="FootnoteText"/>
      </w:pPr>
      <w:r>
        <w:rPr>
          <w:rStyle w:val="FootnoteReference"/>
        </w:rPr>
        <w:footnoteRef/>
      </w:r>
      <w:r>
        <w:tab/>
        <w:t>Nariadenie Európskeho parlamentu a Rady (EÚ, Euratom) č. 883/2013 z 11. septembra 2013 o vyšetrovaniach vykonávaných Európskym úradom pre boj proti podvodom (OLAF) (Ú. v. EÚ L 248, 18.9.2013, s. 1).</w:t>
      </w:r>
    </w:p>
  </w:footnote>
  <w:footnote w:id="26">
    <w:p>
      <w:pPr>
        <w:pStyle w:val="FootnoteText"/>
      </w:pPr>
      <w:r>
        <w:rPr>
          <w:rStyle w:val="FootnoteReference"/>
        </w:rPr>
        <w:footnoteRef/>
      </w:r>
      <w:r>
        <w:tab/>
        <w:t>Nariadenie Rady (EURATOM, ES) č. 2185/96 z 11. novembra 1996 o kontrolách a inšpekciách na mieste, vykonávaných Komisiou s cieľom ochrany finančných záujmov Európskych spoločenstiev pred spreneverou a inými podvodmi (Ú. v. ES L 292, 15.11.1996, s. 2).</w:t>
      </w:r>
    </w:p>
  </w:footnote>
  <w:footnote w:id="27">
    <w:p>
      <w:pPr>
        <w:pStyle w:val="FootnoteText"/>
      </w:pPr>
      <w:r>
        <w:rPr>
          <w:rStyle w:val="FootnoteReference"/>
        </w:rPr>
        <w:footnoteRef/>
      </w:r>
      <w:r>
        <w:tab/>
        <w:t>Nariadenie Rady (EÚ) 2017/1939 z 12. októbra 2017, ktorým sa vykonáva posilnená spolupráca na účely zriadenia Európskej prokuratúry (Ú. v. EÚ L 283, 31.10.2017, s. 1).</w:t>
      </w:r>
    </w:p>
  </w:footnote>
  <w:footnote w:id="28">
    <w:p>
      <w:pPr>
        <w:pStyle w:val="FootnoteText"/>
      </w:pPr>
      <w:r>
        <w:rPr>
          <w:rStyle w:val="FootnoteReference"/>
        </w:rPr>
        <w:footnoteRef/>
      </w:r>
      <w:r>
        <w:tab/>
        <w:t>Smernica Európskeho parlamentu a Rady (EÚ) 2017/1371 z 5. júla 2017 o boji proti podvodom, ktoré poškodzujú finančné záujmy Únie, prostredníctvom trestného práva (Ú. v. EÚ L 198, 28.7.2017, s. 29).</w:t>
      </w:r>
    </w:p>
  </w:footnote>
  <w:footnote w:id="29">
    <w:p>
      <w:pPr>
        <w:pStyle w:val="FootnoteText"/>
      </w:pPr>
      <w:r>
        <w:rPr>
          <w:rStyle w:val="FootnoteReference"/>
        </w:rPr>
        <w:footnoteRef/>
      </w:r>
      <w:r>
        <w:tab/>
        <w:t>Medziinštitucionálna dohoda z 13. apríla 2016 medzi Európskych parlamentom, Radou Európskej únie a Európskou komisiou o lepšej tvorbe práva (Ú. v. EÚ L 123, 12.5.2016, s. 1).</w:t>
      </w:r>
    </w:p>
  </w:footnote>
  <w:footnote w:id="30">
    <w:p>
      <w:pPr>
        <w:pStyle w:val="FootnoteText"/>
      </w:pPr>
      <w:r>
        <w:rPr>
          <w:rStyle w:val="FootnoteReference"/>
        </w:rPr>
        <w:footnoteRef/>
      </w:r>
      <w:r>
        <w:tab/>
        <w:t>[Odkaz na nové rozhodnutie Rady o pridružení zámorských krajín a území].</w:t>
      </w:r>
    </w:p>
  </w:footnote>
  <w:footnote w:id="31">
    <w:p>
      <w:pPr>
        <w:pStyle w:val="FootnoteText"/>
      </w:pPr>
      <w:r>
        <w:rPr>
          <w:rStyle w:val="FootnoteReference"/>
        </w:rPr>
        <w:footnoteRef/>
      </w:r>
      <w:r>
        <w:tab/>
        <w:t>Oznámenie Komisie Európskemu parlamentu, Rade, Európskemu hospodárskemu a sociálnemu výboru, Výboru regiónov a Európskej investičnej banke – Silnejšie a obnovené strategické partnerstvo s najvzdialenejšími regiónmi EÚ [COM(2017) 623 final].</w:t>
      </w:r>
    </w:p>
  </w:footnote>
  <w:footnote w:id="32">
    <w:p>
      <w:pPr>
        <w:pStyle w:val="FootnoteText"/>
      </w:pPr>
      <w:r>
        <w:rPr>
          <w:rStyle w:val="FootnoteReference"/>
        </w:rPr>
        <w:footnoteRef/>
      </w:r>
      <w:r>
        <w:tab/>
        <w:t>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 s. 21).</w:t>
      </w:r>
    </w:p>
  </w:footnote>
  <w:footnote w:id="33">
    <w:p>
      <w:pPr>
        <w:pStyle w:val="FootnoteText"/>
      </w:pPr>
      <w:r>
        <w:rPr>
          <w:rStyle w:val="FootnoteReference"/>
        </w:rPr>
        <w:footnoteRef/>
      </w:r>
      <w:r>
        <w:t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 w:id="34">
    <w:p>
      <w:pPr>
        <w:pStyle w:val="FootnoteText"/>
      </w:pPr>
      <w:r>
        <w:rPr>
          <w:rStyle w:val="FootnoteReference"/>
        </w:rPr>
        <w:footnoteRef/>
      </w:r>
      <w:r>
        <w:tab/>
        <w:t>Nariadenie Rady (ES, Euratom) č. 2988/95 z 18. decembra 1995 o ochrane finančných záujmov Európskych spoločenstiev (Ú. v. ES L 312, 23.12.1995, s. 1).</w:t>
      </w:r>
    </w:p>
  </w:footnote>
  <w:footnote w:id="35">
    <w:p>
      <w:pPr>
        <w:pStyle w:val="FootnoteText"/>
      </w:pPr>
      <w:r>
        <w:rPr>
          <w:rStyle w:val="FootnoteReference"/>
        </w:rPr>
        <w:footnoteRef/>
      </w:r>
      <w:r>
        <w:tab/>
        <w:t>Charta základných práv Európskej únie (Ú. v. EÚ C 326, 26.10.2012, s. 391).</w:t>
      </w:r>
    </w:p>
  </w:footnote>
  <w:footnote w:id="36">
    <w:p>
      <w:pPr>
        <w:pStyle w:val="FootnoteText"/>
      </w:pPr>
      <w:r>
        <w:rPr>
          <w:rStyle w:val="FootnoteReference"/>
        </w:rPr>
        <w:footnoteRef/>
      </w:r>
      <w:r>
        <w:tab/>
        <w:t>Podľa článku 58 ods. 2 písm. a) alebo b) nariadenia o rozpočtových pravidlách.</w:t>
      </w:r>
    </w:p>
  </w:footnote>
  <w:footnote w:id="37">
    <w:p>
      <w:pPr>
        <w:pStyle w:val="FootnoteText"/>
        <w:jc w:val="left"/>
      </w:pPr>
      <w:r>
        <w:rPr>
          <w:rStyle w:val="FootnoteReference"/>
        </w:rPr>
        <w:footnoteRef/>
      </w:r>
      <w:r>
        <w:tab/>
        <w:t xml:space="preserve">Vysvetlenie spôsobov riadenia a odkazy na nariadenie o rozpočtových pravidlách sú k dispozícii na webovom sídle BudgWeb: </w:t>
      </w:r>
      <w:hyperlink r:id="rId3">
        <w:r>
          <w:rPr>
            <w:rStyle w:val="Hyperlink0"/>
          </w:rPr>
          <w:t>https://myintracomm.ec.europa.eu/budgweb/EN/man/budgmanag/Pages/budgmanag.aspx</w:t>
        </w:r>
      </w:hyperlink>
      <w:r>
        <w:t>.</w:t>
      </w:r>
    </w:p>
  </w:footnote>
  <w:footnote w:id="38">
    <w:p>
      <w:pPr>
        <w:pStyle w:val="FootnoteText"/>
      </w:pPr>
      <w:r>
        <w:rPr>
          <w:rStyle w:val="FootnoteReference"/>
        </w:rPr>
        <w:footnoteRef/>
      </w:r>
      <w:r>
        <w:tab/>
        <w:t>Program môže byť (čiastočne) delegovaný na výkonnú agentúru (EACEA), v závislosti od výsledku analýzy nákladov a prínosov a súvisiacich rozhodnutí, ktoré sa majú prijať, a súvisiace administratívne rozpočtové prostriedky na implementáciu programu v Komisii a výkonnej agentúre budú zodpovedajúcim spôsobom upravené.</w:t>
      </w:r>
    </w:p>
  </w:footnote>
  <w:footnote w:id="39">
    <w:p>
      <w:pPr>
        <w:pStyle w:val="FootnoteText"/>
      </w:pPr>
      <w:r>
        <w:rPr>
          <w:rStyle w:val="FootnoteReference"/>
        </w:rPr>
        <w:footnoteRef/>
      </w:r>
      <w:r>
        <w:tab/>
        <w:t>Odhadované potreby ľudských zdrojov sú založené výlučne na súčasnej situácii a podliehajú ďalším revíziám. Odhady počtu zamestnancov Komisie založené na odhadoch z roku 2018 (s výnimkou zamestnancov výkonnej agentúry) s postupným zavádzaním.</w:t>
      </w:r>
    </w:p>
  </w:footnote>
  <w:footnote w:id="40">
    <w:p>
      <w:pPr>
        <w:pStyle w:val="FootnoteText"/>
        <w:rPr>
          <w:szCs w:val="24"/>
        </w:rPr>
      </w:pPr>
      <w:r>
        <w:rPr>
          <w:rStyle w:val="FootnoteReference"/>
        </w:rPr>
        <w:footnoteRef/>
      </w:r>
      <w:r>
        <w:tab/>
        <w:t>Čiastkový strop pre externých zamestnancov financovaných z operačných rozpočtových prostriedkov (pôvodné rozpočtové riadky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90F3F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C72C2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A5949CC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4AA0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90E69E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6E858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85F59DF"/>
    <w:multiLevelType w:val="hybridMultilevel"/>
    <w:tmpl w:val="FDF66946"/>
    <w:styleLink w:val="ImportierterStil3"/>
    <w:lvl w:ilvl="0" w:tplc="39721368">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A04C5C">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D580F50">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DFAAF56">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82297A">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8C65E5C">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F582CBE">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3CABEE">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076E5FC">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0761F16"/>
    <w:multiLevelType w:val="hybridMultilevel"/>
    <w:tmpl w:val="678E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B15E4B"/>
    <w:multiLevelType w:val="hybridMultilevel"/>
    <w:tmpl w:val="54CA49AA"/>
    <w:styleLink w:val="ImportierterStil5"/>
    <w:lvl w:ilvl="0" w:tplc="56149334">
      <w:start w:val="1"/>
      <w:numFmt w:val="decimal"/>
      <w:lvlText w:val="(%1)"/>
      <w:lvlJc w:val="left"/>
      <w:pPr>
        <w:ind w:left="850"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1FC9E48">
      <w:start w:val="1"/>
      <w:numFmt w:val="lowerLetter"/>
      <w:lvlText w:val="(%2)"/>
      <w:lvlJc w:val="left"/>
      <w:pPr>
        <w:ind w:left="850"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88CF018">
      <w:start w:val="1"/>
      <w:numFmt w:val="decimal"/>
      <w:lvlText w:val="(%3)"/>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2A8CB22">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FB021F0">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D609E7E">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C4D4775C">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0B03DF0">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3A0C344">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73B5D13"/>
    <w:multiLevelType w:val="hybridMultilevel"/>
    <w:tmpl w:val="B394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AA14E9"/>
    <w:multiLevelType w:val="hybridMultilevel"/>
    <w:tmpl w:val="AA12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22E2774F"/>
    <w:multiLevelType w:val="hybridMultilevel"/>
    <w:tmpl w:val="C22E03B2"/>
    <w:styleLink w:val="ImportierterStil10"/>
    <w:lvl w:ilvl="0" w:tplc="03F41D94">
      <w:start w:val="1"/>
      <w:numFmt w:val="bullet"/>
      <w:lvlText w:val="–"/>
      <w:lvlJc w:val="left"/>
      <w:pPr>
        <w:tabs>
          <w:tab w:val="num" w:pos="709"/>
          <w:tab w:val="left" w:pos="1843"/>
        </w:tabs>
        <w:ind w:left="992" w:hanging="992"/>
      </w:pPr>
      <w:rPr>
        <w:rFonts w:hAnsi="Arial Unicode MS"/>
        <w:caps w:val="0"/>
        <w:smallCaps w:val="0"/>
        <w:strike w:val="0"/>
        <w:dstrike w:val="0"/>
        <w:outline w:val="0"/>
        <w:emboss w:val="0"/>
        <w:imprint w:val="0"/>
        <w:spacing w:val="0"/>
        <w:w w:val="100"/>
        <w:kern w:val="0"/>
        <w:position w:val="0"/>
        <w:highlight w:val="none"/>
        <w:vertAlign w:val="baseline"/>
      </w:rPr>
    </w:lvl>
    <w:lvl w:ilvl="1" w:tplc="1B32C0D8">
      <w:start w:val="1"/>
      <w:numFmt w:val="bullet"/>
      <w:lvlText w:val="–"/>
      <w:lvlJc w:val="left"/>
      <w:pPr>
        <w:tabs>
          <w:tab w:val="num" w:pos="1418"/>
          <w:tab w:val="left" w:pos="1843"/>
        </w:tabs>
        <w:ind w:left="1701" w:hanging="992"/>
      </w:pPr>
      <w:rPr>
        <w:rFonts w:hAnsi="Arial Unicode MS"/>
        <w:caps w:val="0"/>
        <w:smallCaps w:val="0"/>
        <w:strike w:val="0"/>
        <w:dstrike w:val="0"/>
        <w:outline w:val="0"/>
        <w:emboss w:val="0"/>
        <w:imprint w:val="0"/>
        <w:spacing w:val="0"/>
        <w:w w:val="100"/>
        <w:kern w:val="0"/>
        <w:position w:val="0"/>
        <w:highlight w:val="none"/>
        <w:vertAlign w:val="baseline"/>
      </w:rPr>
    </w:lvl>
    <w:lvl w:ilvl="2" w:tplc="BFA25342">
      <w:start w:val="1"/>
      <w:numFmt w:val="bullet"/>
      <w:lvlText w:val="–"/>
      <w:lvlJc w:val="left"/>
      <w:pPr>
        <w:tabs>
          <w:tab w:val="num" w:pos="1843"/>
        </w:tabs>
        <w:ind w:left="2126"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34AF3E">
      <w:start w:val="1"/>
      <w:numFmt w:val="bullet"/>
      <w:lvlText w:val="•"/>
      <w:lvlJc w:val="left"/>
      <w:pPr>
        <w:tabs>
          <w:tab w:val="left" w:pos="1843"/>
          <w:tab w:val="num" w:pos="2835"/>
        </w:tabs>
        <w:ind w:left="3118"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2A84F0A">
      <w:start w:val="1"/>
      <w:numFmt w:val="bullet"/>
      <w:lvlText w:val="•"/>
      <w:lvlJc w:val="left"/>
      <w:pPr>
        <w:tabs>
          <w:tab w:val="left" w:pos="1843"/>
          <w:tab w:val="num" w:pos="3544"/>
        </w:tabs>
        <w:ind w:left="3827"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12DF0C">
      <w:start w:val="1"/>
      <w:numFmt w:val="bullet"/>
      <w:lvlText w:val="•"/>
      <w:lvlJc w:val="left"/>
      <w:pPr>
        <w:tabs>
          <w:tab w:val="left" w:pos="1843"/>
          <w:tab w:val="num" w:pos="4252"/>
        </w:tabs>
        <w:ind w:left="4535"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D32DEF0">
      <w:start w:val="1"/>
      <w:numFmt w:val="bullet"/>
      <w:lvlText w:val="•"/>
      <w:lvlJc w:val="left"/>
      <w:pPr>
        <w:tabs>
          <w:tab w:val="left" w:pos="1843"/>
          <w:tab w:val="num" w:pos="4961"/>
        </w:tabs>
        <w:ind w:left="5244"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6641C">
      <w:start w:val="1"/>
      <w:numFmt w:val="bullet"/>
      <w:lvlText w:val="•"/>
      <w:lvlJc w:val="left"/>
      <w:pPr>
        <w:tabs>
          <w:tab w:val="left" w:pos="1843"/>
          <w:tab w:val="num" w:pos="5670"/>
        </w:tabs>
        <w:ind w:left="5953"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3680968">
      <w:start w:val="1"/>
      <w:numFmt w:val="bullet"/>
      <w:lvlText w:val="•"/>
      <w:lvlJc w:val="left"/>
      <w:pPr>
        <w:tabs>
          <w:tab w:val="left" w:pos="1843"/>
          <w:tab w:val="num" w:pos="6378"/>
        </w:tabs>
        <w:ind w:left="6661"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nsid w:val="3289744A"/>
    <w:multiLevelType w:val="multilevel"/>
    <w:tmpl w:val="82161D56"/>
    <w:styleLink w:val="ImportierterStil6"/>
    <w:lvl w:ilvl="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61973DA"/>
    <w:multiLevelType w:val="hybridMultilevel"/>
    <w:tmpl w:val="619E7A80"/>
    <w:styleLink w:val="ImportierterStil9"/>
    <w:lvl w:ilvl="0" w:tplc="16AE92E8">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0A2E94">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C22AE60">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AF688A4">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248186E">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C0C9ED6">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76EF6FA">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34C366">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234C08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3">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4">
    <w:nsid w:val="4E18265C"/>
    <w:multiLevelType w:val="hybridMultilevel"/>
    <w:tmpl w:val="619E7A80"/>
    <w:numStyleLink w:val="ImportierterStil9"/>
  </w:abstractNum>
  <w:abstractNum w:abstractNumId="2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588372A4"/>
    <w:multiLevelType w:val="hybridMultilevel"/>
    <w:tmpl w:val="BAA4AA48"/>
    <w:styleLink w:val="ImportierterStil2"/>
    <w:lvl w:ilvl="0" w:tplc="2940037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DE98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B3AE1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9E053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3446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D9853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B3EB5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24EBC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472E7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3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7851AA3"/>
    <w:multiLevelType w:val="hybridMultilevel"/>
    <w:tmpl w:val="22F20CFC"/>
    <w:styleLink w:val="ImportierterStil8"/>
    <w:lvl w:ilvl="0" w:tplc="813A1E48">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54541A">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948AA8">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0AE18FC">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5CA6EE8">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C703800">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208ABD0">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984918C">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14E339E">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4">
    <w:nsid w:val="6DE7753A"/>
    <w:multiLevelType w:val="multilevel"/>
    <w:tmpl w:val="04D4A280"/>
    <w:styleLink w:val="ImportierterStil1"/>
    <w:lvl w:ilvl="0">
      <w:start w:val="1"/>
      <w:numFmt w:val="decimal"/>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nsid w:val="6F1C5530"/>
    <w:multiLevelType w:val="hybridMultilevel"/>
    <w:tmpl w:val="A79A5E10"/>
    <w:styleLink w:val="ImportierterStil7"/>
    <w:lvl w:ilvl="0" w:tplc="E38AC6D0">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9D10F4D4">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8F293F6">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00C0FE8">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C800080">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A883F12">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274045A4">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5B63284">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C1A1568">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5AE6B09"/>
    <w:multiLevelType w:val="hybridMultilevel"/>
    <w:tmpl w:val="FFB8E32C"/>
    <w:styleLink w:val="ImportierterStil4"/>
    <w:lvl w:ilvl="0" w:tplc="9BF69B90">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7A22090A">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25EE9DA6">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58CC01AE">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D49ABFA4">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72824A80">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750E00C2">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6F185080">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BA16802C">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3"/>
  </w:num>
  <w:num w:numId="3">
    <w:abstractNumId w:val="22"/>
  </w:num>
  <w:num w:numId="4">
    <w:abstractNumId w:val="36"/>
  </w:num>
  <w:num w:numId="5">
    <w:abstractNumId w:val="30"/>
  </w:num>
  <w:num w:numId="6">
    <w:abstractNumId w:val="26"/>
  </w:num>
  <w:num w:numId="7">
    <w:abstractNumId w:val="7"/>
  </w:num>
  <w:num w:numId="8">
    <w:abstractNumId w:val="37"/>
  </w:num>
  <w:num w:numId="9">
    <w:abstractNumId w:val="38"/>
    <w:lvlOverride w:ilvl="0">
      <w:startOverride w:val="1"/>
    </w:lvlOverride>
  </w:num>
  <w:num w:numId="10">
    <w:abstractNumId w:val="9"/>
  </w:num>
  <w:num w:numId="11">
    <w:abstractNumId w:val="17"/>
  </w:num>
  <w:num w:numId="12">
    <w:abstractNumId w:val="14"/>
    <w:lvlOverride w:ilvl="0">
      <w:startOverride w:val="1"/>
    </w:lvlOverride>
  </w:num>
  <w:num w:numId="13">
    <w:abstractNumId w:val="14"/>
    <w:lvlOverride w:ilvl="0">
      <w:startOverride w:val="2"/>
    </w:lvlOverride>
  </w:num>
  <w:num w:numId="14">
    <w:abstractNumId w:val="14"/>
    <w:lvlOverride w:ilvl="0">
      <w:startOverride w:val="3"/>
    </w:lvlOverride>
  </w:num>
  <w:num w:numId="15">
    <w:abstractNumId w:val="14"/>
    <w:lvlOverride w:ilvl="0">
      <w:startOverride w:val="1"/>
    </w:lvlOverride>
  </w:num>
  <w:num w:numId="16">
    <w:abstractNumId w:val="14"/>
    <w:lvlOverride w:ilvl="0">
      <w:startOverride w:val="2"/>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35"/>
  </w:num>
  <w:num w:numId="26">
    <w:abstractNumId w:val="33"/>
    <w:lvlOverride w:ilvl="0">
      <w:startOverride w:val="1"/>
    </w:lvlOverride>
  </w:num>
  <w:num w:numId="27">
    <w:abstractNumId w:val="14"/>
    <w:lvlOverride w:ilvl="0">
      <w:startOverride w:val="3"/>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2"/>
    </w:lvlOverride>
  </w:num>
  <w:num w:numId="35">
    <w:abstractNumId w:val="14"/>
    <w:lvlOverride w:ilvl="0">
      <w:startOverride w:val="3"/>
    </w:lvlOverride>
  </w:num>
  <w:num w:numId="36">
    <w:abstractNumId w:val="14"/>
    <w:lvlOverride w:ilvl="0">
      <w:startOverride w:val="1"/>
    </w:lvlOverride>
  </w:num>
  <w:num w:numId="37">
    <w:abstractNumId w:val="14"/>
    <w:lvlOverride w:ilvl="0">
      <w:startOverride w:val="4"/>
    </w:lvlOverride>
  </w:num>
  <w:num w:numId="38">
    <w:abstractNumId w:val="14"/>
    <w:lvlOverride w:ilvl="0">
      <w:startOverride w:val="1"/>
    </w:lvlOverride>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34"/>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1"/>
  </w:num>
  <w:num w:numId="47">
    <w:abstractNumId w:val="24"/>
  </w:num>
  <w:num w:numId="48">
    <w:abstractNumId w:val="13"/>
  </w:num>
  <w:num w:numId="49">
    <w:abstractNumId w:val="8"/>
  </w:num>
  <w:num w:numId="50">
    <w:abstractNumId w:val="10"/>
  </w:num>
  <w:num w:numId="51">
    <w:abstractNumId w:val="11"/>
  </w:num>
  <w:num w:numId="52">
    <w:abstractNumId w:val="5"/>
  </w:num>
  <w:num w:numId="53">
    <w:abstractNumId w:val="4"/>
  </w:num>
  <w:num w:numId="54">
    <w:abstractNumId w:val="3"/>
  </w:num>
  <w:num w:numId="55">
    <w:abstractNumId w:val="2"/>
  </w:num>
  <w:num w:numId="56">
    <w:abstractNumId w:val="1"/>
  </w:num>
  <w:num w:numId="57">
    <w:abstractNumId w:val="0"/>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18"/>
  </w:num>
  <w:num w:numId="62">
    <w:abstractNumId w:val="33"/>
  </w:num>
  <w:num w:numId="63">
    <w:abstractNumId w:val="16"/>
  </w:num>
  <w:num w:numId="64">
    <w:abstractNumId w:val="19"/>
  </w:num>
  <w:num w:numId="65">
    <w:abstractNumId w:val="14"/>
  </w:num>
  <w:num w:numId="66">
    <w:abstractNumId w:val="31"/>
  </w:num>
  <w:num w:numId="67">
    <w:abstractNumId w:val="12"/>
  </w:num>
  <w:num w:numId="68">
    <w:abstractNumId w:val="20"/>
  </w:num>
  <w:num w:numId="69">
    <w:abstractNumId w:val="27"/>
  </w:num>
  <w:num w:numId="70">
    <w:abstractNumId w:val="28"/>
  </w:num>
  <w:num w:numId="71">
    <w:abstractNumId w:val="15"/>
  </w:num>
  <w:num w:numId="72">
    <w:abstractNumId w:val="25"/>
  </w:num>
  <w:num w:numId="73">
    <w:abstractNumId w:val="3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4 09:26:1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20"/>
    <w:docVar w:name="DQCStatus" w:val="Green"/>
    <w:docVar w:name="DQCVersion" w:val="3"/>
    <w:docVar w:name="DQCWithWarnings" w:val="0"/>
    <w:docVar w:name="LW_CORRIGENDUM" w:val="&lt;UNUSED&gt;"/>
    <w:docVar w:name="LW_COVERPAGE_EXISTS" w:val="True"/>
    <w:docVar w:name="LW_COVERPAGE_GUID" w:val="5356C31C-08A2-48E6-8C7A-AFF698E81176"/>
    <w:docVar w:name="LW_COVERPAGE_TYPE" w:val="1"/>
    <w:docVar w:name="LW_CROSSREFERENCE" w:val="{SWD(2018) 317 final}_x000b_{SWD(2018) 318 final}_x000b_{SWD(2018) 319 final}"/>
    <w:docVar w:name="LW_DocType" w:val="COM"/>
    <w:docVar w:name="LW_EMISSION" w:val="11. 6. 2018"/>
    <w:docVar w:name="LW_EMISSION_ISODATE" w:val="2018-06-11"/>
    <w:docVar w:name="LW_EMISSION_LOCATION" w:val="BRX"/>
    <w:docVar w:name="LW_EMISSION_PREFIX" w:val="V Bruseli"/>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s významom pre EHP)"/>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230"/>
    <w:docVar w:name="LW_REF.II.NEW.CP_YEAR" w:val="2018"/>
    <w:docVar w:name="LW_REF.INST.NEW" w:val="COM"/>
    <w:docVar w:name="LW_REF.INST.NEW_ADOPTED" w:val="final"/>
    <w:docVar w:name="LW_REF.INST.NEW_TEXT" w:val="(2018) 4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orým sa stanovuje program Európsky zbor solidarity a zru\u353?ujú [nariadenie o Európskom zbore solidarity] a nariadenie (EÚ) \u269?. 375/2014"/>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Kopf-undFuzeilen">
    <w:name w:val="Kopf- und Fußzeilen"/>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Text">
    <w:name w:val="Text"/>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Hyperlink0">
    <w:name w:val="Hyperlink.0"/>
    <w:basedOn w:val="Hyperlink"/>
    <w:rPr>
      <w:color w:val="0000FF"/>
      <w:u w:val="single" w:color="0000FF"/>
    </w:rPr>
  </w:style>
  <w:style w:type="numbering" w:customStyle="1" w:styleId="ImportierterStil2">
    <w:name w:val="Importierter Stil: 2"/>
    <w:pPr>
      <w:numPr>
        <w:numId w:val="6"/>
      </w:numPr>
    </w:pPr>
  </w:style>
  <w:style w:type="numbering" w:customStyle="1" w:styleId="ImportierterStil3">
    <w:name w:val="Importierter Stil: 3"/>
    <w:pPr>
      <w:numPr>
        <w:numId w:val="7"/>
      </w:numPr>
    </w:pPr>
  </w:style>
  <w:style w:type="numbering" w:customStyle="1" w:styleId="ImportierterStil4">
    <w:name w:val="Importierter Stil: 4"/>
    <w:pPr>
      <w:numPr>
        <w:numId w:val="8"/>
      </w:numPr>
    </w:pPr>
  </w:style>
  <w:style w:type="paragraph" w:customStyle="1" w:styleId="TitrearticleA">
    <w:name w:val="Titre article A"/>
    <w:next w:val="Text"/>
    <w:pPr>
      <w:keepNext/>
      <w:pBdr>
        <w:top w:val="nil"/>
        <w:left w:val="nil"/>
        <w:bottom w:val="nil"/>
        <w:right w:val="nil"/>
        <w:between w:val="nil"/>
        <w:bar w:val="nil"/>
      </w:pBdr>
      <w:spacing w:before="360" w:after="120" w:line="240" w:lineRule="auto"/>
      <w:jc w:val="center"/>
    </w:pPr>
    <w:rPr>
      <w:rFonts w:ascii="Times New Roman" w:eastAsia="Arial Unicode MS" w:hAnsi="Times New Roman" w:cs="Arial Unicode MS"/>
      <w:i/>
      <w:iCs/>
      <w:color w:val="000000"/>
      <w:sz w:val="24"/>
      <w:szCs w:val="24"/>
      <w:u w:color="000000"/>
      <w:bdr w:val="nil"/>
    </w:rPr>
  </w:style>
  <w:style w:type="numbering" w:customStyle="1" w:styleId="ImportierterStil5">
    <w:name w:val="Importierter Stil: 5"/>
    <w:pPr>
      <w:numPr>
        <w:numId w:val="10"/>
      </w:numPr>
    </w:pPr>
  </w:style>
  <w:style w:type="numbering" w:customStyle="1" w:styleId="ImportierterStil6">
    <w:name w:val="Importierter Stil: 6"/>
    <w:pPr>
      <w:numPr>
        <w:numId w:val="11"/>
      </w:numPr>
    </w:pPr>
  </w:style>
  <w:style w:type="numbering" w:customStyle="1" w:styleId="ImportierterStil7">
    <w:name w:val="Importierter Stil: 7"/>
    <w:pPr>
      <w:numPr>
        <w:numId w:val="25"/>
      </w:numPr>
    </w:pPr>
  </w:style>
  <w:style w:type="paragraph" w:customStyle="1" w:styleId="TitrearticleB">
    <w:name w:val="Titre article B"/>
    <w:next w:val="Text"/>
    <w:pPr>
      <w:keepNext/>
      <w:pBdr>
        <w:top w:val="nil"/>
        <w:left w:val="nil"/>
        <w:bottom w:val="nil"/>
        <w:right w:val="nil"/>
        <w:between w:val="nil"/>
        <w:bar w:val="nil"/>
      </w:pBdr>
      <w:spacing w:before="360" w:after="120" w:line="240" w:lineRule="auto"/>
      <w:jc w:val="center"/>
    </w:pPr>
    <w:rPr>
      <w:rFonts w:ascii="Times New Roman" w:eastAsia="Arial Unicode MS" w:hAnsi="Times New Roman" w:cs="Arial Unicode MS"/>
      <w:i/>
      <w:iCs/>
      <w:color w:val="000000"/>
      <w:sz w:val="24"/>
      <w:szCs w:val="24"/>
      <w:u w:color="000000"/>
      <w:bdr w:val="nil"/>
    </w:rPr>
  </w:style>
  <w:style w:type="paragraph" w:customStyle="1" w:styleId="TitrearticleC">
    <w:name w:val="Titre article C"/>
    <w:next w:val="Text"/>
    <w:pPr>
      <w:keepNext/>
      <w:pBdr>
        <w:top w:val="nil"/>
        <w:left w:val="nil"/>
        <w:bottom w:val="nil"/>
        <w:right w:val="nil"/>
        <w:between w:val="nil"/>
        <w:bar w:val="nil"/>
      </w:pBdr>
      <w:spacing w:before="360" w:after="120" w:line="240" w:lineRule="auto"/>
      <w:jc w:val="center"/>
    </w:pPr>
    <w:rPr>
      <w:rFonts w:ascii="Times New Roman" w:eastAsia="Arial Unicode MS" w:hAnsi="Times New Roman" w:cs="Arial Unicode MS"/>
      <w:i/>
      <w:iCs/>
      <w:color w:val="000000"/>
      <w:sz w:val="24"/>
      <w:szCs w:val="24"/>
      <w:u w:color="000000"/>
      <w:bdr w:val="nil"/>
    </w:rPr>
  </w:style>
  <w:style w:type="paragraph" w:customStyle="1" w:styleId="TitrearticleD">
    <w:name w:val="Titre article D"/>
    <w:next w:val="Text"/>
    <w:pPr>
      <w:keepNext/>
      <w:pBdr>
        <w:top w:val="nil"/>
        <w:left w:val="nil"/>
        <w:bottom w:val="nil"/>
        <w:right w:val="nil"/>
        <w:between w:val="nil"/>
        <w:bar w:val="nil"/>
      </w:pBdr>
      <w:spacing w:before="360" w:after="120" w:line="240" w:lineRule="auto"/>
      <w:jc w:val="center"/>
    </w:pPr>
    <w:rPr>
      <w:rFonts w:ascii="Times New Roman" w:eastAsia="Arial Unicode MS" w:hAnsi="Times New Roman" w:cs="Arial Unicode MS"/>
      <w:i/>
      <w:iCs/>
      <w:color w:val="000000"/>
      <w:sz w:val="24"/>
      <w:szCs w:val="24"/>
      <w:u w:color="000000"/>
      <w:bdr w:val="nil"/>
    </w:rPr>
  </w:style>
  <w:style w:type="paragraph" w:customStyle="1" w:styleId="berschrift">
    <w:name w:val="Überschrift"/>
    <w:next w:val="Text1"/>
    <w:pPr>
      <w:keepNext/>
      <w:pBdr>
        <w:top w:val="nil"/>
        <w:left w:val="nil"/>
        <w:bottom w:val="nil"/>
        <w:right w:val="nil"/>
        <w:between w:val="nil"/>
        <w:bar w:val="nil"/>
      </w:pBdr>
      <w:tabs>
        <w:tab w:val="left" w:pos="850"/>
      </w:tabs>
      <w:spacing w:before="360" w:after="12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ierterStil1">
    <w:name w:val="Importierter Stil: 1"/>
    <w:pPr>
      <w:numPr>
        <w:numId w:val="43"/>
      </w:numPr>
    </w:pPr>
  </w:style>
  <w:style w:type="paragraph" w:customStyle="1" w:styleId="berschrift2">
    <w:name w:val="Überschrift 2"/>
    <w:next w:val="Text1"/>
    <w:pPr>
      <w:keepNext/>
      <w:pBdr>
        <w:top w:val="nil"/>
        <w:left w:val="nil"/>
        <w:bottom w:val="nil"/>
        <w:right w:val="nil"/>
        <w:between w:val="nil"/>
        <w:bar w:val="nil"/>
      </w:pBdr>
      <w:tabs>
        <w:tab w:val="left" w:pos="850"/>
      </w:tabs>
      <w:spacing w:before="120" w:after="120" w:line="240" w:lineRule="auto"/>
      <w:jc w:val="both"/>
      <w:outlineLvl w:val="1"/>
    </w:pPr>
    <w:rPr>
      <w:rFonts w:ascii="Times New Roman" w:eastAsia="Arial Unicode MS" w:hAnsi="Times New Roman" w:cs="Arial Unicode MS"/>
      <w:b/>
      <w:bCs/>
      <w:color w:val="000000"/>
      <w:sz w:val="24"/>
      <w:szCs w:val="24"/>
      <w:u w:color="000000"/>
      <w:bdr w:val="nil"/>
    </w:rPr>
  </w:style>
  <w:style w:type="paragraph" w:customStyle="1" w:styleId="berschrift3">
    <w:name w:val="Überschrift 3"/>
    <w:next w:val="Text1"/>
    <w:pPr>
      <w:keepNext/>
      <w:pBdr>
        <w:top w:val="nil"/>
        <w:left w:val="nil"/>
        <w:bottom w:val="nil"/>
        <w:right w:val="nil"/>
        <w:between w:val="nil"/>
        <w:bar w:val="nil"/>
      </w:pBdr>
      <w:tabs>
        <w:tab w:val="left" w:pos="850"/>
      </w:tabs>
      <w:spacing w:before="120" w:after="120" w:line="240" w:lineRule="auto"/>
      <w:jc w:val="both"/>
      <w:outlineLvl w:val="2"/>
    </w:pPr>
    <w:rPr>
      <w:rFonts w:ascii="Times New Roman" w:eastAsia="Arial Unicode MS" w:hAnsi="Times New Roman" w:cs="Arial Unicode MS"/>
      <w:i/>
      <w:iCs/>
      <w:color w:val="000000"/>
      <w:sz w:val="24"/>
      <w:szCs w:val="24"/>
      <w:u w:color="000000"/>
      <w:bdr w:val="nil"/>
    </w:rPr>
  </w:style>
  <w:style w:type="numbering" w:customStyle="1" w:styleId="ImportierterStil8">
    <w:name w:val="Importierter Stil: 8"/>
    <w:pPr>
      <w:numPr>
        <w:numId w:val="45"/>
      </w:numPr>
    </w:pPr>
  </w:style>
  <w:style w:type="numbering" w:customStyle="1" w:styleId="ImportierterStil9">
    <w:name w:val="Importierter Stil: 9"/>
    <w:pPr>
      <w:numPr>
        <w:numId w:val="46"/>
      </w:numPr>
    </w:pPr>
  </w:style>
  <w:style w:type="numbering" w:customStyle="1" w:styleId="ImportierterStil10">
    <w:name w:val="Importierter Stil: 10"/>
    <w:pPr>
      <w:numPr>
        <w:numId w:val="48"/>
      </w:numPr>
    </w:pPr>
  </w:style>
  <w:style w:type="paragraph" w:styleId="BalloonText">
    <w:name w:val="Balloon Text"/>
    <w:basedOn w:val="Normal"/>
    <w:link w:val="BalloonTextChar"/>
    <w:uiPriority w:val="99"/>
    <w:semiHidden/>
    <w:unhideWhenUsed/>
    <w:pPr>
      <w:pBdr>
        <w:top w:val="nil"/>
        <w:left w:val="nil"/>
        <w:bottom w:val="nil"/>
        <w:right w:val="nil"/>
        <w:between w:val="nil"/>
        <w:bar w:val="nil"/>
      </w:pBdr>
      <w:spacing w:before="0" w:after="0"/>
      <w:jc w:val="left"/>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before="0" w:after="0"/>
      <w:jc w:val="left"/>
    </w:pPr>
    <w:rPr>
      <w:rFonts w:eastAsia="Arial Unicode MS"/>
      <w:sz w:val="20"/>
      <w:szCs w:val="20"/>
      <w:bdr w:val="nil"/>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sz w:val="20"/>
      <w:szCs w:val="2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52"/>
      </w:numPr>
      <w:contextualSpacing/>
    </w:pPr>
  </w:style>
  <w:style w:type="paragraph" w:styleId="ListBullet3">
    <w:name w:val="List Bullet 3"/>
    <w:basedOn w:val="Normal"/>
    <w:uiPriority w:val="99"/>
    <w:semiHidden/>
    <w:unhideWhenUsed/>
    <w:pPr>
      <w:numPr>
        <w:numId w:val="53"/>
      </w:numPr>
      <w:contextualSpacing/>
    </w:pPr>
  </w:style>
  <w:style w:type="paragraph" w:styleId="ListBullet4">
    <w:name w:val="List Bullet 4"/>
    <w:basedOn w:val="Normal"/>
    <w:uiPriority w:val="99"/>
    <w:semiHidden/>
    <w:unhideWhenUsed/>
    <w:pPr>
      <w:numPr>
        <w:numId w:val="54"/>
      </w:numPr>
      <w:contextualSpacing/>
    </w:pPr>
  </w:style>
  <w:style w:type="paragraph" w:styleId="ListNumber2">
    <w:name w:val="List Number 2"/>
    <w:basedOn w:val="Normal"/>
    <w:uiPriority w:val="99"/>
    <w:semiHidden/>
    <w:unhideWhenUsed/>
    <w:pPr>
      <w:numPr>
        <w:numId w:val="55"/>
      </w:numPr>
      <w:contextualSpacing/>
    </w:pPr>
  </w:style>
  <w:style w:type="paragraph" w:styleId="ListNumber3">
    <w:name w:val="List Number 3"/>
    <w:basedOn w:val="Normal"/>
    <w:uiPriority w:val="99"/>
    <w:semiHidden/>
    <w:unhideWhenUsed/>
    <w:pPr>
      <w:numPr>
        <w:numId w:val="56"/>
      </w:numPr>
      <w:contextualSpacing/>
    </w:pPr>
  </w:style>
  <w:style w:type="paragraph" w:styleId="ListNumber4">
    <w:name w:val="List Number 4"/>
    <w:basedOn w:val="Normal"/>
    <w:uiPriority w:val="99"/>
    <w:semiHidden/>
    <w:unhideWhenUsed/>
    <w:pPr>
      <w:numPr>
        <w:numId w:val="57"/>
      </w:numPr>
      <w:contextualSpacing/>
    </w:pPr>
  </w:style>
  <w:style w:type="paragraph" w:styleId="NormalIndent">
    <w:name w:val="Normal Indent"/>
    <w:basedOn w:val="Normal"/>
    <w:uiPriority w:val="99"/>
    <w:unhideWhenUsed/>
    <w:pPr>
      <w:ind w:left="720"/>
    </w:pPr>
  </w:style>
  <w:style w:type="paragraph" w:customStyle="1" w:styleId="Noraml">
    <w:name w:val="Noraml"/>
    <w:basedOn w:val="Text"/>
    <w:rPr>
      <w:rFonts w:eastAsia="Arial Unicode MS"/>
      <w:color w:val="auto"/>
      <w:sz w:val="20"/>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0"/>
      </w:numPr>
    </w:pPr>
  </w:style>
  <w:style w:type="paragraph" w:customStyle="1" w:styleId="Tiret1">
    <w:name w:val="Tiret 1"/>
    <w:basedOn w:val="Point1"/>
    <w:pPr>
      <w:numPr>
        <w:numId w:val="61"/>
      </w:numPr>
    </w:pPr>
  </w:style>
  <w:style w:type="paragraph" w:customStyle="1" w:styleId="Tiret2">
    <w:name w:val="Tiret 2"/>
    <w:basedOn w:val="Point2"/>
    <w:pPr>
      <w:numPr>
        <w:numId w:val="62"/>
      </w:numPr>
    </w:pPr>
  </w:style>
  <w:style w:type="paragraph" w:customStyle="1" w:styleId="Tiret3">
    <w:name w:val="Tiret 3"/>
    <w:basedOn w:val="Point3"/>
    <w:pPr>
      <w:numPr>
        <w:numId w:val="63"/>
      </w:numPr>
    </w:pPr>
  </w:style>
  <w:style w:type="paragraph" w:customStyle="1" w:styleId="Tiret4">
    <w:name w:val="Tiret 4"/>
    <w:basedOn w:val="Point4"/>
    <w:pPr>
      <w:numPr>
        <w:numId w:val="6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5"/>
      </w:numPr>
    </w:pPr>
  </w:style>
  <w:style w:type="paragraph" w:customStyle="1" w:styleId="NumPar2">
    <w:name w:val="NumPar 2"/>
    <w:basedOn w:val="Normal"/>
    <w:next w:val="Text1"/>
    <w:pPr>
      <w:numPr>
        <w:ilvl w:val="1"/>
        <w:numId w:val="65"/>
      </w:numPr>
    </w:pPr>
  </w:style>
  <w:style w:type="paragraph" w:customStyle="1" w:styleId="NumPar3">
    <w:name w:val="NumPar 3"/>
    <w:basedOn w:val="Normal"/>
    <w:next w:val="Text1"/>
    <w:pPr>
      <w:numPr>
        <w:ilvl w:val="2"/>
        <w:numId w:val="65"/>
      </w:numPr>
    </w:pPr>
  </w:style>
  <w:style w:type="paragraph" w:customStyle="1" w:styleId="NumPar4">
    <w:name w:val="NumPar 4"/>
    <w:basedOn w:val="Normal"/>
    <w:next w:val="Text1"/>
    <w:pPr>
      <w:numPr>
        <w:ilvl w:val="3"/>
        <w:numId w:val="6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7"/>
      </w:numPr>
    </w:pPr>
  </w:style>
  <w:style w:type="paragraph" w:customStyle="1" w:styleId="Point1number">
    <w:name w:val="Point 1 (number)"/>
    <w:basedOn w:val="Normal"/>
    <w:pPr>
      <w:numPr>
        <w:ilvl w:val="2"/>
        <w:numId w:val="67"/>
      </w:numPr>
    </w:pPr>
  </w:style>
  <w:style w:type="paragraph" w:customStyle="1" w:styleId="Point2number">
    <w:name w:val="Point 2 (number)"/>
    <w:basedOn w:val="Normal"/>
    <w:pPr>
      <w:numPr>
        <w:ilvl w:val="4"/>
        <w:numId w:val="67"/>
      </w:numPr>
    </w:pPr>
  </w:style>
  <w:style w:type="paragraph" w:customStyle="1" w:styleId="Point3number">
    <w:name w:val="Point 3 (number)"/>
    <w:basedOn w:val="Normal"/>
    <w:pPr>
      <w:numPr>
        <w:ilvl w:val="6"/>
        <w:numId w:val="67"/>
      </w:numPr>
    </w:pPr>
  </w:style>
  <w:style w:type="paragraph" w:customStyle="1" w:styleId="Point0letter">
    <w:name w:val="Point 0 (letter)"/>
    <w:basedOn w:val="Normal"/>
    <w:pPr>
      <w:numPr>
        <w:ilvl w:val="1"/>
        <w:numId w:val="67"/>
      </w:numPr>
    </w:pPr>
  </w:style>
  <w:style w:type="paragraph" w:customStyle="1" w:styleId="Point1letter">
    <w:name w:val="Point 1 (letter)"/>
    <w:basedOn w:val="Normal"/>
    <w:pPr>
      <w:numPr>
        <w:ilvl w:val="3"/>
        <w:numId w:val="67"/>
      </w:numPr>
    </w:pPr>
  </w:style>
  <w:style w:type="paragraph" w:customStyle="1" w:styleId="Point2letter">
    <w:name w:val="Point 2 (letter)"/>
    <w:basedOn w:val="Normal"/>
    <w:pPr>
      <w:numPr>
        <w:ilvl w:val="5"/>
        <w:numId w:val="67"/>
      </w:numPr>
    </w:pPr>
  </w:style>
  <w:style w:type="paragraph" w:customStyle="1" w:styleId="Point3letter">
    <w:name w:val="Point 3 (letter)"/>
    <w:basedOn w:val="Normal"/>
    <w:pPr>
      <w:numPr>
        <w:ilvl w:val="7"/>
        <w:numId w:val="67"/>
      </w:numPr>
    </w:pPr>
  </w:style>
  <w:style w:type="paragraph" w:customStyle="1" w:styleId="Point4letter">
    <w:name w:val="Point 4 (letter)"/>
    <w:basedOn w:val="Normal"/>
    <w:pPr>
      <w:numPr>
        <w:ilvl w:val="8"/>
        <w:numId w:val="67"/>
      </w:numPr>
    </w:pPr>
  </w:style>
  <w:style w:type="paragraph" w:customStyle="1" w:styleId="Bullet0">
    <w:name w:val="Bullet 0"/>
    <w:basedOn w:val="Normal"/>
    <w:pPr>
      <w:numPr>
        <w:numId w:val="68"/>
      </w:numPr>
    </w:pPr>
  </w:style>
  <w:style w:type="paragraph" w:customStyle="1" w:styleId="Bullet1">
    <w:name w:val="Bullet 1"/>
    <w:basedOn w:val="Normal"/>
    <w:pPr>
      <w:numPr>
        <w:numId w:val="69"/>
      </w:numPr>
    </w:pPr>
  </w:style>
  <w:style w:type="paragraph" w:customStyle="1" w:styleId="Bullet2">
    <w:name w:val="Bullet 2"/>
    <w:basedOn w:val="Normal"/>
    <w:pPr>
      <w:numPr>
        <w:numId w:val="70"/>
      </w:numPr>
    </w:pPr>
  </w:style>
  <w:style w:type="paragraph" w:customStyle="1" w:styleId="Bullet3">
    <w:name w:val="Bullet 3"/>
    <w:basedOn w:val="Normal"/>
    <w:pPr>
      <w:numPr>
        <w:numId w:val="71"/>
      </w:numPr>
    </w:pPr>
  </w:style>
  <w:style w:type="paragraph" w:customStyle="1" w:styleId="Bullet4">
    <w:name w:val="Bullet 4"/>
    <w:basedOn w:val="Normal"/>
    <w:pPr>
      <w:numPr>
        <w:numId w:val="7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Kopf-undFuzeilen">
    <w:name w:val="Kopf- und Fußzeilen"/>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Text">
    <w:name w:val="Text"/>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Hyperlink0">
    <w:name w:val="Hyperlink.0"/>
    <w:basedOn w:val="Hyperlink"/>
    <w:rPr>
      <w:color w:val="0000FF"/>
      <w:u w:val="single" w:color="0000FF"/>
    </w:rPr>
  </w:style>
  <w:style w:type="numbering" w:customStyle="1" w:styleId="ImportierterStil2">
    <w:name w:val="Importierter Stil: 2"/>
    <w:pPr>
      <w:numPr>
        <w:numId w:val="6"/>
      </w:numPr>
    </w:pPr>
  </w:style>
  <w:style w:type="numbering" w:customStyle="1" w:styleId="ImportierterStil3">
    <w:name w:val="Importierter Stil: 3"/>
    <w:pPr>
      <w:numPr>
        <w:numId w:val="7"/>
      </w:numPr>
    </w:pPr>
  </w:style>
  <w:style w:type="numbering" w:customStyle="1" w:styleId="ImportierterStil4">
    <w:name w:val="Importierter Stil: 4"/>
    <w:pPr>
      <w:numPr>
        <w:numId w:val="8"/>
      </w:numPr>
    </w:pPr>
  </w:style>
  <w:style w:type="paragraph" w:customStyle="1" w:styleId="TitrearticleA">
    <w:name w:val="Titre article A"/>
    <w:next w:val="Text"/>
    <w:pPr>
      <w:keepNext/>
      <w:pBdr>
        <w:top w:val="nil"/>
        <w:left w:val="nil"/>
        <w:bottom w:val="nil"/>
        <w:right w:val="nil"/>
        <w:between w:val="nil"/>
        <w:bar w:val="nil"/>
      </w:pBdr>
      <w:spacing w:before="360" w:after="120" w:line="240" w:lineRule="auto"/>
      <w:jc w:val="center"/>
    </w:pPr>
    <w:rPr>
      <w:rFonts w:ascii="Times New Roman" w:eastAsia="Arial Unicode MS" w:hAnsi="Times New Roman" w:cs="Arial Unicode MS"/>
      <w:i/>
      <w:iCs/>
      <w:color w:val="000000"/>
      <w:sz w:val="24"/>
      <w:szCs w:val="24"/>
      <w:u w:color="000000"/>
      <w:bdr w:val="nil"/>
    </w:rPr>
  </w:style>
  <w:style w:type="numbering" w:customStyle="1" w:styleId="ImportierterStil5">
    <w:name w:val="Importierter Stil: 5"/>
    <w:pPr>
      <w:numPr>
        <w:numId w:val="10"/>
      </w:numPr>
    </w:pPr>
  </w:style>
  <w:style w:type="numbering" w:customStyle="1" w:styleId="ImportierterStil6">
    <w:name w:val="Importierter Stil: 6"/>
    <w:pPr>
      <w:numPr>
        <w:numId w:val="11"/>
      </w:numPr>
    </w:pPr>
  </w:style>
  <w:style w:type="numbering" w:customStyle="1" w:styleId="ImportierterStil7">
    <w:name w:val="Importierter Stil: 7"/>
    <w:pPr>
      <w:numPr>
        <w:numId w:val="25"/>
      </w:numPr>
    </w:pPr>
  </w:style>
  <w:style w:type="paragraph" w:customStyle="1" w:styleId="TitrearticleB">
    <w:name w:val="Titre article B"/>
    <w:next w:val="Text"/>
    <w:pPr>
      <w:keepNext/>
      <w:pBdr>
        <w:top w:val="nil"/>
        <w:left w:val="nil"/>
        <w:bottom w:val="nil"/>
        <w:right w:val="nil"/>
        <w:between w:val="nil"/>
        <w:bar w:val="nil"/>
      </w:pBdr>
      <w:spacing w:before="360" w:after="120" w:line="240" w:lineRule="auto"/>
      <w:jc w:val="center"/>
    </w:pPr>
    <w:rPr>
      <w:rFonts w:ascii="Times New Roman" w:eastAsia="Arial Unicode MS" w:hAnsi="Times New Roman" w:cs="Arial Unicode MS"/>
      <w:i/>
      <w:iCs/>
      <w:color w:val="000000"/>
      <w:sz w:val="24"/>
      <w:szCs w:val="24"/>
      <w:u w:color="000000"/>
      <w:bdr w:val="nil"/>
    </w:rPr>
  </w:style>
  <w:style w:type="paragraph" w:customStyle="1" w:styleId="TitrearticleC">
    <w:name w:val="Titre article C"/>
    <w:next w:val="Text"/>
    <w:pPr>
      <w:keepNext/>
      <w:pBdr>
        <w:top w:val="nil"/>
        <w:left w:val="nil"/>
        <w:bottom w:val="nil"/>
        <w:right w:val="nil"/>
        <w:between w:val="nil"/>
        <w:bar w:val="nil"/>
      </w:pBdr>
      <w:spacing w:before="360" w:after="120" w:line="240" w:lineRule="auto"/>
      <w:jc w:val="center"/>
    </w:pPr>
    <w:rPr>
      <w:rFonts w:ascii="Times New Roman" w:eastAsia="Arial Unicode MS" w:hAnsi="Times New Roman" w:cs="Arial Unicode MS"/>
      <w:i/>
      <w:iCs/>
      <w:color w:val="000000"/>
      <w:sz w:val="24"/>
      <w:szCs w:val="24"/>
      <w:u w:color="000000"/>
      <w:bdr w:val="nil"/>
    </w:rPr>
  </w:style>
  <w:style w:type="paragraph" w:customStyle="1" w:styleId="TitrearticleD">
    <w:name w:val="Titre article D"/>
    <w:next w:val="Text"/>
    <w:pPr>
      <w:keepNext/>
      <w:pBdr>
        <w:top w:val="nil"/>
        <w:left w:val="nil"/>
        <w:bottom w:val="nil"/>
        <w:right w:val="nil"/>
        <w:between w:val="nil"/>
        <w:bar w:val="nil"/>
      </w:pBdr>
      <w:spacing w:before="360" w:after="120" w:line="240" w:lineRule="auto"/>
      <w:jc w:val="center"/>
    </w:pPr>
    <w:rPr>
      <w:rFonts w:ascii="Times New Roman" w:eastAsia="Arial Unicode MS" w:hAnsi="Times New Roman" w:cs="Arial Unicode MS"/>
      <w:i/>
      <w:iCs/>
      <w:color w:val="000000"/>
      <w:sz w:val="24"/>
      <w:szCs w:val="24"/>
      <w:u w:color="000000"/>
      <w:bdr w:val="nil"/>
    </w:rPr>
  </w:style>
  <w:style w:type="paragraph" w:customStyle="1" w:styleId="berschrift">
    <w:name w:val="Überschrift"/>
    <w:next w:val="Text1"/>
    <w:pPr>
      <w:keepNext/>
      <w:pBdr>
        <w:top w:val="nil"/>
        <w:left w:val="nil"/>
        <w:bottom w:val="nil"/>
        <w:right w:val="nil"/>
        <w:between w:val="nil"/>
        <w:bar w:val="nil"/>
      </w:pBdr>
      <w:tabs>
        <w:tab w:val="left" w:pos="850"/>
      </w:tabs>
      <w:spacing w:before="360" w:after="12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ierterStil1">
    <w:name w:val="Importierter Stil: 1"/>
    <w:pPr>
      <w:numPr>
        <w:numId w:val="43"/>
      </w:numPr>
    </w:pPr>
  </w:style>
  <w:style w:type="paragraph" w:customStyle="1" w:styleId="berschrift2">
    <w:name w:val="Überschrift 2"/>
    <w:next w:val="Text1"/>
    <w:pPr>
      <w:keepNext/>
      <w:pBdr>
        <w:top w:val="nil"/>
        <w:left w:val="nil"/>
        <w:bottom w:val="nil"/>
        <w:right w:val="nil"/>
        <w:between w:val="nil"/>
        <w:bar w:val="nil"/>
      </w:pBdr>
      <w:tabs>
        <w:tab w:val="left" w:pos="850"/>
      </w:tabs>
      <w:spacing w:before="120" w:after="120" w:line="240" w:lineRule="auto"/>
      <w:jc w:val="both"/>
      <w:outlineLvl w:val="1"/>
    </w:pPr>
    <w:rPr>
      <w:rFonts w:ascii="Times New Roman" w:eastAsia="Arial Unicode MS" w:hAnsi="Times New Roman" w:cs="Arial Unicode MS"/>
      <w:b/>
      <w:bCs/>
      <w:color w:val="000000"/>
      <w:sz w:val="24"/>
      <w:szCs w:val="24"/>
      <w:u w:color="000000"/>
      <w:bdr w:val="nil"/>
    </w:rPr>
  </w:style>
  <w:style w:type="paragraph" w:customStyle="1" w:styleId="berschrift3">
    <w:name w:val="Überschrift 3"/>
    <w:next w:val="Text1"/>
    <w:pPr>
      <w:keepNext/>
      <w:pBdr>
        <w:top w:val="nil"/>
        <w:left w:val="nil"/>
        <w:bottom w:val="nil"/>
        <w:right w:val="nil"/>
        <w:between w:val="nil"/>
        <w:bar w:val="nil"/>
      </w:pBdr>
      <w:tabs>
        <w:tab w:val="left" w:pos="850"/>
      </w:tabs>
      <w:spacing w:before="120" w:after="120" w:line="240" w:lineRule="auto"/>
      <w:jc w:val="both"/>
      <w:outlineLvl w:val="2"/>
    </w:pPr>
    <w:rPr>
      <w:rFonts w:ascii="Times New Roman" w:eastAsia="Arial Unicode MS" w:hAnsi="Times New Roman" w:cs="Arial Unicode MS"/>
      <w:i/>
      <w:iCs/>
      <w:color w:val="000000"/>
      <w:sz w:val="24"/>
      <w:szCs w:val="24"/>
      <w:u w:color="000000"/>
      <w:bdr w:val="nil"/>
    </w:rPr>
  </w:style>
  <w:style w:type="numbering" w:customStyle="1" w:styleId="ImportierterStil8">
    <w:name w:val="Importierter Stil: 8"/>
    <w:pPr>
      <w:numPr>
        <w:numId w:val="45"/>
      </w:numPr>
    </w:pPr>
  </w:style>
  <w:style w:type="numbering" w:customStyle="1" w:styleId="ImportierterStil9">
    <w:name w:val="Importierter Stil: 9"/>
    <w:pPr>
      <w:numPr>
        <w:numId w:val="46"/>
      </w:numPr>
    </w:pPr>
  </w:style>
  <w:style w:type="numbering" w:customStyle="1" w:styleId="ImportierterStil10">
    <w:name w:val="Importierter Stil: 10"/>
    <w:pPr>
      <w:numPr>
        <w:numId w:val="48"/>
      </w:numPr>
    </w:pPr>
  </w:style>
  <w:style w:type="paragraph" w:styleId="BalloonText">
    <w:name w:val="Balloon Text"/>
    <w:basedOn w:val="Normal"/>
    <w:link w:val="BalloonTextChar"/>
    <w:uiPriority w:val="99"/>
    <w:semiHidden/>
    <w:unhideWhenUsed/>
    <w:pPr>
      <w:pBdr>
        <w:top w:val="nil"/>
        <w:left w:val="nil"/>
        <w:bottom w:val="nil"/>
        <w:right w:val="nil"/>
        <w:between w:val="nil"/>
        <w:bar w:val="nil"/>
      </w:pBdr>
      <w:spacing w:before="0" w:after="0"/>
      <w:jc w:val="left"/>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before="0" w:after="0"/>
      <w:jc w:val="left"/>
    </w:pPr>
    <w:rPr>
      <w:rFonts w:eastAsia="Arial Unicode MS"/>
      <w:sz w:val="20"/>
      <w:szCs w:val="20"/>
      <w:bdr w:val="nil"/>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sz w:val="20"/>
      <w:szCs w:val="2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52"/>
      </w:numPr>
      <w:contextualSpacing/>
    </w:pPr>
  </w:style>
  <w:style w:type="paragraph" w:styleId="ListBullet3">
    <w:name w:val="List Bullet 3"/>
    <w:basedOn w:val="Normal"/>
    <w:uiPriority w:val="99"/>
    <w:semiHidden/>
    <w:unhideWhenUsed/>
    <w:pPr>
      <w:numPr>
        <w:numId w:val="53"/>
      </w:numPr>
      <w:contextualSpacing/>
    </w:pPr>
  </w:style>
  <w:style w:type="paragraph" w:styleId="ListBullet4">
    <w:name w:val="List Bullet 4"/>
    <w:basedOn w:val="Normal"/>
    <w:uiPriority w:val="99"/>
    <w:semiHidden/>
    <w:unhideWhenUsed/>
    <w:pPr>
      <w:numPr>
        <w:numId w:val="54"/>
      </w:numPr>
      <w:contextualSpacing/>
    </w:pPr>
  </w:style>
  <w:style w:type="paragraph" w:styleId="ListNumber2">
    <w:name w:val="List Number 2"/>
    <w:basedOn w:val="Normal"/>
    <w:uiPriority w:val="99"/>
    <w:semiHidden/>
    <w:unhideWhenUsed/>
    <w:pPr>
      <w:numPr>
        <w:numId w:val="55"/>
      </w:numPr>
      <w:contextualSpacing/>
    </w:pPr>
  </w:style>
  <w:style w:type="paragraph" w:styleId="ListNumber3">
    <w:name w:val="List Number 3"/>
    <w:basedOn w:val="Normal"/>
    <w:uiPriority w:val="99"/>
    <w:semiHidden/>
    <w:unhideWhenUsed/>
    <w:pPr>
      <w:numPr>
        <w:numId w:val="56"/>
      </w:numPr>
      <w:contextualSpacing/>
    </w:pPr>
  </w:style>
  <w:style w:type="paragraph" w:styleId="ListNumber4">
    <w:name w:val="List Number 4"/>
    <w:basedOn w:val="Normal"/>
    <w:uiPriority w:val="99"/>
    <w:semiHidden/>
    <w:unhideWhenUsed/>
    <w:pPr>
      <w:numPr>
        <w:numId w:val="57"/>
      </w:numPr>
      <w:contextualSpacing/>
    </w:pPr>
  </w:style>
  <w:style w:type="paragraph" w:styleId="NormalIndent">
    <w:name w:val="Normal Indent"/>
    <w:basedOn w:val="Normal"/>
    <w:uiPriority w:val="99"/>
    <w:unhideWhenUsed/>
    <w:pPr>
      <w:ind w:left="720"/>
    </w:pPr>
  </w:style>
  <w:style w:type="paragraph" w:customStyle="1" w:styleId="Noraml">
    <w:name w:val="Noraml"/>
    <w:basedOn w:val="Text"/>
    <w:rPr>
      <w:rFonts w:eastAsia="Arial Unicode MS"/>
      <w:color w:val="auto"/>
      <w:sz w:val="20"/>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0"/>
      </w:numPr>
    </w:pPr>
  </w:style>
  <w:style w:type="paragraph" w:customStyle="1" w:styleId="Tiret1">
    <w:name w:val="Tiret 1"/>
    <w:basedOn w:val="Point1"/>
    <w:pPr>
      <w:numPr>
        <w:numId w:val="61"/>
      </w:numPr>
    </w:pPr>
  </w:style>
  <w:style w:type="paragraph" w:customStyle="1" w:styleId="Tiret2">
    <w:name w:val="Tiret 2"/>
    <w:basedOn w:val="Point2"/>
    <w:pPr>
      <w:numPr>
        <w:numId w:val="62"/>
      </w:numPr>
    </w:pPr>
  </w:style>
  <w:style w:type="paragraph" w:customStyle="1" w:styleId="Tiret3">
    <w:name w:val="Tiret 3"/>
    <w:basedOn w:val="Point3"/>
    <w:pPr>
      <w:numPr>
        <w:numId w:val="63"/>
      </w:numPr>
    </w:pPr>
  </w:style>
  <w:style w:type="paragraph" w:customStyle="1" w:styleId="Tiret4">
    <w:name w:val="Tiret 4"/>
    <w:basedOn w:val="Point4"/>
    <w:pPr>
      <w:numPr>
        <w:numId w:val="6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5"/>
      </w:numPr>
    </w:pPr>
  </w:style>
  <w:style w:type="paragraph" w:customStyle="1" w:styleId="NumPar2">
    <w:name w:val="NumPar 2"/>
    <w:basedOn w:val="Normal"/>
    <w:next w:val="Text1"/>
    <w:pPr>
      <w:numPr>
        <w:ilvl w:val="1"/>
        <w:numId w:val="65"/>
      </w:numPr>
    </w:pPr>
  </w:style>
  <w:style w:type="paragraph" w:customStyle="1" w:styleId="NumPar3">
    <w:name w:val="NumPar 3"/>
    <w:basedOn w:val="Normal"/>
    <w:next w:val="Text1"/>
    <w:pPr>
      <w:numPr>
        <w:ilvl w:val="2"/>
        <w:numId w:val="65"/>
      </w:numPr>
    </w:pPr>
  </w:style>
  <w:style w:type="paragraph" w:customStyle="1" w:styleId="NumPar4">
    <w:name w:val="NumPar 4"/>
    <w:basedOn w:val="Normal"/>
    <w:next w:val="Text1"/>
    <w:pPr>
      <w:numPr>
        <w:ilvl w:val="3"/>
        <w:numId w:val="6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7"/>
      </w:numPr>
    </w:pPr>
  </w:style>
  <w:style w:type="paragraph" w:customStyle="1" w:styleId="Point1number">
    <w:name w:val="Point 1 (number)"/>
    <w:basedOn w:val="Normal"/>
    <w:pPr>
      <w:numPr>
        <w:ilvl w:val="2"/>
        <w:numId w:val="67"/>
      </w:numPr>
    </w:pPr>
  </w:style>
  <w:style w:type="paragraph" w:customStyle="1" w:styleId="Point2number">
    <w:name w:val="Point 2 (number)"/>
    <w:basedOn w:val="Normal"/>
    <w:pPr>
      <w:numPr>
        <w:ilvl w:val="4"/>
        <w:numId w:val="67"/>
      </w:numPr>
    </w:pPr>
  </w:style>
  <w:style w:type="paragraph" w:customStyle="1" w:styleId="Point3number">
    <w:name w:val="Point 3 (number)"/>
    <w:basedOn w:val="Normal"/>
    <w:pPr>
      <w:numPr>
        <w:ilvl w:val="6"/>
        <w:numId w:val="67"/>
      </w:numPr>
    </w:pPr>
  </w:style>
  <w:style w:type="paragraph" w:customStyle="1" w:styleId="Point0letter">
    <w:name w:val="Point 0 (letter)"/>
    <w:basedOn w:val="Normal"/>
    <w:pPr>
      <w:numPr>
        <w:ilvl w:val="1"/>
        <w:numId w:val="67"/>
      </w:numPr>
    </w:pPr>
  </w:style>
  <w:style w:type="paragraph" w:customStyle="1" w:styleId="Point1letter">
    <w:name w:val="Point 1 (letter)"/>
    <w:basedOn w:val="Normal"/>
    <w:pPr>
      <w:numPr>
        <w:ilvl w:val="3"/>
        <w:numId w:val="67"/>
      </w:numPr>
    </w:pPr>
  </w:style>
  <w:style w:type="paragraph" w:customStyle="1" w:styleId="Point2letter">
    <w:name w:val="Point 2 (letter)"/>
    <w:basedOn w:val="Normal"/>
    <w:pPr>
      <w:numPr>
        <w:ilvl w:val="5"/>
        <w:numId w:val="67"/>
      </w:numPr>
    </w:pPr>
  </w:style>
  <w:style w:type="paragraph" w:customStyle="1" w:styleId="Point3letter">
    <w:name w:val="Point 3 (letter)"/>
    <w:basedOn w:val="Normal"/>
    <w:pPr>
      <w:numPr>
        <w:ilvl w:val="7"/>
        <w:numId w:val="67"/>
      </w:numPr>
    </w:pPr>
  </w:style>
  <w:style w:type="paragraph" w:customStyle="1" w:styleId="Point4letter">
    <w:name w:val="Point 4 (letter)"/>
    <w:basedOn w:val="Normal"/>
    <w:pPr>
      <w:numPr>
        <w:ilvl w:val="8"/>
        <w:numId w:val="67"/>
      </w:numPr>
    </w:pPr>
  </w:style>
  <w:style w:type="paragraph" w:customStyle="1" w:styleId="Bullet0">
    <w:name w:val="Bullet 0"/>
    <w:basedOn w:val="Normal"/>
    <w:pPr>
      <w:numPr>
        <w:numId w:val="68"/>
      </w:numPr>
    </w:pPr>
  </w:style>
  <w:style w:type="paragraph" w:customStyle="1" w:styleId="Bullet1">
    <w:name w:val="Bullet 1"/>
    <w:basedOn w:val="Normal"/>
    <w:pPr>
      <w:numPr>
        <w:numId w:val="69"/>
      </w:numPr>
    </w:pPr>
  </w:style>
  <w:style w:type="paragraph" w:customStyle="1" w:styleId="Bullet2">
    <w:name w:val="Bullet 2"/>
    <w:basedOn w:val="Normal"/>
    <w:pPr>
      <w:numPr>
        <w:numId w:val="70"/>
      </w:numPr>
    </w:pPr>
  </w:style>
  <w:style w:type="paragraph" w:customStyle="1" w:styleId="Bullet3">
    <w:name w:val="Bullet 3"/>
    <w:basedOn w:val="Normal"/>
    <w:pPr>
      <w:numPr>
        <w:numId w:val="71"/>
      </w:numPr>
    </w:pPr>
  </w:style>
  <w:style w:type="paragraph" w:customStyle="1" w:styleId="Bullet4">
    <w:name w:val="Bullet 4"/>
    <w:basedOn w:val="Normal"/>
    <w:pPr>
      <w:numPr>
        <w:numId w:val="7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myintracomm.ec.europa.eu/budgweb/EN/bud/mff/Pages/mff-post-2020.aspx" TargetMode="Externa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c.europa.eu/programmes/erasmus-plus/resources/documents.evaluations_sk" TargetMode="External"/><Relationship Id="rId1" Type="http://schemas.openxmlformats.org/officeDocument/2006/relationships/hyperlink" Target="http://www.consilium.europa.eu/en/press/press-releases/2017/03/25-rome-decla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9F1A-5952-4005-9A0A-387CDDCC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47</Pages>
  <Words>16772</Words>
  <Characters>104326</Characters>
  <Application>Microsoft Office Word</Application>
  <DocSecurity>0</DocSecurity>
  <Lines>2219</Lines>
  <Paragraphs>1081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2018-05-31T17:53:00Z</cp:lastPrinted>
  <dcterms:created xsi:type="dcterms:W3CDTF">2018-06-13T14:35:00Z</dcterms:created>
  <dcterms:modified xsi:type="dcterms:W3CDTF">2018-06-14T07:26:00Z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