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12F959D-2D60-47FB-A92B-1CD628C3B9AC" style="width:450.75pt;height:420.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tabs>
          <w:tab w:val="left" w:pos="6510"/>
          <w:tab w:val="center" w:pos="6979"/>
        </w:tabs>
        <w:jc w:val="center"/>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ΠΑΡΑΡΤΗΜΑ I</w:t>
      </w:r>
    </w:p>
    <w:p>
      <w:pPr>
        <w:tabs>
          <w:tab w:val="left" w:pos="6510"/>
          <w:tab w:val="center" w:pos="6979"/>
        </w:tabs>
        <w:jc w:val="center"/>
        <w:rPr>
          <w:rFonts w:ascii="Times New Roman" w:hAnsi="Times New Roman" w:cs="Times New Roman"/>
          <w:noProof/>
          <w:sz w:val="24"/>
          <w:szCs w:val="24"/>
        </w:rPr>
      </w:pPr>
      <w:r>
        <w:rPr>
          <w:rFonts w:ascii="Times New Roman" w:hAnsi="Times New Roman"/>
          <w:noProof/>
          <w:sz w:val="24"/>
        </w:rPr>
        <w:t>Τα ακόλουθα παραρτήματα III και IV προστίθενται στον κανονισμό (ΕΚ) αριθ. 1224/2009</w:t>
      </w:r>
    </w:p>
    <w:p>
      <w:pPr>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b/>
          <w:noProof/>
          <w:sz w:val="24"/>
        </w:rPr>
        <w:t>ΠΑΡΑΡΤΗΜΑ III</w:t>
      </w:r>
    </w:p>
    <w:p>
      <w:pPr>
        <w:jc w:val="center"/>
        <w:rPr>
          <w:rFonts w:ascii="Times New Roman" w:hAnsi="Times New Roman" w:cs="Times New Roman"/>
          <w:noProof/>
          <w:sz w:val="24"/>
          <w:szCs w:val="24"/>
        </w:rPr>
      </w:pPr>
      <w:r>
        <w:rPr>
          <w:rFonts w:ascii="Times New Roman" w:hAnsi="Times New Roman"/>
          <w:noProof/>
          <w:sz w:val="24"/>
        </w:rPr>
        <w:t>ΜΟΡΙΑ ΠΟΥ ΚΑΤΑΛΟΓΙΖΟΝΤΑΙ ΣΕ ΚΑΤΟΧΟΥΣ ΑΛΙΕΥΤΙΚΩΝ ΑΔΕΙΩΝ ΤΗΣ ΕΝΩΣΗΣ Ή ΣΕ ΠΛΟΙΑΡΧΟΥΣ ΤΗΣ ΕΝΩΣΗΣ ΓΙΑ ΣΟΒΑΡΕΣ ΠΑΡΑΒΑΣΕΙΣ</w:t>
      </w:r>
    </w:p>
    <w:tbl>
      <w:tblPr>
        <w:tblStyle w:val="TableGrid"/>
        <w:tblW w:w="5000" w:type="pct"/>
        <w:tblLook w:val="04A0" w:firstRow="1" w:lastRow="0" w:firstColumn="1" w:lastColumn="0" w:noHBand="0" w:noVBand="1"/>
      </w:tblPr>
      <w:tblGrid>
        <w:gridCol w:w="3259"/>
        <w:gridCol w:w="8233"/>
        <w:gridCol w:w="3295"/>
      </w:tblGrid>
      <w:tr>
        <w:trPr>
          <w:trHeight w:val="143"/>
          <w:tblHeader/>
        </w:trPr>
        <w:tc>
          <w:tcPr>
            <w:tcW w:w="1102" w:type="pct"/>
          </w:tcPr>
          <w:p>
            <w:pPr>
              <w:jc w:val="center"/>
              <w:rPr>
                <w:rFonts w:ascii="Times New Roman" w:hAnsi="Times New Roman" w:cs="Times New Roman"/>
                <w:noProof/>
                <w:sz w:val="24"/>
                <w:szCs w:val="24"/>
              </w:rPr>
            </w:pPr>
            <w:r>
              <w:rPr>
                <w:rFonts w:ascii="Times New Roman" w:hAnsi="Times New Roman"/>
                <w:noProof/>
                <w:sz w:val="24"/>
              </w:rPr>
              <w:t>Αριθ.</w:t>
            </w:r>
          </w:p>
        </w:tc>
        <w:tc>
          <w:tcPr>
            <w:tcW w:w="2784" w:type="pct"/>
          </w:tcPr>
          <w:p>
            <w:pPr>
              <w:autoSpaceDE w:val="0"/>
              <w:autoSpaceDN w:val="0"/>
              <w:adjustRightInd w:val="0"/>
              <w:spacing w:before="60" w:after="60"/>
              <w:jc w:val="center"/>
              <w:rPr>
                <w:rFonts w:ascii="Times New Roman" w:hAnsi="Times New Roman" w:cs="Times New Roman"/>
                <w:noProof/>
                <w:color w:val="000000"/>
                <w:sz w:val="24"/>
                <w:szCs w:val="24"/>
              </w:rPr>
            </w:pPr>
            <w:r>
              <w:rPr>
                <w:rFonts w:ascii="Times New Roman" w:hAnsi="Times New Roman"/>
                <w:noProof/>
                <w:color w:val="000000"/>
                <w:sz w:val="24"/>
              </w:rPr>
              <w:t>Σοβαρή παράβαση</w:t>
            </w:r>
          </w:p>
        </w:tc>
        <w:tc>
          <w:tcPr>
            <w:tcW w:w="1114" w:type="pct"/>
          </w:tcPr>
          <w:p>
            <w:pPr>
              <w:jc w:val="center"/>
              <w:rPr>
                <w:rFonts w:ascii="Times New Roman" w:hAnsi="Times New Roman" w:cs="Times New Roman"/>
                <w:noProof/>
                <w:sz w:val="24"/>
                <w:szCs w:val="24"/>
              </w:rPr>
            </w:pPr>
            <w:r>
              <w:rPr>
                <w:rFonts w:ascii="Times New Roman" w:hAnsi="Times New Roman"/>
                <w:noProof/>
                <w:sz w:val="24"/>
              </w:rPr>
              <w:t>μόρια</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w:t>
            </w:r>
          </w:p>
          <w:p>
            <w:pPr>
              <w:jc w:val="center"/>
              <w:rPr>
                <w:rFonts w:ascii="Times New Roman" w:hAnsi="Times New Roman" w:cs="Times New Roman"/>
                <w:noProof/>
                <w:sz w:val="24"/>
                <w:szCs w:val="24"/>
              </w:rPr>
            </w:pPr>
          </w:p>
        </w:tc>
        <w:tc>
          <w:tcPr>
            <w:tcW w:w="2784" w:type="pct"/>
            <w:vAlign w:val="center"/>
          </w:tcPr>
          <w:p>
            <w:pPr>
              <w:autoSpaceDE w:val="0"/>
              <w:autoSpaceDN w:val="0"/>
              <w:adjustRightInd w:val="0"/>
              <w:spacing w:before="60" w:after="60"/>
              <w:rPr>
                <w:rFonts w:ascii="Times New Roman" w:hAnsi="Times New Roman" w:cs="Times New Roman"/>
                <w:noProof/>
                <w:color w:val="000000"/>
                <w:sz w:val="24"/>
                <w:szCs w:val="24"/>
              </w:rPr>
            </w:pPr>
            <w:r>
              <w:rPr>
                <w:rFonts w:ascii="Times New Roman" w:hAnsi="Times New Roman"/>
                <w:noProof/>
                <w:sz w:val="24"/>
              </w:rPr>
              <w:t>Μη εκπλήρωση των υποχρεώσεων ακριβούς καταγραφής και αναφοράς των δεδομένων που αφορούν αλιευτικές δραστηριότητες, συμπεριλαμβανομένων των δεδομένων που πρέπει να διαβιβάζονται από το σύστημα παρακολούθησης σκαφών και των προαναγγελιών, όπως απαιτείται σύμφωνα με τους κανόνες της κοινής αλιευτικής πολιτικής.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3</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2</w:t>
            </w:r>
            <w:r>
              <w:rPr>
                <w:rFonts w:ascii="Times New Roman" w:hAnsi="Times New Roman"/>
                <w:noProof/>
                <w:sz w:val="24"/>
              </w:rPr>
              <w:t xml:space="preserve"> </w:t>
            </w:r>
          </w:p>
          <w:p>
            <w:pPr>
              <w:jc w:val="center"/>
              <w:rPr>
                <w:rFonts w:ascii="Times New Roman" w:hAnsi="Times New Roman" w:cs="Times New Roman"/>
                <w:noProof/>
                <w:color w:val="000000"/>
                <w:sz w:val="24"/>
                <w:szCs w:val="24"/>
              </w:rPr>
            </w:pPr>
          </w:p>
        </w:tc>
        <w:tc>
          <w:tcPr>
            <w:tcW w:w="2784" w:type="pct"/>
            <w:vAlign w:val="center"/>
          </w:tcPr>
          <w:p>
            <w:pPr>
              <w:autoSpaceDE w:val="0"/>
              <w:autoSpaceDN w:val="0"/>
              <w:adjustRightInd w:val="0"/>
              <w:spacing w:before="60" w:after="60"/>
              <w:rPr>
                <w:rFonts w:ascii="Times New Roman" w:hAnsi="Times New Roman" w:cs="Times New Roman"/>
                <w:bCs/>
                <w:noProof/>
                <w:color w:val="000000"/>
                <w:sz w:val="24"/>
                <w:szCs w:val="24"/>
              </w:rPr>
            </w:pPr>
            <w:r>
              <w:rPr>
                <w:rFonts w:ascii="Times New Roman" w:hAnsi="Times New Roman"/>
                <w:noProof/>
                <w:sz w:val="24"/>
              </w:rPr>
              <w:t>Μη υποβολή δήλωσης αλιευμάτων ή δήλωσης εκφόρτωσης στην τρίτη χώρα και μη αποστολή ηλεκτρονικού αντιγράφου αυτών στο κράτος μέλος σημαίας, όπως απαιτείται σύμφωνα με την παράγραφο 1 του άρθρου 30 του κανονισμού (ΕΕ) 2017/2403.</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3</w:t>
            </w:r>
          </w:p>
        </w:tc>
      </w:tr>
      <w:tr>
        <w:tc>
          <w:tcPr>
            <w:tcW w:w="1102"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3</w:t>
            </w:r>
          </w:p>
        </w:tc>
        <w:tc>
          <w:tcPr>
            <w:tcW w:w="2784" w:type="pct"/>
            <w:vAlign w:val="center"/>
          </w:tcPr>
          <w:p>
            <w:pPr>
              <w:jc w:val="both"/>
              <w:rPr>
                <w:rFonts w:ascii="Times New Roman" w:hAnsi="Times New Roman" w:cs="Times New Roman"/>
                <w:b/>
                <w:noProof/>
                <w:color w:val="FF0000"/>
                <w:sz w:val="24"/>
                <w:szCs w:val="24"/>
              </w:rPr>
            </w:pPr>
            <w:r>
              <w:rPr>
                <w:rFonts w:ascii="Times New Roman" w:hAnsi="Times New Roman"/>
                <w:noProof/>
                <w:sz w:val="24"/>
              </w:rPr>
              <w:t>Μη διαβίβαση δήλωσης εκφόρτωσης ή δελτίου πώλησης στο κράτος μέλος σημαίας όταν η εκφόρτωση των αλιευμάτων έχει πραγματοποιηθεί στον λιμένα τρίτης χώρας ή δήλωσης μεταφόρτωσης ή δήλωσης μεταβίβασης όταν η διαδικασία έχει πραγματοποιηθεί εκτός των ενωσιακών υδάτων.</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3</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4</w:t>
            </w:r>
          </w:p>
        </w:tc>
        <w:tc>
          <w:tcPr>
            <w:tcW w:w="2784" w:type="pct"/>
            <w:vAlign w:val="center"/>
          </w:tcPr>
          <w:p>
            <w:pPr>
              <w:autoSpaceDE w:val="0"/>
              <w:autoSpaceDN w:val="0"/>
              <w:adjustRightInd w:val="0"/>
              <w:spacing w:before="60" w:after="60"/>
              <w:rPr>
                <w:rFonts w:ascii="Times New Roman" w:hAnsi="Times New Roman" w:cs="Times New Roman"/>
                <w:bCs/>
                <w:noProof/>
                <w:color w:val="000000"/>
                <w:sz w:val="24"/>
                <w:szCs w:val="24"/>
              </w:rPr>
            </w:pPr>
            <w:r>
              <w:rPr>
                <w:rFonts w:ascii="Times New Roman" w:hAnsi="Times New Roman"/>
                <w:noProof/>
                <w:sz w:val="24"/>
              </w:rPr>
              <w:t>Χρήση μη συμμορφούμενου αλιευτικού εργαλείου.</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4</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c>
          <w:tcPr>
            <w:tcW w:w="2784" w:type="pct"/>
            <w:vAlign w:val="center"/>
          </w:tcPr>
          <w:p>
            <w:pPr>
              <w:autoSpaceDE w:val="0"/>
              <w:autoSpaceDN w:val="0"/>
              <w:adjustRightInd w:val="0"/>
              <w:spacing w:before="60" w:after="60"/>
              <w:rPr>
                <w:rFonts w:ascii="Times New Roman" w:hAnsi="Times New Roman" w:cs="Times New Roman"/>
                <w:noProof/>
                <w:color w:val="000000"/>
                <w:sz w:val="24"/>
                <w:szCs w:val="24"/>
              </w:rPr>
            </w:pPr>
            <w:r>
              <w:rPr>
                <w:rFonts w:ascii="Times New Roman" w:hAnsi="Times New Roman"/>
                <w:noProof/>
                <w:sz w:val="24"/>
              </w:rPr>
              <w:t>Μη εκπλήρωση υποχρεώσεων που αφορούν τη χρήση αλιευτικών εργαλείων, όπως ορίζονται στους κανόνες της κοινής αλιευτικής πολιτικής.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4</w:t>
            </w:r>
          </w:p>
        </w:tc>
      </w:tr>
      <w:tr>
        <w:tc>
          <w:tcPr>
            <w:tcW w:w="1102"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6</w:t>
            </w:r>
          </w:p>
          <w:p>
            <w:pPr>
              <w:jc w:val="center"/>
              <w:rPr>
                <w:rFonts w:ascii="Times New Roman" w:hAnsi="Times New Roman" w:cs="Times New Roman"/>
                <w:noProof/>
                <w:color w:val="000000"/>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Επέμβαση σε κινητήρα ή σε συσκευές συνεχούς παρακολούθησης της ισχύος κινητήρα με σκοπό την αύξηση της ισχύος του πέραν της μέγιστης συνεχούς ισχύος κινητήρα που προβλέπεται στο πιστοποιητικό κινητήρα.</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7</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color w:val="000000"/>
                <w:sz w:val="24"/>
                <w:szCs w:val="24"/>
              </w:rPr>
            </w:pPr>
            <w:r>
              <w:rPr>
                <w:rFonts w:ascii="Times New Roman" w:hAnsi="Times New Roman"/>
                <w:noProof/>
                <w:color w:val="000000"/>
                <w:sz w:val="24"/>
              </w:rPr>
              <w:t>Παραποίηση ή απόκρυψη των διακριτικών αλιευτικού σκάφους ή αλιευτικού εργαλείου, της ταυτότητας ή του νηολογίου ενός αλιευτικού σκάφους.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8</w:t>
            </w:r>
          </w:p>
          <w:p>
            <w:pPr>
              <w:jc w:val="center"/>
              <w:rPr>
                <w:rFonts w:ascii="Times New Roman" w:hAnsi="Times New Roman" w:cs="Times New Roman"/>
                <w:noProof/>
                <w:color w:val="000000"/>
                <w:sz w:val="24"/>
                <w:szCs w:val="24"/>
              </w:rPr>
            </w:pPr>
          </w:p>
        </w:tc>
        <w:tc>
          <w:tcPr>
            <w:tcW w:w="2784" w:type="pct"/>
            <w:vAlign w:val="center"/>
          </w:tcPr>
          <w:p>
            <w:pPr>
              <w:jc w:val="both"/>
              <w:rPr>
                <w:rFonts w:ascii="Times New Roman" w:hAnsi="Times New Roman" w:cs="Times New Roman"/>
                <w:bCs/>
                <w:noProof/>
                <w:color w:val="000000"/>
                <w:sz w:val="24"/>
                <w:szCs w:val="24"/>
              </w:rPr>
            </w:pPr>
            <w:r>
              <w:rPr>
                <w:rFonts w:ascii="Times New Roman" w:hAnsi="Times New Roman"/>
                <w:noProof/>
                <w:sz w:val="24"/>
              </w:rPr>
              <w:lastRenderedPageBreak/>
              <w:t xml:space="preserve">Παραποίηση εγγράφων, δεδομένων ή πληροφοριών ή χρήση παραποιημένων ή </w:t>
            </w:r>
            <w:r>
              <w:rPr>
                <w:rFonts w:ascii="Times New Roman" w:hAnsi="Times New Roman"/>
                <w:noProof/>
                <w:sz w:val="24"/>
              </w:rPr>
              <w:lastRenderedPageBreak/>
              <w:t xml:space="preserve">άκυρων εγγράφων, δεδομένων ή πληροφοριών που απαιτούνται σύμφωνα με τους κανόνες της κοινής αλιευτικής πολιτικής, συμπεριλαμβανομένων των εγγράφων, των δεδομένων και των πληροφοριών, όπως αναφέρονται στον κανονισμό (ΕΚ) αριθ. 1005/2008· </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lastRenderedPageBreak/>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lastRenderedPageBreak/>
              <w:t>9</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color w:val="000000"/>
                <w:sz w:val="24"/>
                <w:szCs w:val="24"/>
              </w:rPr>
            </w:pPr>
            <w:r>
              <w:rPr>
                <w:rFonts w:ascii="Times New Roman" w:hAnsi="Times New Roman"/>
                <w:noProof/>
                <w:color w:val="000000"/>
                <w:sz w:val="24"/>
              </w:rPr>
              <w:t>Παραποίηση, αλλοίωση ή εξαφάνιση αποδεικτικών στοιχείων που αφορούν έρευνα.</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10</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bCs/>
                <w:noProof/>
                <w:color w:val="000000"/>
                <w:sz w:val="24"/>
                <w:szCs w:val="24"/>
              </w:rPr>
            </w:pPr>
            <w:r>
              <w:rPr>
                <w:rFonts w:ascii="Times New Roman" w:hAnsi="Times New Roman"/>
                <w:noProof/>
                <w:sz w:val="24"/>
              </w:rPr>
              <w:t xml:space="preserve">Διάπραξη επανειλημένων </w:t>
            </w:r>
            <w:r>
              <w:rPr>
                <w:rFonts w:ascii="Times New Roman" w:hAnsi="Times New Roman"/>
                <w:noProof/>
                <w:color w:val="000000"/>
                <w:sz w:val="24"/>
              </w:rPr>
              <w:t>παραβάσεων</w:t>
            </w:r>
            <w:r>
              <w:rPr>
                <w:rFonts w:ascii="Times New Roman" w:hAnsi="Times New Roman"/>
                <w:noProof/>
                <w:sz w:val="24"/>
              </w:rPr>
              <w:t>, οι οποίες σωρευτικώς συνιστούν σοβαρή περιφρόνηση των μέτρων διατήρησης και διαχείρισης.</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11</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Παράλειψη ανάσυρσης, διατήρησης επί του αλιευτικού σκάφους και εκφόρτωσης, μεταξύ άλλων μέσω ολίσθησης, μεταφοράς και εκφόρτωσης τυχόν αλιευμάτων μεγέθους μικρότερου του κανονικού κατά παράβαση της ισχύουσας νομοθεσίας ή αλιευμάτων ειδών υπαγόμενων στην υποχρέωση εκφόρτωσης του άρθρου 15 του κανονισμού (ΕΕ) αριθ. 1380/2013, εκτός αν η ανάσυρση, η διατήρηση επί του σκάφους και η εκφόρτωση των αλιευμάτων αυτών θα ήταν αντίθετες προς τις υποχρεώσεις, μεταξύ άλλων για περιοχές διακανονισμού των περιφερειακών οργανώσεων αλιείας, ή θα υπάγονταν στις εξαιρέσεις που προβλέπουν οι κανόνες της κοινής αλιευτικής πολιτικής για τους τύπους αλιείας ή τις αλιευτικές ζώνες όπου εφαρμόζονται οι εν λόγω κανόνες.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12</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Διεξαγωγή αλιευτικών δραστηριοτήτων στην περιοχή περιφερειακής οργάνωσης διαχείρισης της αλιείας κατά τρόπο μη σύμφωνο με τα μέτρα διατήρησης και διαχείρισης της εν λόγω οργάνωσης ή κατά τρόπο που παραβαίνει τα μέτρα διατήρησης και διαχείρισης της εν λόγω οργάνωσης.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13</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Διεξαγωγή δραστηριοτήτων μεταβίβασης κατά παράβαση των κανόνων της κοινής αλιευτικής πολιτικής ή των εφαρμοστέων μέτρων διατήρησης και διαχείρισης που έχουν θεσπιστεί από περιφερειακές οργανώσεις διαχείρισης της αλιείας.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14</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Εκφόρτωση σε λιμένες τρίτων χωρών χωρίς προαναγγελία, όπως αναφέρεται στο άρθρο 19α του παρόντος κανονισμού· ή εκφόρτωση αλιευτικών προϊόντων που προέρχονται από δραστηριότητες ΠΛΑ αλιείας.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15</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Χρησιμοποίηση απαγορευμένων αλιευτικών εργαλείων.</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6</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16</w:t>
            </w:r>
          </w:p>
          <w:p>
            <w:pPr>
              <w:jc w:val="center"/>
              <w:rPr>
                <w:rFonts w:ascii="Times New Roman" w:hAnsi="Times New Roman" w:cs="Times New Roman"/>
                <w:noProof/>
                <w:sz w:val="24"/>
                <w:szCs w:val="24"/>
              </w:rPr>
            </w:pP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Αλίευση σε περιοχή περιορισμένης αλιείας ή σε απαγορευμένη περιοχή ή σε περιοχή αποκατάστασης αποθεμάτων ιχθύων ή σε απαγορευμένη περίοδο, χωρίς ποσόστωση ή μετά την επίτευξη ποσόστωσης ή πέραν απαγορευμένου βάθους.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6</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17</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Αλίευση χωρίς ισχύουσα άδεια, άδεια αλίευσης ή έγκριση εκδοθείσα από το κράτος σημαίας ή από το οικείο παράκτιο κράτος.</w:t>
            </w:r>
          </w:p>
          <w:p>
            <w:pPr>
              <w:rPr>
                <w:rFonts w:ascii="Times New Roman" w:hAnsi="Times New Roman" w:cs="Times New Roman"/>
                <w:noProof/>
                <w:sz w:val="24"/>
                <w:szCs w:val="24"/>
              </w:rPr>
            </w:pP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 xml:space="preserve">18 </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Άσκηση δραστηριοτήτων κατευθυνόμενης αλιείας, διατήρησης επί του σκάφους, μεταφόρτωσης, διαβίβασης ή εκφόρτωσης ειδών τα οποία αποτελούν αντικείμενο αναστολής αλίευσης, τελούν υπό περίοδο απαγόρευσης ή των οποίων η αλίευση απαγορεύεται.</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19</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Παρεμπόδιση της εργασίας υπαλλήλων ή παρατηρητών κατά την άσκηση των καθηκόντων τους.</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20</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Μεταφόρτωση από ή προς σκάφη που επιδίδονται σε ΠΛΑ αλιεία ή διεξαγωγή δραστηριοτήτων μεταβίβασης με σκάφη που επιδίδονται σε ΠΛΑ αλιεία, συμμετοχή σε κοινές αλιευτικές δραστηριότητες με σκάφη που επιδίδονται σε ΠΛΑ αλιεία ή υποστήριξη ή προμήθεια σκαφών που επιδίδονται σε ΠΛΑ αλιεία, όπως ορίζεται στο κανονισμό (ΕΚ) αριθ. 1005/2008 του Συμβουλίου, και ιδίως εκείνων που παρατίθενται στον κατάλογο σκαφών ΠΛΑ αλιείας της Ένωσης ή περιφερειακής οργάνωσης διαχείρισης της αλιείας, όπως αναφέρεται στα άρθρα 29 και 30 του κανονισμού (ΕΚ) αριθ. 1005/2008.</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21</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Μεταφόρτωση χωρίς την απαιτούμενη άδεια ή όταν η μεταφόρτωση απαγορεύεται.</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22</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 xml:space="preserve">Συμμετοχή στη λειτουργία, στη διαχείριση ή στην ιδιοκτησία σκάφους που επιδίδεται σε ΠΛΑ αλιεία ή απασχόληση σε τέτοιο σκάφος, όπως ορίζεται στο κανονισμό (ΕΚ) αριθ. 1005/2008 του Συμβουλίου, και ιδίως εκείνων που παρατίθενται στον κατάλογο σκαφών ΠΛΑ αλιείας της Ένωσης ή περιφερειακής οργάνωσης διαχείρισης της αλιείας, όπως αναφέρεται στα άρθρα 29 και 30 του κανονισμού (ΕΚ) αριθ. 1005/2008. </w:t>
            </w:r>
          </w:p>
          <w:p>
            <w:pPr>
              <w:jc w:val="both"/>
              <w:rPr>
                <w:rFonts w:ascii="Times New Roman" w:hAnsi="Times New Roman" w:cs="Times New Roman"/>
                <w:noProof/>
                <w:sz w:val="24"/>
                <w:szCs w:val="24"/>
              </w:rPr>
            </w:pP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bl>
    <w:p>
      <w:pPr>
        <w:jc w:val="center"/>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jc w:val="center"/>
        <w:rPr>
          <w:rFonts w:ascii="Times New Roman" w:hAnsi="Times New Roman" w:cs="Times New Roman"/>
          <w:noProof/>
          <w:sz w:val="24"/>
          <w:szCs w:val="24"/>
        </w:rPr>
      </w:pPr>
      <w:r>
        <w:rPr>
          <w:rFonts w:ascii="Times New Roman" w:hAnsi="Times New Roman"/>
          <w:noProof/>
          <w:sz w:val="24"/>
        </w:rPr>
        <w:t>ΠΑΡΑΡΤΗΜΑ IV</w:t>
      </w:r>
      <w:r>
        <w:rPr>
          <w:rFonts w:ascii="Times New Roman" w:hAnsi="Times New Roman"/>
          <w:noProof/>
          <w:sz w:val="24"/>
          <w:vertAlign w:val="superscript"/>
        </w:rPr>
        <w:footnoteReference w:id="2"/>
      </w:r>
    </w:p>
    <w:p>
      <w:pPr>
        <w:jc w:val="center"/>
        <w:rPr>
          <w:rFonts w:ascii="Times New Roman" w:hAnsi="Times New Roman" w:cs="Times New Roman"/>
          <w:noProof/>
          <w:sz w:val="24"/>
          <w:szCs w:val="24"/>
        </w:rPr>
      </w:pPr>
      <w:r>
        <w:rPr>
          <w:rFonts w:ascii="Times New Roman" w:hAnsi="Times New Roman"/>
          <w:noProof/>
          <w:sz w:val="24"/>
        </w:rPr>
        <w:t>Εναλλακτικά κριτήρια για τον χαρακτηρισμό μιας παράβασης ως σοβαρής, σύμφωνα με το άρθρο 90 παράγραφος 3 του παρόντος κανονισμού</w:t>
      </w:r>
    </w:p>
    <w:tbl>
      <w:tblPr>
        <w:tblStyle w:val="TableGrid1"/>
        <w:tblW w:w="0" w:type="auto"/>
        <w:tblLook w:val="04A0" w:firstRow="1" w:lastRow="0" w:firstColumn="1" w:lastColumn="0" w:noHBand="0" w:noVBand="1"/>
      </w:tblPr>
      <w:tblGrid>
        <w:gridCol w:w="6906"/>
        <w:gridCol w:w="6906"/>
      </w:tblGrid>
      <w:tr>
        <w:trPr>
          <w:trHeight w:val="146"/>
          <w:tblHeader/>
        </w:trPr>
        <w:tc>
          <w:tcPr>
            <w:tcW w:w="6906" w:type="dxa"/>
            <w:shd w:val="clear" w:color="auto" w:fill="EEECE1" w:themeFill="background2"/>
          </w:tcPr>
          <w:p>
            <w:pPr>
              <w:rPr>
                <w:rFonts w:ascii="Times New Roman" w:hAnsi="Times New Roman" w:cs="Times New Roman"/>
                <w:noProof/>
                <w:sz w:val="24"/>
                <w:szCs w:val="24"/>
              </w:rPr>
            </w:pPr>
            <w:r>
              <w:rPr>
                <w:rFonts w:ascii="Times New Roman" w:hAnsi="Times New Roman"/>
                <w:noProof/>
                <w:sz w:val="24"/>
              </w:rPr>
              <w:t>Δραστηριότητες</w:t>
            </w:r>
          </w:p>
        </w:tc>
        <w:tc>
          <w:tcPr>
            <w:tcW w:w="6906" w:type="dxa"/>
            <w:shd w:val="clear" w:color="auto" w:fill="EEECE1" w:themeFill="background2"/>
          </w:tcPr>
          <w:p>
            <w:pPr>
              <w:rPr>
                <w:rFonts w:ascii="Times New Roman" w:hAnsi="Times New Roman" w:cs="Times New Roman"/>
                <w:noProof/>
                <w:sz w:val="24"/>
                <w:szCs w:val="24"/>
              </w:rPr>
            </w:pPr>
            <w:r>
              <w:rPr>
                <w:rFonts w:ascii="Times New Roman" w:hAnsi="Times New Roman"/>
                <w:noProof/>
                <w:sz w:val="24"/>
              </w:rPr>
              <w:t>Κριτήρια</w:t>
            </w:r>
          </w:p>
        </w:tc>
      </w:tr>
      <w:tr>
        <w:tc>
          <w:tcPr>
            <w:tcW w:w="6906" w:type="dxa"/>
          </w:tcPr>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α)</w:t>
            </w:r>
            <w:r>
              <w:rPr>
                <w:noProof/>
              </w:rPr>
              <w:tab/>
            </w:r>
          </w:p>
          <w:p>
            <w:pPr>
              <w:jc w:val="both"/>
              <w:rPr>
                <w:rFonts w:ascii="Times New Roman" w:hAnsi="Times New Roman" w:cs="Times New Roman"/>
                <w:noProof/>
                <w:sz w:val="24"/>
                <w:szCs w:val="24"/>
              </w:rPr>
            </w:pPr>
            <w:r>
              <w:rPr>
                <w:rFonts w:ascii="Times New Roman" w:hAnsi="Times New Roman"/>
                <w:noProof/>
                <w:sz w:val="24"/>
              </w:rPr>
              <w:t>Μη εκπλήρωση των υποχρεώσεων ακριβούς καταγραφής και αναφοράς των δεδομένων που αφορούν αλιευτικές δραστηριότητες, συμπεριλαμβανομένων των δεδομένων που πρέπει να διαβιβάζονται από το σύστημα παρακολούθησης σκαφών και των προαναγγελιών, όπως απαιτείται σύμφωνα με τους κανόνες της κοινής αλιευτικής πολιτικής·</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β)</w:t>
            </w:r>
            <w:r>
              <w:rPr>
                <w:noProof/>
              </w:rPr>
              <w:tab/>
            </w:r>
          </w:p>
          <w:p>
            <w:pPr>
              <w:jc w:val="both"/>
              <w:rPr>
                <w:rFonts w:ascii="Times New Roman" w:hAnsi="Times New Roman" w:cs="Times New Roman"/>
                <w:noProof/>
                <w:sz w:val="24"/>
                <w:szCs w:val="24"/>
              </w:rPr>
            </w:pPr>
            <w:r>
              <w:rPr>
                <w:rFonts w:ascii="Times New Roman" w:hAnsi="Times New Roman"/>
                <w:noProof/>
                <w:sz w:val="24"/>
              </w:rPr>
              <w:t xml:space="preserve">Μη υποβολή δήλωσης αλιευμάτων ή δήλωσης εκφόρτωσης στην τρίτη χώρα και μη αποστολή ηλεκτρονικού αντιγράφου αυτών στο κράτος μέλος σημαίας τους, όπως απαιτείται σύμφωνα με την παράγραφο 1 του άρθρου 30 του κανονισμού (ΕΕ) 2017/2403.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ε)</w:t>
            </w:r>
            <w:r>
              <w:rPr>
                <w:noProof/>
              </w:rPr>
              <w:tab/>
            </w:r>
          </w:p>
          <w:p>
            <w:pPr>
              <w:jc w:val="both"/>
              <w:rPr>
                <w:rFonts w:ascii="Times New Roman" w:hAnsi="Times New Roman" w:cs="Times New Roman"/>
                <w:noProof/>
                <w:sz w:val="24"/>
                <w:szCs w:val="24"/>
              </w:rPr>
            </w:pPr>
            <w:r>
              <w:rPr>
                <w:rFonts w:ascii="Times New Roman" w:hAnsi="Times New Roman"/>
                <w:noProof/>
                <w:sz w:val="24"/>
              </w:rPr>
              <w:t xml:space="preserve">Παράλειψη ανάσυρσης, διατήρησης επί του αλιευτικού σκάφους και εκφόρτωσης, μεταξύ άλλων μέσω ολίσθησης, μεταφοράς και εκφόρτωσης τυχόν αλιευμάτων μεγέθους μικρότερου του κανονικού κατά παράβαση της ισχύουσας νομοθεσίας ή αλιευμάτων ειδών υπαγόμενων στην υποχρέωση εκφόρτωσης του άρθρου 15 του κανονισμού (ΕΕ) αριθ. 1380/2013, εκτός αν η ανάσυρση, η διατήρηση επί του σκάφους και η εκφόρτωση των αλιευμάτων αυτών θα ήταν αντίθετες προς τις υποχρεώσεις, μεταξύ άλλων για περιοχές διακανονισμού των περιφερειακών οργανώσεων αλιείας, ή θα υπάγονταν στις εξαιρέσεις που προβλέπουν οι κανόνες της κοινής αλιευτικής πολιτικής για τους τύπους αλιείας ή τις αλιευτικές ζώνες όπου εφαρμόζονται οι εν λόγω κανόνες·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στ)</w:t>
            </w:r>
            <w:r>
              <w:rPr>
                <w:noProof/>
              </w:rPr>
              <w:tab/>
            </w:r>
          </w:p>
          <w:p>
            <w:pPr>
              <w:jc w:val="both"/>
              <w:rPr>
                <w:rFonts w:ascii="Times New Roman" w:hAnsi="Times New Roman" w:cs="Times New Roman"/>
                <w:noProof/>
                <w:sz w:val="24"/>
                <w:szCs w:val="24"/>
              </w:rPr>
            </w:pPr>
            <w:r>
              <w:rPr>
                <w:rFonts w:ascii="Times New Roman" w:hAnsi="Times New Roman"/>
                <w:noProof/>
                <w:sz w:val="24"/>
              </w:rPr>
              <w:t>Διεξαγωγή αλιευτικών δραστηριοτήτων στην περιοχή περιφερειακής οργάνωσης διαχείρισης της αλιείας κατά τρόπο μη σύμφωνο με τα μέτρα διατήρησης και διαχείρισης της εν λόγω οργάνωσης ή κατά τρόπο που παραβαίνει τα μέτρα διατήρησης και διαχείρισης της εν λόγω οργάνωσης.</w:t>
            </w:r>
          </w:p>
        </w:tc>
        <w:tc>
          <w:tcPr>
            <w:tcW w:w="6906" w:type="dxa"/>
          </w:tcPr>
          <w:p>
            <w:pPr>
              <w:rPr>
                <w:rFonts w:ascii="Times New Roman" w:hAnsi="Times New Roman" w:cs="Times New Roman"/>
                <w:noProof/>
                <w:sz w:val="24"/>
                <w:szCs w:val="24"/>
              </w:rPr>
            </w:pPr>
            <w:r>
              <w:rPr>
                <w:rFonts w:ascii="Times New Roman" w:hAnsi="Times New Roman"/>
                <w:noProof/>
                <w:sz w:val="24"/>
              </w:rPr>
              <w:t xml:space="preserve">- τα αλιεύματα που σχετίζονται με την εικαζόμενη παράβαση αποκτήθηκαν: </w:t>
            </w:r>
          </w:p>
          <w:p>
            <w:pPr>
              <w:rPr>
                <w:rFonts w:ascii="Times New Roman" w:hAnsi="Times New Roman" w:cs="Times New Roman"/>
                <w:noProof/>
                <w:sz w:val="24"/>
                <w:szCs w:val="24"/>
              </w:rPr>
            </w:pPr>
            <w:r>
              <w:rPr>
                <w:rFonts w:ascii="Times New Roman" w:hAnsi="Times New Roman"/>
                <w:noProof/>
                <w:sz w:val="24"/>
              </w:rPr>
              <w:t>σε απαγορευμένη περιοχή· ή</w:t>
            </w:r>
          </w:p>
          <w:p>
            <w:pPr>
              <w:rPr>
                <w:rFonts w:ascii="Times New Roman" w:hAnsi="Times New Roman" w:cs="Times New Roman"/>
                <w:noProof/>
                <w:sz w:val="24"/>
                <w:szCs w:val="24"/>
              </w:rPr>
            </w:pPr>
            <w:r>
              <w:rPr>
                <w:rFonts w:ascii="Times New Roman" w:hAnsi="Times New Roman"/>
                <w:noProof/>
                <w:sz w:val="24"/>
              </w:rPr>
              <w:t>πέραν απαγορευμένου βάθους·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η παράβαση είναι η δεύτερη που εντοπίστηκε κατά τους προηγούμενους δώδεκα μήνες·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τα αλιεύματα που σχετίζονται με την εικαζόμενη παράβαση αντιπροσωπεύουν ποσότητες ίσες ή περισσότερο από δύο φορές μεγαλύτερες από τα επιτρεπόμενα όρια ανοχής που αναφέρονται στο άρθρο 14 παράγραφος 3 και στο άρθρο 21 παράγραφος 3 του παρόντος κανονισμού·</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τα αλιεύματα που σχετίζονται με την εικαζόμενη παράβαση αντιστοιχούν: </w:t>
            </w:r>
          </w:p>
          <w:p>
            <w:pPr>
              <w:rPr>
                <w:rFonts w:ascii="Times New Roman" w:hAnsi="Times New Roman" w:cs="Times New Roman"/>
                <w:noProof/>
                <w:sz w:val="24"/>
                <w:szCs w:val="24"/>
              </w:rPr>
            </w:pPr>
            <w:r>
              <w:rPr>
                <w:rFonts w:ascii="Times New Roman" w:hAnsi="Times New Roman"/>
                <w:noProof/>
                <w:sz w:val="24"/>
              </w:rPr>
              <w:t xml:space="preserve">α) σε ποσότητες μεγαλύτερες των 100 κιλών ή στο 20 % των συνολικών ποσοτήτων που αναφέρονται στο ημερολόγιο ή στη δήλωση εκφόρτωσης ή μεταφόρτωσης ή </w:t>
            </w:r>
          </w:p>
          <w:p>
            <w:pPr>
              <w:rPr>
                <w:rFonts w:ascii="Times New Roman" w:hAnsi="Times New Roman" w:cs="Times New Roman"/>
                <w:noProof/>
                <w:sz w:val="24"/>
                <w:szCs w:val="24"/>
              </w:rPr>
            </w:pPr>
            <w:r>
              <w:rPr>
                <w:rFonts w:ascii="Times New Roman" w:hAnsi="Times New Roman"/>
                <w:noProof/>
                <w:sz w:val="24"/>
              </w:rPr>
              <w:t xml:space="preserve">β) σε αξία 10 % της συνολικής αξίας των αλιευτικών προϊόντων, </w:t>
            </w:r>
          </w:p>
          <w:p>
            <w:pPr>
              <w:rPr>
                <w:rFonts w:ascii="Times New Roman" w:hAnsi="Times New Roman" w:cs="Times New Roman"/>
                <w:noProof/>
                <w:sz w:val="24"/>
                <w:szCs w:val="24"/>
              </w:rPr>
            </w:pPr>
            <w:r>
              <w:rPr>
                <w:rFonts w:ascii="Times New Roman" w:hAnsi="Times New Roman"/>
                <w:noProof/>
                <w:sz w:val="24"/>
              </w:rPr>
              <w:t>όταν η παράβαση αφορά οποιοδήποτε από τα ακόλουθα είδη:</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 xml:space="preserve">όλα τα είδη που υπόκεινται σε ελάχιστο μέγεθος αναφοράς διατήρησης σύμφωνα με τους κανόνες της κοινής αλιευτικής πολιτικής· </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στην υποχρέωση εκφόρτωσης, όπως αναφέρεται στο άρθρο 15 του κανονισμού 1380/2013·</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αλιευτικές δυνατότητες σύμφωνα με τους κανόνες της κοινής αλιευτικής πολιτικής·</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πολυετή σχέδια·</w:t>
            </w:r>
          </w:p>
          <w:p>
            <w:pPr>
              <w:ind w:left="720"/>
              <w:contextualSpacing/>
              <w:rPr>
                <w:rFonts w:ascii="Times New Roman" w:hAnsi="Times New Roman" w:cs="Times New Roman"/>
                <w:noProof/>
                <w:sz w:val="24"/>
                <w:szCs w:val="24"/>
              </w:rPr>
            </w:pP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αποτελούν αντικείμενο αναστολής, τελούν υπό περίοδο απαγόρευσης ή των οποίων η αλίευση απαγορεύεται·</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ρυθμίζονται από περιφερειακή οργάνωση διαχείρισης της αλιείας.</w:t>
            </w:r>
          </w:p>
        </w:tc>
      </w:tr>
      <w:tr>
        <w:trPr>
          <w:trHeight w:val="146"/>
        </w:trPr>
        <w:tc>
          <w:tcPr>
            <w:tcW w:w="6906" w:type="dxa"/>
          </w:tcPr>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ζ)</w:t>
            </w:r>
            <w:r>
              <w:rPr>
                <w:noProof/>
              </w:rPr>
              <w:tab/>
            </w:r>
          </w:p>
          <w:p>
            <w:pPr>
              <w:jc w:val="both"/>
              <w:rPr>
                <w:rFonts w:ascii="Times New Roman" w:hAnsi="Times New Roman" w:cs="Times New Roman"/>
                <w:noProof/>
                <w:sz w:val="24"/>
                <w:szCs w:val="24"/>
              </w:rPr>
            </w:pPr>
            <w:r>
              <w:rPr>
                <w:rFonts w:ascii="Times New Roman" w:hAnsi="Times New Roman"/>
                <w:noProof/>
                <w:sz w:val="24"/>
              </w:rPr>
              <w:t xml:space="preserve">Διάθεση στην αγορά αλιευτικών προϊόντων κατά παράβαση των κανόνων της κοινής αλιευτικής πολιτικής </w:t>
            </w:r>
          </w:p>
          <w:p>
            <w:pPr>
              <w:jc w:val="both"/>
              <w:rPr>
                <w:rFonts w:ascii="Times New Roman" w:hAnsi="Times New Roman" w:cs="Times New Roman"/>
                <w:noProof/>
                <w:sz w:val="24"/>
                <w:szCs w:val="24"/>
              </w:rPr>
            </w:pPr>
          </w:p>
          <w:p>
            <w:pPr>
              <w:rPr>
                <w:rFonts w:ascii="Times New Roman" w:hAnsi="Times New Roman" w:cs="Times New Roman"/>
                <w:noProof/>
                <w:sz w:val="24"/>
                <w:szCs w:val="24"/>
              </w:rPr>
            </w:pPr>
          </w:p>
        </w:tc>
        <w:tc>
          <w:tcPr>
            <w:tcW w:w="6906" w:type="dxa"/>
          </w:tcPr>
          <w:p>
            <w:pPr>
              <w:rPr>
                <w:rFonts w:ascii="Times New Roman" w:hAnsi="Times New Roman" w:cs="Times New Roman"/>
                <w:noProof/>
                <w:sz w:val="24"/>
                <w:szCs w:val="24"/>
              </w:rPr>
            </w:pPr>
            <w:r>
              <w:rPr>
                <w:rFonts w:ascii="Times New Roman" w:hAnsi="Times New Roman"/>
                <w:noProof/>
                <w:sz w:val="24"/>
              </w:rPr>
              <w:t>- η εικαζόμενη παράβαση είναι η δεύτερη που εντοπίστηκε κατά τους προηγούμενους δώδεκα μήνες·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η εικαζόμενη παράβαση αφορά την εμπορία προϊόντων ΠΛΑ αλιείας εν γνώσει ή κατά παράβαση του κανονισμού για την ΠΛΑ αλιεία</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όταν η άμεση πώληση πραγματοποιείται με μη εγγεγραμμένη ιχθυόσκαλα ή μη εγγεγραμμένο αγοραστή, όπως αναφέρεται στο άρθρο 59 του παρόντος κανονισμού·</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η συμπλήρωση ή η υποβολή των δελτίων πώλησης δεν συμμορφώνονται με το άρθρο 62 του παρόντος κανονισμού, συμπεριλαμβανομένης της υποχρέωσης καταγραφής και διαβίβασης όλων των δεδομένων ηλεκτρονικά· </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τα αλιεύματα που σχετίζονται με την εικαζόμενη παράβαση αντιστοιχούν σε ποσότητες μεγαλύτερων των 100 κιλών ή στο 20 % των συνολικών ποσοτήτων που αναφέρονται στο ημερολόγιο ή στη δήλωση εκφόρτωσης ή μεταφόρτωσης ή σε αξία 10 % της συνολικής αξίας των αλιευτικών προϊόντων, όταν η παράβαση αφορά οποιοδήποτε από τα ακόλουθα είδη:</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ελάχιστο μέγεθος αναφοράς διατήρησης σύμφωνα με τους κανόνες της κοινής αλιευτικής πολιτικής·</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στην υποχρέωση εκφόρτωσης, όπως αναφέρεται στο άρθρο 15 του κανονισμού (ΕΕ) αριθ. 1380/2013·</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αλιευτικές δυνατότητες σύμφωνα με τους κανόνες της κοινής αλιευτικής πολιτικής·</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πολυετές σχέδιο·</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όλα τα είδη που αποτελούν αντικείμενο αναστολής, τελούν υπό περίοδο απαγόρευσης ή των οποίων η αλίευση απαγορεύεται·</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όλα τα είδη που ρυθμίζονται από περιφερειακή οργάνωση διαχείρισης της αλιείας.</w:t>
            </w:r>
          </w:p>
        </w:tc>
      </w:tr>
      <w:tr>
        <w:trPr>
          <w:trHeight w:val="146"/>
        </w:trPr>
        <w:tc>
          <w:tcPr>
            <w:tcW w:w="6906" w:type="dxa"/>
          </w:tcPr>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γ)</w:t>
            </w:r>
            <w:r>
              <w:rPr>
                <w:noProof/>
              </w:rPr>
              <w:tab/>
            </w:r>
          </w:p>
          <w:p>
            <w:pPr>
              <w:jc w:val="both"/>
              <w:rPr>
                <w:rFonts w:ascii="Times New Roman" w:hAnsi="Times New Roman" w:cs="Times New Roman"/>
                <w:noProof/>
                <w:sz w:val="24"/>
                <w:szCs w:val="24"/>
              </w:rPr>
            </w:pPr>
            <w:r>
              <w:rPr>
                <w:rFonts w:ascii="Times New Roman" w:hAnsi="Times New Roman"/>
                <w:noProof/>
                <w:sz w:val="24"/>
              </w:rPr>
              <w:t>Χρήση μη συμμορφούμενου αλιευτικού εργαλείου.</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δ)</w:t>
            </w:r>
          </w:p>
          <w:p>
            <w:pPr>
              <w:jc w:val="both"/>
              <w:rPr>
                <w:rFonts w:ascii="Times New Roman" w:hAnsi="Times New Roman" w:cs="Times New Roman"/>
                <w:noProof/>
                <w:sz w:val="24"/>
                <w:szCs w:val="24"/>
              </w:rPr>
            </w:pPr>
            <w:r>
              <w:rPr>
                <w:rFonts w:ascii="Times New Roman" w:hAnsi="Times New Roman"/>
                <w:noProof/>
                <w:sz w:val="24"/>
              </w:rPr>
              <w:t>Μη εκπλήρωση υποχρεώσεων που αφορούν τη χρήση αλιευτικών εργαλείων, όπως ορίζονται στους κανόνες της κοινής αλιευτικής πολιτικής.</w:t>
            </w:r>
          </w:p>
          <w:p>
            <w:pPr>
              <w:rPr>
                <w:rFonts w:ascii="Times New Roman" w:hAnsi="Times New Roman" w:cs="Times New Roman"/>
                <w:noProof/>
                <w:sz w:val="24"/>
                <w:szCs w:val="24"/>
              </w:rPr>
            </w:pPr>
          </w:p>
        </w:tc>
        <w:tc>
          <w:tcPr>
            <w:tcW w:w="6906" w:type="dxa"/>
          </w:tcPr>
          <w:p>
            <w:pPr>
              <w:rPr>
                <w:rFonts w:ascii="Times New Roman" w:hAnsi="Times New Roman" w:cs="Times New Roman"/>
                <w:noProof/>
                <w:sz w:val="24"/>
                <w:szCs w:val="24"/>
              </w:rPr>
            </w:pPr>
            <w:r>
              <w:rPr>
                <w:rFonts w:ascii="Times New Roman" w:hAnsi="Times New Roman"/>
                <w:noProof/>
                <w:sz w:val="24"/>
              </w:rPr>
              <w:t xml:space="preserve">- τα αλιεύματα που σχετίζονται με την εικαζόμενη παράβαση αποκτήθηκαν: </w:t>
            </w:r>
          </w:p>
          <w:p>
            <w:pPr>
              <w:rPr>
                <w:rFonts w:ascii="Times New Roman" w:hAnsi="Times New Roman" w:cs="Times New Roman"/>
                <w:noProof/>
                <w:sz w:val="24"/>
                <w:szCs w:val="24"/>
              </w:rPr>
            </w:pPr>
            <w:r>
              <w:rPr>
                <w:rFonts w:ascii="Times New Roman" w:hAnsi="Times New Roman"/>
                <w:noProof/>
                <w:sz w:val="24"/>
              </w:rPr>
              <w:t>σε απαγορευμένη περιοχή· ή</w:t>
            </w:r>
          </w:p>
          <w:p>
            <w:pPr>
              <w:rPr>
                <w:rFonts w:ascii="Times New Roman" w:hAnsi="Times New Roman" w:cs="Times New Roman"/>
                <w:noProof/>
                <w:sz w:val="24"/>
                <w:szCs w:val="24"/>
              </w:rPr>
            </w:pPr>
            <w:r>
              <w:rPr>
                <w:rFonts w:ascii="Times New Roman" w:hAnsi="Times New Roman"/>
                <w:noProof/>
                <w:sz w:val="24"/>
              </w:rPr>
              <w:t>πέραν απαγορευμένου βάθους·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τα εργαλεία που χρησιμοποιούνται ανήκουν σε μία από τις ακόλουθες κατηγορίες: </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Αλίευση με εκρηκτικά υλικά</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Απαγορευμένα παρασυρόμενα απλάδια</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ο αριθμός των επιτρεπόμενων εργαλείων υπερβαίνει κατά 2 μονάδες τον αριθμό επιτρεπόμενων εργαλείων επί των αλιευτικών σκαφών· </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η εικαζόμενη παράβαση είναι η δεύτερη που εντοπίστηκε κατά τους προηγούμενους δώδεκα μήνες·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τα αλιεύματα που σχετίζονται με την εικαζόμενη παράβαση αντιπροσωπεύουν ποσότητες ίσες ή περισσότερο από δύο φορές μεγαλύτερες από τα επιτρεπόμενα όρια ανοχής που αναφέρονται στο άρθρο 14 παράγραφος 3 του παρόντος κανονισμού·</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τα αλιεύματα που σχετίζονται με την εικαζόμενη παράβαση αντιστοιχούν σε ποσότητες μεγαλύτερων των 100 κιλών ή στο 20 % των συνολικών ποσοτήτων που αναφέρονται στο ημερολόγιο ή στη δήλωση εκφόρτωσης ή μεταφόρτωσης ή σε αξία 10 % της συνολικής αξίας των αλιευτικών προϊόντων, όταν η παράβαση αφορά οποιοδήποτε από τα ακόλουθα είδη:</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ελάχιστο μέγεθος αναφοράς διατήρησης σύμφωνα με τους κανόνες της κοινής αλιευτικής πολιτικής·</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όλα τα είδη που υπόκεινται στην υποχρέωση εκφόρτωσης, όπως αναφέρεται στο άρθρο 15 του κανονισμού (ΕΕ) αριθ. 1380/2013·</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αλιευτικές δυνατότητες σύμφωνα με τους κανόνες της κοινής αλιευτικής πολιτικής·</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πολυετές σχέδιο·</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όλα τα είδη που αποτελούν αντικείμενο αναστολής, τελούν υπό περίοδο απαγόρευσης ή των οποίων η αλίευση απαγορεύεται·</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όλα τα είδη που ρυθμίζονται από περιφερειακή οργάνωση διαχείρισης της αλιείας.</w:t>
            </w:r>
          </w:p>
        </w:tc>
      </w:tr>
      <w:tr>
        <w:tc>
          <w:tcPr>
            <w:tcW w:w="6906" w:type="dxa"/>
          </w:tcPr>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η)</w:t>
            </w:r>
          </w:p>
          <w:p>
            <w:pPr>
              <w:jc w:val="both"/>
              <w:rPr>
                <w:rFonts w:ascii="Times New Roman" w:hAnsi="Times New Roman" w:cs="Times New Roman"/>
                <w:noProof/>
                <w:sz w:val="24"/>
                <w:szCs w:val="24"/>
              </w:rPr>
            </w:pPr>
            <w:r>
              <w:rPr>
                <w:rFonts w:ascii="Times New Roman" w:hAnsi="Times New Roman"/>
                <w:noProof/>
                <w:sz w:val="24"/>
              </w:rPr>
              <w:t>Διεξαγωγή δραστηριοτήτων ερασιτεχνικής αλιείας κατά παράβαση των κανόνων της κοινής αλιευτικής πολιτικής ή πώληση αλιευμάτων που προέρχονται από ερασιτεχνική αλιεία.</w:t>
            </w:r>
          </w:p>
        </w:tc>
        <w:tc>
          <w:tcPr>
            <w:tcW w:w="6906" w:type="dxa"/>
          </w:tcPr>
          <w:p>
            <w:pPr>
              <w:rPr>
                <w:rFonts w:ascii="Times New Roman" w:hAnsi="Times New Roman" w:cs="Times New Roman"/>
                <w:noProof/>
                <w:sz w:val="24"/>
                <w:szCs w:val="24"/>
              </w:rPr>
            </w:pPr>
            <w:r>
              <w:rPr>
                <w:rFonts w:ascii="Times New Roman" w:hAnsi="Times New Roman"/>
                <w:noProof/>
                <w:sz w:val="24"/>
              </w:rPr>
              <w:t xml:space="preserve">- τα αλιεύματα που σχετίζονται με την εικαζόμενη παράβαση αποκτήθηκαν: </w:t>
            </w:r>
          </w:p>
          <w:p>
            <w:pPr>
              <w:numPr>
                <w:ilvl w:val="0"/>
                <w:numId w:val="4"/>
              </w:numPr>
              <w:contextualSpacing/>
              <w:rPr>
                <w:rFonts w:ascii="Times New Roman" w:hAnsi="Times New Roman" w:cs="Times New Roman"/>
                <w:noProof/>
                <w:sz w:val="24"/>
                <w:szCs w:val="24"/>
              </w:rPr>
            </w:pPr>
            <w:r>
              <w:rPr>
                <w:rFonts w:ascii="Times New Roman" w:hAnsi="Times New Roman"/>
                <w:noProof/>
                <w:sz w:val="24"/>
              </w:rPr>
              <w:t>σε απαγορευμένη περιοχή· ή</w:t>
            </w:r>
          </w:p>
          <w:p>
            <w:pPr>
              <w:numPr>
                <w:ilvl w:val="0"/>
                <w:numId w:val="4"/>
              </w:numPr>
              <w:contextualSpacing/>
              <w:rPr>
                <w:rFonts w:ascii="Times New Roman" w:hAnsi="Times New Roman" w:cs="Times New Roman"/>
                <w:noProof/>
                <w:sz w:val="24"/>
                <w:szCs w:val="24"/>
              </w:rPr>
            </w:pPr>
            <w:r>
              <w:rPr>
                <w:rFonts w:ascii="Times New Roman" w:hAnsi="Times New Roman"/>
                <w:noProof/>
                <w:sz w:val="24"/>
              </w:rPr>
              <w:t>πέραν απαγορευμένου βάθους·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η εικαζόμενη παράβαση είναι η τρίτη που εντοπίστηκε κατά τους προηγούμενους έξι μήνες·</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τα αλιεύματα που σχετίζονται με την εικαζόμενη παράβαση αντιστοιχούν σε ποσότητες που υπερβαίνουν τα 5 κιλά, όταν η παράβαση αφορά οποιοδήποτε από τα ακόλουθα είδη:</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ελάχιστο μέγεθος αναφοράς διατήρησης σύμφωνα με τους κανόνες της κοινής αλιευτικής πολιτικής·</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στην υποχρέωση εκφόρτωσης, όπως αναφέρεται στο άρθρο 15 του κανονισμού (ΕΕ) αριθ. 1380/2013·</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αλιευτικές δυνατότητες σύμφωνα με τους κανόνες της κοινής αλιευτικής πολιτικής·</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όλα τα είδη που υπόκεινται σε πολυετές σχέδιο·</w:t>
            </w:r>
          </w:p>
          <w:p>
            <w:pPr>
              <w:ind w:left="720"/>
              <w:contextualSpacing/>
              <w:rPr>
                <w:rFonts w:ascii="Times New Roman" w:hAnsi="Times New Roman" w:cs="Times New Roman"/>
                <w:noProof/>
                <w:sz w:val="24"/>
                <w:szCs w:val="24"/>
              </w:rPr>
            </w:pPr>
            <w:r>
              <w:rPr>
                <w:rFonts w:ascii="Times New Roman" w:hAnsi="Times New Roman"/>
                <w:noProof/>
                <w:sz w:val="24"/>
              </w:rPr>
              <w:t>όλα τα είδη που αποτελούν αντικείμενο αναστολής, τελούν υπό περίοδο απαγόρευσης ή των οποίων η αλίευση απαγορεύεται.</w:t>
            </w:r>
          </w:p>
        </w:tc>
      </w:tr>
      <w:tr>
        <w:tc>
          <w:tcPr>
            <w:tcW w:w="6906" w:type="dxa"/>
          </w:tcPr>
          <w:p>
            <w:pPr>
              <w:jc w:val="both"/>
              <w:rPr>
                <w:rFonts w:ascii="Times New Roman" w:hAnsi="Times New Roman" w:cs="Times New Roman"/>
                <w:noProof/>
                <w:sz w:val="24"/>
                <w:szCs w:val="24"/>
              </w:rPr>
            </w:pPr>
            <w:r>
              <w:rPr>
                <w:rFonts w:ascii="Times New Roman" w:hAnsi="Times New Roman"/>
                <w:noProof/>
                <w:sz w:val="24"/>
              </w:rPr>
              <w:t>Άρθρο 90 παράγραφος 3 στοιχείο θ)</w:t>
            </w:r>
            <w:r>
              <w:rPr>
                <w:noProof/>
              </w:rPr>
              <w:tab/>
            </w:r>
          </w:p>
          <w:p>
            <w:pPr>
              <w:jc w:val="both"/>
              <w:rPr>
                <w:rFonts w:ascii="Times New Roman" w:hAnsi="Times New Roman" w:cs="Times New Roman"/>
                <w:noProof/>
                <w:sz w:val="24"/>
                <w:szCs w:val="24"/>
              </w:rPr>
            </w:pPr>
            <w:r>
              <w:rPr>
                <w:rFonts w:ascii="Times New Roman" w:hAnsi="Times New Roman"/>
                <w:noProof/>
                <w:sz w:val="24"/>
              </w:rPr>
              <w:t>Διάπραξη επανειλημένων παραβάσεων, οι οποίες σωρευτικώς συνιστούν σοβαρή περιφρόνηση των μέτρων διατήρησης και διαχείρισης.</w:t>
            </w:r>
          </w:p>
        </w:tc>
        <w:tc>
          <w:tcPr>
            <w:tcW w:w="6906" w:type="dxa"/>
          </w:tcPr>
          <w:p>
            <w:pPr>
              <w:rPr>
                <w:rFonts w:ascii="Times New Roman" w:hAnsi="Times New Roman" w:cs="Times New Roman"/>
                <w:noProof/>
                <w:sz w:val="24"/>
                <w:szCs w:val="24"/>
              </w:rPr>
            </w:pPr>
            <w:r>
              <w:rPr>
                <w:rFonts w:ascii="Times New Roman" w:hAnsi="Times New Roman"/>
                <w:noProof/>
                <w:sz w:val="24"/>
              </w:rPr>
              <w:t>Ο αριθμός των ταυτόχρονων παραβάσεων που δεν θεωρούνται μεμονωμένα σοβαρές παραβάσεις υπερβαίνει τις 3.</w:t>
            </w:r>
          </w:p>
        </w:tc>
      </w:tr>
    </w:tbl>
    <w:p>
      <w:pPr>
        <w:rPr>
          <w:rFonts w:ascii="Times New Roman" w:hAnsi="Times New Roman" w:cs="Times New Roman"/>
          <w:noProof/>
          <w:sz w:val="24"/>
          <w:szCs w:val="24"/>
        </w:rPr>
      </w:pPr>
      <w:r>
        <w:rPr>
          <w:rFonts w:ascii="Times New Roman" w:hAnsi="Times New Roman"/>
          <w:noProof/>
          <w:sz w:val="24"/>
        </w:rPr>
        <w:t>«</w:t>
      </w:r>
    </w:p>
    <w:p>
      <w:pPr>
        <w:rPr>
          <w:rFonts w:ascii="Times New Roman" w:hAnsi="Times New Roman" w:cs="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6839" w:h="11907" w:orient="landscape"/>
          <w:pgMar w:top="1134" w:right="1134" w:bottom="1134" w:left="1134" w:header="720" w:footer="720" w:gutter="0"/>
          <w:pgNumType w:start="1"/>
          <w:cols w:space="720"/>
          <w:docGrid w:linePitch="326"/>
        </w:sectPr>
      </w:pPr>
    </w:p>
    <w:p>
      <w:pPr>
        <w:jc w:val="center"/>
        <w:rPr>
          <w:rFonts w:ascii="Times New Roman" w:hAnsi="Times New Roman" w:cs="Times New Roman"/>
          <w:noProof/>
          <w:sz w:val="24"/>
          <w:szCs w:val="24"/>
        </w:rPr>
      </w:pPr>
      <w:r>
        <w:rPr>
          <w:rFonts w:ascii="Times New Roman" w:hAnsi="Times New Roman"/>
          <w:noProof/>
          <w:sz w:val="24"/>
        </w:rPr>
        <w:t>ΠΑΡΑΡΤΗΜΑ ΙΙ</w:t>
      </w:r>
    </w:p>
    <w:p>
      <w:pPr>
        <w:rPr>
          <w:rFonts w:ascii="Times New Roman" w:hAnsi="Times New Roman" w:cs="Times New Roman"/>
          <w:noProof/>
          <w:sz w:val="24"/>
          <w:szCs w:val="24"/>
        </w:rPr>
      </w:pPr>
      <w:r>
        <w:rPr>
          <w:rFonts w:ascii="Times New Roman" w:hAnsi="Times New Roman"/>
          <w:noProof/>
          <w:sz w:val="24"/>
        </w:rPr>
        <w:t>Το παράρτημα IΙ του κανονισμού (ΕΕ) αριθ. 1005/2008 και το προσάρτημα σε αυτό το παράρτημα αντικαθίσταται από το ακόλουθο:</w:t>
      </w:r>
    </w:p>
    <w:p>
      <w:pPr>
        <w:rPr>
          <w:rFonts w:ascii="Times New Roman" w:hAnsi="Times New Roman" w:cs="Times New Roman"/>
          <w:noProof/>
          <w:sz w:val="24"/>
          <w:szCs w:val="24"/>
        </w:rPr>
      </w:pPr>
    </w:p>
    <w:p>
      <w:pPr>
        <w:jc w:val="center"/>
        <w:rPr>
          <w:rFonts w:eastAsia="Times New Roman" w:cs="Times New Roman"/>
          <w:b/>
          <w:bCs/>
          <w:noProof/>
          <w:color w:val="000000"/>
          <w:sz w:val="24"/>
          <w:szCs w:val="24"/>
          <w:u w:val="single"/>
        </w:rPr>
      </w:pPr>
      <w:r>
        <w:rPr>
          <w:rFonts w:ascii="Times New Roman" w:hAnsi="Times New Roman"/>
          <w:noProof/>
          <w:sz w:val="24"/>
        </w:rPr>
        <w:t>«</w:t>
      </w:r>
      <w:r>
        <w:rPr>
          <w:b/>
          <w:noProof/>
          <w:color w:val="000000"/>
          <w:sz w:val="24"/>
          <w:u w:val="single"/>
        </w:rPr>
        <w:t>ΠΑΡΑΡΤΗΜΑ II – Πιστοποιητικό αλιευμάτων και πιστοποιητικό επανεξαγωγής της Ευρωπαϊκής Ένωσης</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
        <w:gridCol w:w="667"/>
        <w:gridCol w:w="324"/>
        <w:gridCol w:w="209"/>
        <w:gridCol w:w="30"/>
        <w:gridCol w:w="204"/>
        <w:gridCol w:w="28"/>
        <w:gridCol w:w="14"/>
        <w:gridCol w:w="92"/>
        <w:gridCol w:w="375"/>
        <w:gridCol w:w="514"/>
        <w:gridCol w:w="236"/>
        <w:gridCol w:w="66"/>
        <w:gridCol w:w="318"/>
        <w:gridCol w:w="237"/>
        <w:gridCol w:w="579"/>
        <w:gridCol w:w="87"/>
        <w:gridCol w:w="195"/>
        <w:gridCol w:w="82"/>
        <w:gridCol w:w="56"/>
        <w:gridCol w:w="465"/>
        <w:gridCol w:w="90"/>
        <w:gridCol w:w="358"/>
        <w:gridCol w:w="226"/>
        <w:gridCol w:w="185"/>
        <w:gridCol w:w="82"/>
        <w:gridCol w:w="760"/>
        <w:gridCol w:w="96"/>
        <w:gridCol w:w="436"/>
        <w:gridCol w:w="282"/>
        <w:gridCol w:w="1595"/>
      </w:tblGrid>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tabs>
                <w:tab w:val="center" w:pos="4536"/>
                <w:tab w:val="right" w:pos="8789"/>
              </w:tabs>
              <w:spacing w:after="0"/>
              <w:rPr>
                <w:rFonts w:eastAsia="Times New Roman" w:cs="Times New Roman"/>
                <w:b/>
                <w:noProof/>
                <w:color w:val="000000"/>
                <w:sz w:val="24"/>
                <w:szCs w:val="24"/>
                <w:u w:val="single"/>
              </w:rPr>
            </w:pPr>
            <w:r>
              <w:rPr>
                <w:noProof/>
              </w:rPr>
              <w:tab/>
            </w:r>
            <w:r>
              <w:rPr>
                <w:b/>
                <w:noProof/>
                <w:color w:val="000000"/>
                <w:sz w:val="24"/>
                <w:u w:val="single"/>
              </w:rPr>
              <w:t xml:space="preserve">i) ΠΙΣΤΟΠΟΙΗΤΙΚΟ ΑΛΙΕΥΜΑΤΩΝ ΤΗΣ ΕΥΡΩΠΑΪΚΗΣ ΕΝΩΣΗΣ </w:t>
            </w:r>
          </w:p>
        </w:tc>
      </w:tr>
      <w:tr>
        <w:trPr>
          <w:trHeight w:val="492"/>
        </w:trPr>
        <w:tc>
          <w:tcPr>
            <w:tcW w:w="4153" w:type="dxa"/>
            <w:gridSpan w:val="13"/>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Αριθμός εγγράφου</w:t>
            </w:r>
          </w:p>
        </w:tc>
        <w:tc>
          <w:tcPr>
            <w:tcW w:w="6195" w:type="dxa"/>
            <w:gridSpan w:val="19"/>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 xml:space="preserve">Αρχή επικύρωσης </w:t>
            </w:r>
          </w:p>
        </w:tc>
      </w:tr>
      <w:tr>
        <w:tc>
          <w:tcPr>
            <w:tcW w:w="2660"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1. Ονοματεπώνυμο</w:t>
            </w:r>
          </w:p>
        </w:tc>
        <w:tc>
          <w:tcPr>
            <w:tcW w:w="4252" w:type="dxa"/>
            <w:gridSpan w:val="20"/>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Διεύθυνση</w:t>
            </w:r>
          </w:p>
        </w:tc>
        <w:tc>
          <w:tcPr>
            <w:tcW w:w="3436" w:type="dxa"/>
            <w:gridSpan w:val="7"/>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Τηλ.</w:t>
            </w:r>
            <w:r>
              <w:rPr>
                <w:rFonts w:eastAsia="Times New Roman" w:cs="Times New Roman"/>
                <w:b/>
                <w:noProof/>
                <w:color w:val="000000"/>
                <w:sz w:val="24"/>
                <w:szCs w:val="24"/>
              </w:rPr>
              <w:br/>
            </w:r>
            <w:r>
              <w:rPr>
                <w:b/>
                <w:noProof/>
                <w:color w:val="000000"/>
                <w:sz w:val="24"/>
              </w:rPr>
              <w:t>Φαξ</w:t>
            </w:r>
          </w:p>
        </w:tc>
      </w:tr>
      <w:tr>
        <w:trPr>
          <w:trHeight w:val="525"/>
        </w:trPr>
        <w:tc>
          <w:tcPr>
            <w:tcW w:w="2660"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2. Όνομα αλιευτικού σκάφους</w:t>
            </w:r>
          </w:p>
        </w:tc>
        <w:tc>
          <w:tcPr>
            <w:tcW w:w="3668" w:type="dxa"/>
            <w:gridSpan w:val="18"/>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Σημαία – Λιμένας και αριθμός νηολογίου</w:t>
            </w:r>
          </w:p>
        </w:tc>
        <w:tc>
          <w:tcPr>
            <w:tcW w:w="1611"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Όνομα σκάφους</w:t>
            </w:r>
          </w:p>
        </w:tc>
        <w:tc>
          <w:tcPr>
            <w:tcW w:w="2409"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 xml:space="preserve">Αριθμός IMO/Lloyds </w:t>
            </w:r>
            <w:r>
              <w:rPr>
                <w:noProof/>
                <w:color w:val="000000"/>
                <w:sz w:val="24"/>
              </w:rPr>
              <w:t>(εάν υπάρχει)</w:t>
            </w:r>
          </w:p>
        </w:tc>
      </w:tr>
      <w:tr>
        <w:tc>
          <w:tcPr>
            <w:tcW w:w="3028"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 xml:space="preserve"> Αριθμός αδείας αλιείας – Ισχύει μέχρι </w:t>
            </w:r>
          </w:p>
        </w:tc>
        <w:tc>
          <w:tcPr>
            <w:tcW w:w="7320" w:type="dxa"/>
            <w:gridSpan w:val="22"/>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Αριθμός Inmarsat. Αριθμός τηλεομοιοτυπίας. Αριθμός τηλεφώνου. Διεύθυνση ηλεκτρονικού ταχυδρομείου (εάν υπάρχει)</w:t>
            </w:r>
          </w:p>
        </w:tc>
      </w:tr>
      <w:tr>
        <w:tc>
          <w:tcPr>
            <w:tcW w:w="3028" w:type="dxa"/>
            <w:gridSpan w:val="10"/>
            <w:tcBorders>
              <w:top w:val="single" w:sz="4" w:space="0" w:color="auto"/>
              <w:left w:val="single" w:sz="4" w:space="0" w:color="auto"/>
              <w:bottom w:val="single" w:sz="4" w:space="0" w:color="auto"/>
              <w:right w:val="single" w:sz="4" w:space="0" w:color="auto"/>
            </w:tcBorders>
            <w:vAlign w:val="center"/>
            <w:hideMark/>
          </w:tcPr>
          <w:p>
            <w:pPr>
              <w:spacing w:after="0"/>
              <w:rPr>
                <w:rFonts w:eastAsia="Times New Roman" w:cs="Times New Roman"/>
                <w:b/>
                <w:noProof/>
                <w:color w:val="000000"/>
                <w:sz w:val="24"/>
                <w:szCs w:val="24"/>
              </w:rPr>
            </w:pPr>
          </w:p>
        </w:tc>
        <w:tc>
          <w:tcPr>
            <w:tcW w:w="3210" w:type="dxa"/>
            <w:gridSpan w:val="12"/>
            <w:tcBorders>
              <w:top w:val="nil"/>
              <w:left w:val="single" w:sz="4" w:space="0" w:color="auto"/>
              <w:bottom w:val="single" w:sz="4" w:space="0" w:color="auto"/>
              <w:right w:val="nil"/>
            </w:tcBorders>
          </w:tcPr>
          <w:p>
            <w:pPr>
              <w:widowControl w:val="0"/>
              <w:spacing w:after="0"/>
              <w:rPr>
                <w:rFonts w:eastAsia="Times New Roman" w:cs="Times New Roman"/>
                <w:b/>
                <w:noProof/>
                <w:color w:val="000000"/>
                <w:sz w:val="24"/>
                <w:szCs w:val="24"/>
              </w:rPr>
            </w:pPr>
          </w:p>
        </w:tc>
        <w:tc>
          <w:tcPr>
            <w:tcW w:w="4110" w:type="dxa"/>
            <w:gridSpan w:val="10"/>
            <w:tcBorders>
              <w:top w:val="nil"/>
              <w:left w:val="nil"/>
              <w:bottom w:val="single" w:sz="4" w:space="0" w:color="auto"/>
              <w:right w:val="single" w:sz="4" w:space="0" w:color="auto"/>
            </w:tcBorders>
          </w:tcPr>
          <w:p>
            <w:pPr>
              <w:widowControl w:val="0"/>
              <w:spacing w:after="0"/>
              <w:rPr>
                <w:rFonts w:eastAsia="Times New Roman" w:cs="Times New Roman"/>
                <w:b/>
                <w:noProof/>
                <w:color w:val="000000"/>
                <w:sz w:val="24"/>
                <w:szCs w:val="24"/>
              </w:rPr>
            </w:pPr>
          </w:p>
        </w:tc>
      </w:tr>
      <w:tr>
        <w:trPr>
          <w:trHeight w:val="639"/>
        </w:trPr>
        <w:tc>
          <w:tcPr>
            <w:tcW w:w="2690" w:type="dxa"/>
            <w:gridSpan w:val="6"/>
            <w:tcBorders>
              <w:top w:val="single" w:sz="4" w:space="0" w:color="auto"/>
              <w:left w:val="single" w:sz="4" w:space="0" w:color="auto"/>
              <w:bottom w:val="single" w:sz="4" w:space="0" w:color="auto"/>
              <w:right w:val="nil"/>
            </w:tcBorders>
            <w:hideMark/>
          </w:tcPr>
          <w:p>
            <w:pPr>
              <w:widowControl w:val="0"/>
              <w:spacing w:after="0"/>
              <w:rPr>
                <w:rFonts w:eastAsia="Times New Roman" w:cs="Times New Roman"/>
                <w:b/>
                <w:noProof/>
                <w:color w:val="000000"/>
                <w:sz w:val="24"/>
                <w:szCs w:val="24"/>
              </w:rPr>
            </w:pPr>
            <w:r>
              <w:rPr>
                <w:b/>
                <w:noProof/>
                <w:color w:val="000000"/>
                <w:sz w:val="24"/>
              </w:rPr>
              <w:t>3. Περιγραφή προϊόντος</w:t>
            </w:r>
          </w:p>
        </w:tc>
        <w:tc>
          <w:tcPr>
            <w:tcW w:w="3083" w:type="dxa"/>
            <w:gridSpan w:val="15"/>
            <w:tcBorders>
              <w:top w:val="single" w:sz="4" w:space="0" w:color="auto"/>
              <w:left w:val="single" w:sz="4" w:space="0" w:color="auto"/>
              <w:bottom w:val="single" w:sz="4" w:space="0" w:color="auto"/>
              <w:right w:val="nil"/>
            </w:tcBorders>
            <w:hideMark/>
          </w:tcPr>
          <w:p>
            <w:pPr>
              <w:widowControl w:val="0"/>
              <w:spacing w:after="0"/>
              <w:rPr>
                <w:rFonts w:eastAsia="Times New Roman" w:cs="Times New Roman"/>
                <w:b/>
                <w:noProof/>
                <w:color w:val="000000"/>
                <w:sz w:val="24"/>
                <w:szCs w:val="24"/>
              </w:rPr>
            </w:pPr>
            <w:r>
              <w:rPr>
                <w:b/>
                <w:noProof/>
                <w:color w:val="000000"/>
                <w:sz w:val="24"/>
              </w:rPr>
              <w:t>Τύπος επιτρεπόμενης μεταποίησης επί του σκάφους:</w:t>
            </w:r>
          </w:p>
        </w:tc>
        <w:tc>
          <w:tcPr>
            <w:tcW w:w="4575" w:type="dxa"/>
            <w:gridSpan w:val="11"/>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4. Αναφορά σε εφαρμοστέα μέτρα διατήρησης και διαχείρισης</w:t>
            </w:r>
          </w:p>
        </w:tc>
      </w:tr>
      <w:tr>
        <w:trPr>
          <w:trHeight w:val="352"/>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pPr>
              <w:widowControl w:val="0"/>
              <w:spacing w:after="0"/>
              <w:rPr>
                <w:rFonts w:eastAsia="Times New Roman" w:cs="Times New Roman"/>
                <w:b/>
                <w:noProof/>
                <w:color w:val="000000"/>
                <w:sz w:val="24"/>
                <w:szCs w:val="24"/>
              </w:rPr>
            </w:pPr>
            <w:r>
              <w:rPr>
                <w:b/>
                <w:noProof/>
                <w:color w:val="000000"/>
                <w:sz w:val="24"/>
              </w:rPr>
              <w:t>Είδος</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rPr>
                <w:rFonts w:eastAsia="Times New Roman" w:cs="Times New Roman"/>
                <w:b/>
                <w:noProof/>
                <w:color w:val="000000"/>
                <w:sz w:val="24"/>
                <w:szCs w:val="24"/>
              </w:rPr>
            </w:pPr>
            <w:r>
              <w:rPr>
                <w:b/>
                <w:noProof/>
                <w:color w:val="000000"/>
                <w:sz w:val="24"/>
              </w:rPr>
              <w:t>Κωδικός προϊόντος</w:t>
            </w:r>
          </w:p>
        </w:tc>
        <w:tc>
          <w:tcPr>
            <w:tcW w:w="1643" w:type="dxa"/>
            <w:gridSpan w:val="8"/>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rPr>
            </w:pPr>
            <w:r>
              <w:rPr>
                <w:b/>
                <w:noProof/>
                <w:sz w:val="24"/>
              </w:rPr>
              <w:t>Ημερομηνίες και περιοχές αλιείας</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rPr>
            </w:pPr>
            <w:r>
              <w:rPr>
                <w:b/>
                <w:noProof/>
                <w:sz w:val="24"/>
              </w:rPr>
              <w:t>Εκτιμώμενο βάρος ζωντανών αλιευμάτων (καθαρό βάρος ιχθύων σε kg)</w:t>
            </w:r>
          </w:p>
        </w:tc>
        <w:tc>
          <w:tcPr>
            <w:tcW w:w="1701" w:type="dxa"/>
            <w:gridSpan w:val="6"/>
            <w:tcBorders>
              <w:top w:val="single" w:sz="4" w:space="0" w:color="auto"/>
              <w:left w:val="single" w:sz="4" w:space="0" w:color="auto"/>
              <w:bottom w:val="single" w:sz="4" w:space="0" w:color="auto"/>
              <w:right w:val="nil"/>
            </w:tcBorders>
            <w:vAlign w:val="center"/>
            <w:hideMark/>
          </w:tcPr>
          <w:p>
            <w:pPr>
              <w:widowControl w:val="0"/>
              <w:spacing w:after="0"/>
              <w:jc w:val="center"/>
              <w:rPr>
                <w:rFonts w:eastAsia="Times New Roman" w:cs="Times New Roman"/>
                <w:b/>
                <w:noProof/>
                <w:sz w:val="24"/>
                <w:szCs w:val="24"/>
              </w:rPr>
            </w:pPr>
            <w:r>
              <w:rPr>
                <w:b/>
                <w:noProof/>
                <w:sz w:val="24"/>
              </w:rPr>
              <w:t>Εκτιμώμενο βάρος ζωντανών αλιευμάτων προς εκφόρτωση (καθαρό βάρος ιχθύων σε kg)</w:t>
            </w:r>
          </w:p>
        </w:tc>
        <w:tc>
          <w:tcPr>
            <w:tcW w:w="2409"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rPr>
            </w:pPr>
            <w:r>
              <w:rPr>
                <w:b/>
                <w:noProof/>
                <w:sz w:val="24"/>
              </w:rPr>
              <w:t xml:space="preserve">Επαληθευμένο εκφορτωθέν βάρος (καθαρό βάρος σε kg) </w:t>
            </w:r>
          </w:p>
        </w:tc>
      </w:tr>
      <w:tr>
        <w:trPr>
          <w:trHeight w:val="403"/>
        </w:trPr>
        <w:tc>
          <w:tcPr>
            <w:tcW w:w="1460" w:type="dxa"/>
            <w:gridSpan w:val="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color w:val="000000"/>
                <w:sz w:val="24"/>
                <w:szCs w:val="24"/>
              </w:rPr>
            </w:pPr>
          </w:p>
        </w:tc>
        <w:tc>
          <w:tcPr>
            <w:tcW w:w="1434" w:type="dxa"/>
            <w:gridSpan w:val="5"/>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color w:val="000000"/>
                <w:sz w:val="24"/>
                <w:szCs w:val="24"/>
              </w:rPr>
            </w:pPr>
          </w:p>
        </w:tc>
        <w:tc>
          <w:tcPr>
            <w:tcW w:w="1643"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p>
        </w:tc>
        <w:tc>
          <w:tcPr>
            <w:tcW w:w="1701"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p>
        </w:tc>
        <w:tc>
          <w:tcPr>
            <w:tcW w:w="1701" w:type="dxa"/>
            <w:gridSpan w:val="6"/>
            <w:tcBorders>
              <w:top w:val="single" w:sz="4" w:space="0" w:color="auto"/>
              <w:left w:val="single" w:sz="4" w:space="0" w:color="auto"/>
              <w:bottom w:val="single" w:sz="4" w:space="0" w:color="auto"/>
              <w:right w:val="nil"/>
            </w:tcBorders>
          </w:tcPr>
          <w:p>
            <w:pPr>
              <w:widowControl w:val="0"/>
              <w:spacing w:after="0"/>
              <w:rPr>
                <w:rFonts w:eastAsia="Times New Roman" w:cs="Times New Roman"/>
                <w:noProof/>
                <w:sz w:val="24"/>
                <w:szCs w:val="24"/>
              </w:rPr>
            </w:pPr>
          </w:p>
        </w:tc>
        <w:tc>
          <w:tcPr>
            <w:tcW w:w="2409"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p>
        </w:tc>
      </w:tr>
      <w:tr>
        <w:trPr>
          <w:trHeight w:val="369"/>
        </w:trP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5. Όνομα πλοιάρχου του αλιευτικού σκάφους - Υπογραφή - Σφραγίδα:</w:t>
            </w:r>
          </w:p>
        </w:tc>
      </w:tr>
      <w:tr>
        <w:trPr>
          <w:trHeight w:val="711"/>
        </w:trPr>
        <w:tc>
          <w:tcPr>
            <w:tcW w:w="4219" w:type="dxa"/>
            <w:gridSpan w:val="1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6. Δήλωση μεταφόρτωσης εν πλω</w:t>
            </w:r>
            <w:r>
              <w:rPr>
                <w:rFonts w:eastAsia="Times New Roman" w:cs="Times New Roman"/>
                <w:noProof/>
                <w:sz w:val="24"/>
                <w:szCs w:val="24"/>
              </w:rPr>
              <w:br/>
            </w:r>
            <w:r>
              <w:rPr>
                <w:noProof/>
                <w:sz w:val="24"/>
              </w:rPr>
              <w:t>Ονοματεπώνυμο πλοιάρχου αλιευτικού σκάφους</w:t>
            </w:r>
          </w:p>
        </w:tc>
        <w:tc>
          <w:tcPr>
            <w:tcW w:w="1221"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Υπογραφή και ημερομηνία</w:t>
            </w:r>
          </w:p>
        </w:tc>
        <w:tc>
          <w:tcPr>
            <w:tcW w:w="2499" w:type="dxa"/>
            <w:gridSpan w:val="10"/>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Ημερομηνία/Περιοχή/Στίγμα μεταφόρτωσης</w:t>
            </w:r>
          </w:p>
        </w:tc>
        <w:tc>
          <w:tcPr>
            <w:tcW w:w="2409"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Εκτιμώμενο βάρος (kg)</w:t>
            </w:r>
          </w:p>
        </w:tc>
      </w:tr>
      <w:tr>
        <w:trPr>
          <w:trHeight w:val="717"/>
        </w:trPr>
        <w:tc>
          <w:tcPr>
            <w:tcW w:w="2660"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Πλοίαρχος σκάφους παραλαβής</w:t>
            </w:r>
          </w:p>
        </w:tc>
        <w:tc>
          <w:tcPr>
            <w:tcW w:w="1257"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Υπογραφή</w:t>
            </w:r>
          </w:p>
        </w:tc>
        <w:tc>
          <w:tcPr>
            <w:tcW w:w="1800"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Όνομα σκάφους</w:t>
            </w:r>
          </w:p>
        </w:tc>
        <w:tc>
          <w:tcPr>
            <w:tcW w:w="1462"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Αναγνωριστικό κλήσεως ασυρμάτου</w:t>
            </w:r>
          </w:p>
        </w:tc>
        <w:tc>
          <w:tcPr>
            <w:tcW w:w="3169"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Αριθμός IMO/Lloyds</w:t>
            </w:r>
            <w:r>
              <w:rPr>
                <w:rFonts w:eastAsia="Times New Roman" w:cs="Times New Roman"/>
                <w:b/>
                <w:noProof/>
                <w:sz w:val="24"/>
                <w:szCs w:val="24"/>
              </w:rPr>
              <w:br/>
            </w:r>
            <w:r>
              <w:rPr>
                <w:noProof/>
                <w:sz w:val="24"/>
              </w:rPr>
              <w:t>(εάν υπάρχει)</w:t>
            </w:r>
          </w:p>
        </w:tc>
      </w:tr>
      <w:tr>
        <w:tc>
          <w:tcPr>
            <w:tcW w:w="10348" w:type="dxa"/>
            <w:gridSpan w:val="3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r>
              <w:rPr>
                <w:b/>
                <w:noProof/>
                <w:sz w:val="24"/>
              </w:rPr>
              <w:t>7. Άδεια μεταφόρτωσης ή/και εκφόρτωσης εντός ζώνης λιμένα</w:t>
            </w:r>
            <w:r>
              <w:rPr>
                <w:noProof/>
                <w:sz w:val="24"/>
              </w:rPr>
              <w:t>:</w:t>
            </w:r>
          </w:p>
        </w:tc>
      </w:tr>
      <w:tr>
        <w:trPr>
          <w:trHeight w:val="162"/>
        </w:trPr>
        <w:tc>
          <w:tcPr>
            <w:tcW w:w="851" w:type="dxa"/>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Ονοματεπώνυμο</w:t>
            </w:r>
          </w:p>
        </w:tc>
        <w:tc>
          <w:tcPr>
            <w:tcW w:w="1276" w:type="dxa"/>
            <w:gridSpan w:val="2"/>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Αρχή</w:t>
            </w:r>
          </w:p>
        </w:tc>
        <w:tc>
          <w:tcPr>
            <w:tcW w:w="1276" w:type="dxa"/>
            <w:gridSpan w:val="8"/>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Υπογραφή</w:t>
            </w:r>
          </w:p>
        </w:tc>
        <w:tc>
          <w:tcPr>
            <w:tcW w:w="1134" w:type="dxa"/>
            <w:gridSpan w:val="4"/>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Διεύθυνση</w:t>
            </w:r>
          </w:p>
        </w:tc>
        <w:tc>
          <w:tcPr>
            <w:tcW w:w="816" w:type="dxa"/>
            <w:gridSpan w:val="2"/>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Τηλ.</w:t>
            </w:r>
          </w:p>
        </w:tc>
        <w:tc>
          <w:tcPr>
            <w:tcW w:w="1559" w:type="dxa"/>
            <w:gridSpan w:val="8"/>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Λιμένας εκφόρτωσης</w:t>
            </w:r>
            <w:r>
              <w:rPr>
                <w:b/>
                <w:noProof/>
              </w:rPr>
              <w:t xml:space="preserve"> (κατά περίπτωση)</w:t>
            </w:r>
          </w:p>
        </w:tc>
        <w:tc>
          <w:tcPr>
            <w:tcW w:w="1559" w:type="dxa"/>
            <w:gridSpan w:val="5"/>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 xml:space="preserve">Ημερομηνία εκφόρτωσης </w:t>
            </w:r>
            <w:r>
              <w:rPr>
                <w:b/>
                <w:noProof/>
              </w:rPr>
              <w:t xml:space="preserve">(κατά περίπτωση)  </w:t>
            </w:r>
          </w:p>
        </w:tc>
        <w:tc>
          <w:tcPr>
            <w:tcW w:w="1877" w:type="dxa"/>
            <w:gridSpan w:val="2"/>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Σφραγίδα</w:t>
            </w:r>
          </w:p>
        </w:tc>
      </w:tr>
      <w:tr>
        <w:trPr>
          <w:trHeight w:val="161"/>
        </w:trPr>
        <w:tc>
          <w:tcPr>
            <w:tcW w:w="851" w:type="dxa"/>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p>
        </w:tc>
        <w:tc>
          <w:tcPr>
            <w:tcW w:w="1276" w:type="dxa"/>
            <w:gridSpan w:val="2"/>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p>
        </w:tc>
        <w:tc>
          <w:tcPr>
            <w:tcW w:w="1276" w:type="dxa"/>
            <w:gridSpan w:val="8"/>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p>
        </w:tc>
        <w:tc>
          <w:tcPr>
            <w:tcW w:w="1134" w:type="dxa"/>
            <w:gridSpan w:val="4"/>
            <w:vMerge/>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c>
          <w:tcPr>
            <w:tcW w:w="816" w:type="dxa"/>
            <w:gridSpan w:val="2"/>
            <w:vMerge/>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c>
          <w:tcPr>
            <w:tcW w:w="1559"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rPr>
            </w:pPr>
            <w:r>
              <w:rPr>
                <w:b/>
                <w:noProof/>
              </w:rPr>
              <w:t>Λιμένας μεταφόρτωσης (κατά περίπτωση)</w:t>
            </w:r>
          </w:p>
        </w:tc>
        <w:tc>
          <w:tcPr>
            <w:tcW w:w="1559" w:type="dxa"/>
            <w:gridSpan w:val="5"/>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rPr>
              <w:t>Ημερομηνία μεταφόρτωσης (κατά περίπτωση)</w:t>
            </w:r>
            <w:r>
              <w:rPr>
                <w:b/>
                <w:noProof/>
                <w:sz w:val="24"/>
              </w:rPr>
              <w:t xml:space="preserve">  </w:t>
            </w:r>
          </w:p>
        </w:tc>
        <w:tc>
          <w:tcPr>
            <w:tcW w:w="1877" w:type="dxa"/>
            <w:gridSpan w:val="2"/>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Σφραγίδα</w:t>
            </w:r>
          </w:p>
        </w:tc>
      </w:tr>
      <w:tr>
        <w:tc>
          <w:tcPr>
            <w:tcW w:w="2451"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r>
              <w:rPr>
                <w:b/>
                <w:noProof/>
                <w:color w:val="000000"/>
                <w:sz w:val="24"/>
              </w:rPr>
              <w:t>8. Όνομα και διεύθυνση του εξαγωγέα</w:t>
            </w:r>
          </w:p>
          <w:p>
            <w:pPr>
              <w:widowControl w:val="0"/>
              <w:spacing w:after="0"/>
              <w:rPr>
                <w:rFonts w:eastAsia="Times New Roman" w:cs="Times New Roman"/>
                <w:b/>
                <w:noProof/>
                <w:color w:val="000000"/>
                <w:sz w:val="24"/>
                <w:szCs w:val="24"/>
              </w:rPr>
            </w:pPr>
          </w:p>
        </w:tc>
        <w:tc>
          <w:tcPr>
            <w:tcW w:w="2323" w:type="dxa"/>
            <w:gridSpan w:val="1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Υπογραφή</w:t>
            </w:r>
          </w:p>
        </w:tc>
        <w:tc>
          <w:tcPr>
            <w:tcW w:w="2323"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Ημερομηνία</w:t>
            </w:r>
          </w:p>
        </w:tc>
        <w:tc>
          <w:tcPr>
            <w:tcW w:w="3251" w:type="dxa"/>
            <w:gridSpan w:val="6"/>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Σφραγίδα</w:t>
            </w:r>
          </w:p>
        </w:tc>
      </w:tr>
      <w:tr>
        <w:trPr>
          <w:trHeight w:val="322"/>
        </w:trP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9. Επικύρωση της αρχής του κράτους σημαίας</w:t>
            </w:r>
            <w:r>
              <w:rPr>
                <w:noProof/>
                <w:sz w:val="24"/>
              </w:rPr>
              <w:t>:</w:t>
            </w:r>
          </w:p>
        </w:tc>
      </w:tr>
      <w:tr>
        <w:trPr>
          <w:trHeight w:val="322"/>
        </w:trPr>
        <w:tc>
          <w:tcPr>
            <w:tcW w:w="2936" w:type="dxa"/>
            <w:gridSpan w:val="9"/>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Ονοματεπώνυμο/Τίτλος</w:t>
            </w:r>
          </w:p>
        </w:tc>
        <w:tc>
          <w:tcPr>
            <w:tcW w:w="2417"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Υπογραφή</w:t>
            </w:r>
          </w:p>
        </w:tc>
        <w:tc>
          <w:tcPr>
            <w:tcW w:w="1333"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 xml:space="preserve">Ημερομηνία </w:t>
            </w:r>
          </w:p>
        </w:tc>
        <w:tc>
          <w:tcPr>
            <w:tcW w:w="366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Σφραγίδα</w:t>
            </w:r>
          </w:p>
        </w:tc>
      </w:tr>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 xml:space="preserve">10. Λεπτομέρειες μεταφοράς: </w:t>
            </w:r>
            <w:r>
              <w:rPr>
                <w:i/>
                <w:noProof/>
                <w:sz w:val="24"/>
              </w:rPr>
              <w:t>Βλ. προσάρτημα</w:t>
            </w:r>
          </w:p>
        </w:tc>
      </w:tr>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11. Δήλωση εισαγωγέα:</w:t>
            </w:r>
          </w:p>
        </w:tc>
      </w:tr>
      <w:tr>
        <w:trPr>
          <w:trHeight w:val="317"/>
        </w:trPr>
        <w:tc>
          <w:tcPr>
            <w:tcW w:w="292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Εταιρεία, όνομα, διεύθυνση, αριθμός EORI και στοιχεία επικοινωνίας του εισαγωγέα (προσδιορίστε τα στοιχεία)</w:t>
            </w:r>
          </w:p>
        </w:tc>
        <w:tc>
          <w:tcPr>
            <w:tcW w:w="1615" w:type="dxa"/>
            <w:gridSpan w:val="7"/>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Υπογραφή</w:t>
            </w:r>
          </w:p>
        </w:tc>
        <w:tc>
          <w:tcPr>
            <w:tcW w:w="2375" w:type="dxa"/>
            <w:gridSpan w:val="10"/>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Ημερομηνία</w:t>
            </w:r>
          </w:p>
        </w:tc>
        <w:tc>
          <w:tcPr>
            <w:tcW w:w="3436" w:type="dxa"/>
            <w:gridSpan w:val="7"/>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Σφραγίδα</w:t>
            </w:r>
          </w:p>
        </w:tc>
      </w:tr>
      <w:tr>
        <w:trPr>
          <w:trHeight w:val="317"/>
        </w:trP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Εταιρεία, όνομα, διεύθυνση, αριθμός EORI και στοιχεία επικοινωνίας του αντιπροσώπου του εισαγωγέα (προσδιορίστε τα στοιχεία)</w:t>
            </w:r>
          </w:p>
        </w:tc>
        <w:tc>
          <w:tcPr>
            <w:tcW w:w="1615" w:type="dxa"/>
            <w:gridSpan w:val="7"/>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Υπογραφή</w:t>
            </w:r>
          </w:p>
        </w:tc>
        <w:tc>
          <w:tcPr>
            <w:tcW w:w="2375" w:type="dxa"/>
            <w:gridSpan w:val="10"/>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Ημερομηνία</w:t>
            </w:r>
          </w:p>
        </w:tc>
        <w:tc>
          <w:tcPr>
            <w:tcW w:w="3436" w:type="dxa"/>
            <w:gridSpan w:val="7"/>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Σφραγίδα</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Περιγραφή του προϊόντος:</w:t>
            </w:r>
          </w:p>
        </w:tc>
        <w:tc>
          <w:tcPr>
            <w:tcW w:w="1615"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Κωδικός ΣΟ</w:t>
            </w:r>
          </w:p>
        </w:tc>
        <w:tc>
          <w:tcPr>
            <w:tcW w:w="2375"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Περιγραφή προϊόντος</w:t>
            </w:r>
          </w:p>
        </w:tc>
        <w:tc>
          <w:tcPr>
            <w:tcW w:w="1123"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Καθαρό βάρος σε kg</w:t>
            </w:r>
          </w:p>
          <w:p>
            <w:pPr>
              <w:widowControl w:val="0"/>
              <w:spacing w:after="0"/>
              <w:rPr>
                <w:rFonts w:eastAsia="Times New Roman" w:cs="Times New Roman"/>
                <w:b/>
                <w:noProof/>
                <w:sz w:val="24"/>
                <w:szCs w:val="24"/>
              </w:rPr>
            </w:pPr>
          </w:p>
        </w:tc>
        <w:tc>
          <w:tcPr>
            <w:tcW w:w="2313" w:type="dxa"/>
            <w:gridSpan w:val="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Καθαρό βάρος ιχθύων σε kg</w:t>
            </w:r>
          </w:p>
          <w:p>
            <w:pPr>
              <w:widowControl w:val="0"/>
              <w:spacing w:after="0"/>
              <w:rPr>
                <w:rFonts w:eastAsia="Times New Roman" w:cs="Times New Roman"/>
                <w:noProof/>
                <w:sz w:val="24"/>
                <w:szCs w:val="24"/>
              </w:rPr>
            </w:pPr>
          </w:p>
        </w:tc>
      </w:tr>
      <w:tr>
        <w:tc>
          <w:tcPr>
            <w:tcW w:w="292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Έγγραφο βάσει του άρθρου 14 παράγραφος 1 του κανονισμού (ΕΚ) αριθ. 1005/2008</w:t>
            </w:r>
          </w:p>
        </w:tc>
        <w:tc>
          <w:tcPr>
            <w:tcW w:w="1615"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Ναι/Όχι (κατά περίπτωση)</w:t>
            </w:r>
          </w:p>
        </w:tc>
        <w:tc>
          <w:tcPr>
            <w:tcW w:w="5811" w:type="dxa"/>
            <w:gridSpan w:val="1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r>
              <w:rPr>
                <w:b/>
                <w:noProof/>
                <w:sz w:val="24"/>
              </w:rPr>
              <w:t>Παραπομπές</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Έγγραφο βάσει του άρθρου 14 παράγραφος 2 του κανονισμού (ΕΚ) αριθ. 1005/2008:</w:t>
            </w:r>
          </w:p>
        </w:tc>
        <w:tc>
          <w:tcPr>
            <w:tcW w:w="1615"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Ναι/Όχι (κατά περίπτωση)</w:t>
            </w:r>
          </w:p>
        </w:tc>
        <w:tc>
          <w:tcPr>
            <w:tcW w:w="5811" w:type="dxa"/>
            <w:gridSpan w:val="1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r>
              <w:rPr>
                <w:b/>
                <w:noProof/>
                <w:sz w:val="24"/>
              </w:rPr>
              <w:t>Παραπομπές</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Κράτος μέλος και τελωνείο εισαγωγής</w:t>
            </w:r>
          </w:p>
        </w:tc>
        <w:tc>
          <w:tcPr>
            <w:tcW w:w="7426" w:type="dxa"/>
            <w:gridSpan w:val="2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Μέσο μεταφοράς κατά την άφιξη (αεροσκάφος, όχημα, πλοίο, τρένο)</w:t>
            </w:r>
          </w:p>
        </w:tc>
        <w:tc>
          <w:tcPr>
            <w:tcW w:w="2713" w:type="dxa"/>
            <w:gridSpan w:val="11"/>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Αριθμός αναφοράς του παραστατικού μεταφοράς</w:t>
            </w:r>
          </w:p>
        </w:tc>
        <w:tc>
          <w:tcPr>
            <w:tcW w:w="4713" w:type="dxa"/>
            <w:gridSpan w:val="1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Εκτιμώμενος χρόνος άφιξης (εάν η υποβολή πραγματοποιείται με βάση το άρθρο 12 παράγραφος 1 του κανονισμού (ΕΚ) αριθ. 1005/2008)</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Αριθμός διασάφησης (εάν εκδόθηκε)</w:t>
            </w:r>
          </w:p>
        </w:tc>
        <w:tc>
          <w:tcPr>
            <w:tcW w:w="2713" w:type="dxa"/>
            <w:gridSpan w:val="11"/>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Αριθμός CVED (εάν υπάρχει)</w:t>
            </w:r>
          </w:p>
        </w:tc>
        <w:tc>
          <w:tcPr>
            <w:tcW w:w="4713" w:type="dxa"/>
            <w:gridSpan w:val="1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607"/>
        </w:trPr>
        <w:tc>
          <w:tcPr>
            <w:tcW w:w="3403" w:type="dxa"/>
            <w:gridSpan w:val="11"/>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12. Έλεγχος εισαγωγής: Αρχή</w:t>
            </w:r>
          </w:p>
        </w:tc>
        <w:tc>
          <w:tcPr>
            <w:tcW w:w="1134" w:type="dxa"/>
            <w:gridSpan w:val="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Τόπος</w:t>
            </w:r>
          </w:p>
        </w:tc>
        <w:tc>
          <w:tcPr>
            <w:tcW w:w="1701"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Η εισαγωγή εγκρίνεται(*)</w:t>
            </w:r>
          </w:p>
        </w:tc>
        <w:tc>
          <w:tcPr>
            <w:tcW w:w="1701" w:type="dxa"/>
            <w:gridSpan w:val="6"/>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Η εισαγωγή αναστέλλεται(*)</w:t>
            </w:r>
          </w:p>
        </w:tc>
        <w:tc>
          <w:tcPr>
            <w:tcW w:w="2409" w:type="dxa"/>
            <w:gridSpan w:val="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Ζητήθηκε επαλήθευση - ημερομηνία</w:t>
            </w:r>
          </w:p>
        </w:tc>
      </w:tr>
      <w:tr>
        <w:trPr>
          <w:trHeight w:val="193"/>
        </w:trPr>
        <w:tc>
          <w:tcPr>
            <w:tcW w:w="3403" w:type="dxa"/>
            <w:gridSpan w:val="11"/>
            <w:tcBorders>
              <w:top w:val="single" w:sz="4" w:space="0" w:color="auto"/>
              <w:left w:val="single" w:sz="4" w:space="0" w:color="auto"/>
              <w:right w:val="single" w:sz="4" w:space="0" w:color="auto"/>
            </w:tcBorders>
          </w:tcPr>
          <w:p>
            <w:pPr>
              <w:rPr>
                <w:noProof/>
              </w:rPr>
            </w:pPr>
            <w:r>
              <w:rPr>
                <w:noProof/>
              </w:rPr>
              <w:t xml:space="preserve">13. Απόρριψη πιστοποιητικού αλιευμάτων </w:t>
            </w: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Το πιστοποιητικού αλιευμάτων απορρίπτεται με βάση το:</w:t>
            </w:r>
          </w:p>
          <w:p>
            <w:pPr>
              <w:widowControl w:val="0"/>
              <w:spacing w:after="0"/>
              <w:rPr>
                <w:rFonts w:eastAsia="Times New Roman" w:cs="Times New Roman"/>
                <w:b/>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w:t>
            </w:r>
          </w:p>
        </w:tc>
      </w:tr>
      <w:tr>
        <w:trPr>
          <w:trHeight w:val="193"/>
        </w:trPr>
        <w:tc>
          <w:tcPr>
            <w:tcW w:w="3403" w:type="dxa"/>
            <w:gridSpan w:val="11"/>
            <w:vMerge w:val="restart"/>
            <w:tcBorders>
              <w:left w:val="single" w:sz="4" w:space="0" w:color="auto"/>
              <w:right w:val="single" w:sz="4" w:space="0" w:color="auto"/>
            </w:tcBorders>
          </w:tcPr>
          <w:p>
            <w:pPr>
              <w:rPr>
                <w:noProof/>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α)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β)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γ)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δ)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ε)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στ)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1 στοιχείο ζ)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2 στοιχείο α)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2 στοιχείο β)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Άρθρο 18 παράγραφος 2 στοιχείο γ)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Άρθρο 18 παράγραφος 2 στοιχείο δ)</w:t>
            </w:r>
          </w:p>
        </w:tc>
        <w:tc>
          <w:tcPr>
            <w:tcW w:w="1595" w:type="dxa"/>
            <w:tcBorders>
              <w:top w:val="single" w:sz="4" w:space="0" w:color="auto"/>
              <w:left w:val="single" w:sz="4" w:space="0" w:color="auto"/>
              <w:right w:val="single" w:sz="4" w:space="0" w:color="auto"/>
            </w:tcBorders>
          </w:tcPr>
          <w:p>
            <w:pPr>
              <w:widowControl w:val="0"/>
              <w:spacing w:after="0"/>
              <w:rPr>
                <w:rFonts w:eastAsia="Times New Roman" w:cs="Times New Roman"/>
                <w:b/>
                <w:noProof/>
                <w:sz w:val="24"/>
                <w:szCs w:val="24"/>
              </w:rPr>
            </w:pPr>
          </w:p>
        </w:tc>
      </w:tr>
    </w:tbl>
    <w:p>
      <w:pPr>
        <w:widowControl w:val="0"/>
        <w:spacing w:after="0" w:line="360" w:lineRule="auto"/>
        <w:rPr>
          <w:rFonts w:eastAsia="Times New Roman" w:cs="Times New Roman"/>
          <w:noProof/>
        </w:rPr>
      </w:pPr>
      <w:r>
        <w:rPr>
          <w:noProof/>
        </w:rPr>
        <w:t>(*) Να επιλεχθεί η κατάλληλη ένδειξη</w:t>
      </w:r>
    </w:p>
    <w:p>
      <w:pPr>
        <w:rPr>
          <w:rFonts w:eastAsia="Times New Roman" w:cs="Times New Roman"/>
          <w:noProof/>
          <w:sz w:val="24"/>
          <w:szCs w:val="24"/>
        </w:rPr>
      </w:pPr>
    </w:p>
    <w:p>
      <w:pPr>
        <w:rPr>
          <w:rFonts w:eastAsia="Times New Roman" w:cs="Times New Roman"/>
          <w:noProof/>
          <w:sz w:val="24"/>
          <w:szCs w:val="24"/>
        </w:rPr>
      </w:pPr>
    </w:p>
    <w:tbl>
      <w:tblPr>
        <w:tblpPr w:leftFromText="180" w:rightFromText="180" w:vertAnchor="text" w:horzAnchor="margin" w:tblpY="195"/>
        <w:tblW w:w="9290" w:type="dxa"/>
        <w:tblBorders>
          <w:bottom w:val="single" w:sz="4" w:space="0" w:color="auto"/>
          <w:right w:val="single" w:sz="4" w:space="0" w:color="auto"/>
        </w:tblBorders>
        <w:tblLayout w:type="fixed"/>
        <w:tblLook w:val="04A0" w:firstRow="1" w:lastRow="0" w:firstColumn="1" w:lastColumn="0" w:noHBand="0" w:noVBand="1"/>
      </w:tblPr>
      <w:tblGrid>
        <w:gridCol w:w="9290"/>
      </w:tblGrid>
      <w:tr>
        <w:trPr>
          <w:trHeight w:val="169"/>
        </w:trPr>
        <w:tc>
          <w:tcPr>
            <w:tcW w:w="9290" w:type="dxa"/>
          </w:tcPr>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39"/>
              <w:gridCol w:w="530"/>
              <w:gridCol w:w="1053"/>
              <w:gridCol w:w="1467"/>
              <w:gridCol w:w="242"/>
              <w:gridCol w:w="118"/>
              <w:gridCol w:w="1896"/>
              <w:gridCol w:w="1350"/>
            </w:tblGrid>
            <w:tr>
              <w:trPr>
                <w:cantSplit/>
              </w:trPr>
              <w:tc>
                <w:tcPr>
                  <w:tcW w:w="9292" w:type="dxa"/>
                  <w:gridSpan w:val="9"/>
                  <w:tcBorders>
                    <w:top w:val="single" w:sz="4" w:space="0" w:color="auto"/>
                    <w:left w:val="single" w:sz="4" w:space="0" w:color="auto"/>
                    <w:bottom w:val="single" w:sz="4" w:space="0" w:color="auto"/>
                    <w:right w:val="nil"/>
                  </w:tcBorders>
                  <w:hideMark/>
                </w:tcPr>
                <w:p>
                  <w:pPr>
                    <w:framePr w:hSpace="180" w:wrap="around" w:vAnchor="text" w:hAnchor="margin" w:y="195"/>
                    <w:widowControl w:val="0"/>
                    <w:tabs>
                      <w:tab w:val="center" w:pos="4536"/>
                      <w:tab w:val="right" w:pos="8789"/>
                    </w:tabs>
                    <w:spacing w:after="0"/>
                    <w:rPr>
                      <w:rFonts w:ascii="Times New Roman" w:eastAsia="Times New Roman" w:hAnsi="Times New Roman" w:cs="Times New Roman"/>
                      <w:b/>
                      <w:noProof/>
                      <w:color w:val="000000"/>
                      <w:sz w:val="24"/>
                      <w:szCs w:val="24"/>
                      <w:u w:val="single"/>
                    </w:rPr>
                  </w:pPr>
                  <w:r>
                    <w:rPr>
                      <w:noProof/>
                    </w:rPr>
                    <w:tab/>
                  </w:r>
                  <w:r>
                    <w:rPr>
                      <w:rFonts w:ascii="Times New Roman" w:hAnsi="Times New Roman"/>
                      <w:b/>
                      <w:noProof/>
                      <w:color w:val="000000"/>
                      <w:sz w:val="24"/>
                      <w:u w:val="single"/>
                    </w:rPr>
                    <w:t>ii) ΠΙΣΤΟΠΟΙΗΤΙΚΟ ΕΠΑΝΕΞΑΓΩΓΗΣ ΤΗΣ ΕΥΡΩΠΑΪΚΗΣ ΕΝΩΣΗΣ</w:t>
                  </w:r>
                </w:p>
              </w:tc>
            </w:tr>
            <w:tr>
              <w:trPr>
                <w:cantSplit/>
              </w:trPr>
              <w:tc>
                <w:tcPr>
                  <w:tcW w:w="2597"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Αριθμός πιστοποιητικού</w:t>
                  </w:r>
                </w:p>
              </w:tc>
              <w:tc>
                <w:tcPr>
                  <w:tcW w:w="3331" w:type="dxa"/>
                  <w:gridSpan w:val="5"/>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Ημερομηνία </w:t>
                  </w:r>
                </w:p>
              </w:tc>
              <w:tc>
                <w:tcPr>
                  <w:tcW w:w="3364" w:type="dxa"/>
                  <w:gridSpan w:val="3"/>
                  <w:tcBorders>
                    <w:top w:val="single" w:sz="4" w:space="0" w:color="auto"/>
                    <w:left w:val="single" w:sz="4" w:space="0" w:color="auto"/>
                    <w:bottom w:val="nil"/>
                    <w:right w:val="nil"/>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Κράτος μέλος</w:t>
                  </w:r>
                </w:p>
              </w:tc>
            </w:tr>
            <w:tr>
              <w:trPr>
                <w:cantSplit/>
                <w:trHeight w:val="391"/>
              </w:trPr>
              <w:tc>
                <w:tcPr>
                  <w:tcW w:w="4219" w:type="dxa"/>
                  <w:gridSpan w:val="4"/>
                  <w:tcBorders>
                    <w:top w:val="single" w:sz="4" w:space="0" w:color="auto"/>
                    <w:left w:val="single" w:sz="4" w:space="0" w:color="auto"/>
                    <w:bottom w:val="single" w:sz="4" w:space="0" w:color="auto"/>
                    <w:right w:val="nil"/>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1. Περιγραφή προϊόντος προς επανεξαγωγή:</w:t>
                  </w:r>
                </w:p>
              </w:tc>
              <w:tc>
                <w:tcPr>
                  <w:tcW w:w="5073" w:type="dxa"/>
                  <w:gridSpan w:val="5"/>
                  <w:tcBorders>
                    <w:top w:val="single" w:sz="4" w:space="0" w:color="auto"/>
                    <w:left w:val="single" w:sz="4" w:space="0" w:color="auto"/>
                    <w:bottom w:val="single" w:sz="4" w:space="0" w:color="auto"/>
                    <w:right w:val="single" w:sz="4" w:space="0" w:color="auto"/>
                  </w:tcBorders>
                  <w:hideMark/>
                </w:tcPr>
                <w:p>
                  <w:pPr>
                    <w:framePr w:hSpace="180" w:wrap="around" w:vAnchor="text" w:hAnchor="margin" w:y="195"/>
                    <w:widowControl w:val="0"/>
                    <w:autoSpaceDE w:val="0"/>
                    <w:autoSpaceDN w:val="0"/>
                    <w:adjustRightInd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 Βάρος (kg) </w:t>
                  </w:r>
                </w:p>
              </w:tc>
            </w:tr>
            <w:tr>
              <w:trPr>
                <w:trHeight w:val="547"/>
              </w:trPr>
              <w:tc>
                <w:tcPr>
                  <w:tcW w:w="3166" w:type="dxa"/>
                  <w:gridSpan w:val="3"/>
                  <w:tcBorders>
                    <w:top w:val="single" w:sz="4" w:space="0" w:color="auto"/>
                    <w:left w:val="single" w:sz="4" w:space="0" w:color="auto"/>
                    <w:bottom w:val="single" w:sz="4" w:space="0" w:color="auto"/>
                    <w:right w:val="single" w:sz="4" w:space="0" w:color="auto"/>
                  </w:tcBorders>
                  <w:vAlign w:val="center"/>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Είδος</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Κωδικός προϊόντος</w:t>
                  </w:r>
                </w:p>
              </w:tc>
              <w:tc>
                <w:tcPr>
                  <w:tcW w:w="3246" w:type="dxa"/>
                  <w:gridSpan w:val="2"/>
                  <w:tcBorders>
                    <w:top w:val="single" w:sz="4" w:space="0" w:color="auto"/>
                    <w:left w:val="single" w:sz="4" w:space="0" w:color="auto"/>
                    <w:bottom w:val="single" w:sz="4" w:space="0" w:color="auto"/>
                    <w:right w:val="nil"/>
                  </w:tcBorders>
                  <w:vAlign w:val="center"/>
                  <w:hideMark/>
                </w:tcPr>
                <w:p>
                  <w:pPr>
                    <w:framePr w:hSpace="180" w:wrap="around" w:vAnchor="text" w:hAnchor="margin" w:y="195"/>
                    <w:widowControl w:val="0"/>
                    <w:spacing w:after="0"/>
                    <w:jc w:val="center"/>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Διαφορά από την ολική ποσότητα που δηλώνεται στο πιστοποιητικό αλιευμάτων </w:t>
                  </w:r>
                </w:p>
              </w:tc>
            </w:tr>
            <w:tr>
              <w:trPr>
                <w:cantSplit/>
                <w:trHeight w:val="360"/>
              </w:trPr>
              <w:tc>
                <w:tcPr>
                  <w:tcW w:w="2636" w:type="dxa"/>
                  <w:gridSpan w:val="2"/>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2. Όνομα επανεξαγωγέα</w:t>
                  </w:r>
                </w:p>
              </w:tc>
              <w:tc>
                <w:tcPr>
                  <w:tcW w:w="3050" w:type="dxa"/>
                  <w:gridSpan w:val="3"/>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Διεύθυνση</w:t>
                  </w:r>
                </w:p>
              </w:tc>
              <w:tc>
                <w:tcPr>
                  <w:tcW w:w="2256" w:type="dxa"/>
                  <w:gridSpan w:val="3"/>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Υπογραφή </w:t>
                  </w:r>
                </w:p>
              </w:tc>
              <w:tc>
                <w:tcPr>
                  <w:tcW w:w="1350"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Ημερομηνία</w:t>
                  </w:r>
                </w:p>
              </w:tc>
            </w:tr>
          </w:tbl>
          <w:p>
            <w:pPr>
              <w:widowControl w:val="0"/>
              <w:pBdr>
                <w:top w:val="single" w:sz="4" w:space="1"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3. Αρχή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3050"/>
              <w:gridCol w:w="2104"/>
              <w:gridCol w:w="1498"/>
            </w:tblGrid>
            <w:tr>
              <w:trPr>
                <w:cantSplit/>
                <w:trHeight w:val="360"/>
              </w:trPr>
              <w:tc>
                <w:tcPr>
                  <w:tcW w:w="2638" w:type="dxa"/>
                  <w:tcBorders>
                    <w:top w:val="single" w:sz="4" w:space="0" w:color="auto"/>
                    <w:left w:val="single" w:sz="4" w:space="0" w:color="auto"/>
                    <w:bottom w:val="nil"/>
                    <w:right w:val="single" w:sz="4" w:space="0" w:color="auto"/>
                  </w:tcBorders>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Ονοματεπώνυμο/Τίτλος </w:t>
                  </w:r>
                </w:p>
                <w:p>
                  <w:pPr>
                    <w:framePr w:hSpace="180" w:wrap="around" w:vAnchor="text" w:hAnchor="margin" w:y="195"/>
                    <w:widowControl w:val="0"/>
                    <w:spacing w:after="0"/>
                    <w:rPr>
                      <w:rFonts w:ascii="Times New Roman" w:eastAsia="Times New Roman" w:hAnsi="Times New Roman" w:cs="Times New Roman"/>
                      <w:b/>
                      <w:noProof/>
                      <w:color w:val="000000"/>
                      <w:sz w:val="24"/>
                      <w:szCs w:val="24"/>
                    </w:rPr>
                  </w:pPr>
                </w:p>
              </w:tc>
              <w:tc>
                <w:tcPr>
                  <w:tcW w:w="3050"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Υπογραφή</w:t>
                  </w:r>
                </w:p>
              </w:tc>
              <w:tc>
                <w:tcPr>
                  <w:tcW w:w="2104"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Ημερομηνία</w:t>
                  </w:r>
                </w:p>
              </w:tc>
              <w:tc>
                <w:tcPr>
                  <w:tcW w:w="1498"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Σφραγίδα</w:t>
                  </w:r>
                </w:p>
              </w:tc>
            </w:tr>
          </w:tbl>
          <w:p>
            <w:pPr>
              <w:widowControl w:val="0"/>
              <w:pBdr>
                <w:top w:val="single" w:sz="4" w:space="0"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4. Έλεγχος επανεξαγωγής</w:t>
            </w:r>
          </w:p>
          <w:tbl>
            <w:tblPr>
              <w:tblW w:w="929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20"/>
              <w:gridCol w:w="2520"/>
              <w:gridCol w:w="2162"/>
            </w:tblGrid>
            <w:tr>
              <w:trPr>
                <w:cantSplit/>
                <w:trHeight w:val="501"/>
              </w:trPr>
              <w:tc>
                <w:tcPr>
                  <w:tcW w:w="2088"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Τόπος: </w:t>
                  </w:r>
                </w:p>
              </w:tc>
              <w:tc>
                <w:tcPr>
                  <w:tcW w:w="2520"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Επανεξαγωγή εγκρίνεται(*)</w:t>
                  </w:r>
                </w:p>
              </w:tc>
              <w:tc>
                <w:tcPr>
                  <w:tcW w:w="2520"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Ζητήθηκε επαλήθευση(*)</w:t>
                  </w:r>
                </w:p>
              </w:tc>
              <w:tc>
                <w:tcPr>
                  <w:tcW w:w="2162"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Δήλωση επανεξαγωγής: αριθμός και ημερομηνία</w:t>
                  </w:r>
                </w:p>
              </w:tc>
            </w:tr>
          </w:tbl>
          <w:p>
            <w:pPr>
              <w:widowControl w:val="0"/>
              <w:spacing w:after="0" w:line="360" w:lineRule="auto"/>
              <w:rPr>
                <w:rFonts w:ascii="Times New Roman" w:eastAsia="Times New Roman" w:hAnsi="Times New Roman" w:cs="Times New Roman"/>
                <w:b/>
                <w:noProof/>
                <w:color w:val="000000"/>
                <w:sz w:val="24"/>
                <w:szCs w:val="24"/>
                <w:u w:val="single"/>
              </w:rPr>
            </w:pPr>
          </w:p>
        </w:tc>
      </w:tr>
    </w:tbl>
    <w:p>
      <w:pPr>
        <w:rPr>
          <w:noProof/>
        </w:rPr>
      </w:pPr>
      <w:r>
        <w:rPr>
          <w:noProof/>
        </w:rPr>
        <w:t>(*) Να επιλεχθεί η κατάλληλη ένδειξη</w:t>
      </w:r>
    </w:p>
    <w:p>
      <w:pPr>
        <w:jc w:val="center"/>
        <w:rPr>
          <w:rFonts w:ascii="Times New Roman" w:hAnsi="Times New Roman" w:cs="Times New Roman"/>
          <w:b/>
          <w:noProof/>
          <w:sz w:val="24"/>
          <w:szCs w:val="24"/>
        </w:rPr>
      </w:pPr>
    </w:p>
    <w:p>
      <w:pPr>
        <w:rPr>
          <w:rFonts w:ascii="Times New Roman" w:hAnsi="Times New Roman" w:cs="Times New Roman"/>
          <w:b/>
          <w:noProof/>
          <w:sz w:val="24"/>
          <w:szCs w:val="24"/>
        </w:rPr>
      </w:pPr>
      <w:r>
        <w:rPr>
          <w:noProof/>
        </w:rPr>
        <w:br w:type="page"/>
      </w:r>
    </w:p>
    <w:p>
      <w:pPr>
        <w:jc w:val="center"/>
        <w:rPr>
          <w:rFonts w:ascii="Times New Roman" w:hAnsi="Times New Roman" w:cs="Times New Roman"/>
          <w:b/>
          <w:noProof/>
          <w:sz w:val="24"/>
          <w:szCs w:val="24"/>
        </w:rPr>
      </w:pPr>
      <w:r>
        <w:rPr>
          <w:rFonts w:ascii="Times New Roman" w:hAnsi="Times New Roman"/>
          <w:b/>
          <w:noProof/>
          <w:sz w:val="24"/>
        </w:rPr>
        <w:t>Προσάρτημα</w:t>
      </w:r>
    </w:p>
    <w:p>
      <w:pPr>
        <w:jc w:val="center"/>
        <w:rPr>
          <w:rFonts w:ascii="Times New Roman" w:hAnsi="Times New Roman" w:cs="Times New Roman"/>
          <w:b/>
          <w:noProof/>
          <w:sz w:val="24"/>
          <w:szCs w:val="24"/>
        </w:rPr>
      </w:pPr>
      <w:r>
        <w:rPr>
          <w:rFonts w:ascii="Times New Roman" w:hAnsi="Times New Roman"/>
          <w:b/>
          <w:noProof/>
          <w:sz w:val="24"/>
        </w:rPr>
        <w:t>ΛΕΠΤΟΜΕΡΕΙΕΣ ΜΕΤΑΦΟΡΑΣ</w:t>
      </w:r>
    </w:p>
    <w:tbl>
      <w:tblPr>
        <w:tblpPr w:leftFromText="180" w:rightFromText="180" w:vertAnchor="text" w:horzAnchor="margin" w:tblpY="195"/>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07"/>
        <w:gridCol w:w="1135"/>
        <w:gridCol w:w="1291"/>
        <w:gridCol w:w="1369"/>
      </w:tblGrid>
      <w:tr>
        <w:trPr>
          <w:cantSplit/>
          <w:trHeight w:val="708"/>
        </w:trPr>
        <w:tc>
          <w:tcPr>
            <w:tcW w:w="3888"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1. Χώρα εξαγωγής</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Λιμένας/αερολιμένα/άλλος τόπος αναχώρησης</w:t>
            </w:r>
          </w:p>
        </w:tc>
        <w:tc>
          <w:tcPr>
            <w:tcW w:w="5402" w:type="dxa"/>
            <w:gridSpan w:val="4"/>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noProof/>
                <w:sz w:val="24"/>
                <w:szCs w:val="24"/>
              </w:rPr>
            </w:pPr>
            <w:r>
              <w:rPr>
                <w:rFonts w:ascii="Times New Roman" w:hAnsi="Times New Roman"/>
                <w:b/>
                <w:noProof/>
                <w:sz w:val="24"/>
              </w:rPr>
              <w:t>2. Υπογραφή εξαγωγέα</w:t>
            </w:r>
            <w:r>
              <w:rPr>
                <w:rFonts w:ascii="Times New Roman" w:hAnsi="Times New Roman"/>
                <w:noProof/>
                <w:sz w:val="24"/>
              </w:rPr>
              <w:t xml:space="preserve"> </w:t>
            </w:r>
          </w:p>
        </w:tc>
      </w:tr>
      <w:tr>
        <w:trPr>
          <w:cantSplit/>
        </w:trPr>
        <w:tc>
          <w:tcPr>
            <w:tcW w:w="3888"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Όνομα και σημαία σκάφους</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Αριθμός πτήσης/αριθμός δελτίου αεροπορικής μεταφοράς</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Εθνικότητα και αριθμός καταχώρισης φορτηγού</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Αριθμός δελτίου σιδηροδρομικής μεταφοράς</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Άλλο έγγραφο μεταφοράς </w:t>
            </w:r>
          </w:p>
        </w:tc>
        <w:tc>
          <w:tcPr>
            <w:tcW w:w="1607" w:type="dxa"/>
            <w:tcBorders>
              <w:top w:val="single" w:sz="4" w:space="0" w:color="auto"/>
              <w:left w:val="single" w:sz="4" w:space="0" w:color="auto"/>
              <w:bottom w:val="single" w:sz="4" w:space="0" w:color="auto"/>
              <w:right w:val="single" w:sz="4" w:space="0" w:color="auto"/>
            </w:tcBorders>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Αριθμοί εμπορευματοκιβωτίων: </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επισυνάπτεται κατάλογος</w:t>
            </w:r>
          </w:p>
          <w:p>
            <w:pPr>
              <w:widowControl w:val="0"/>
              <w:spacing w:after="0" w:line="360" w:lineRule="auto"/>
              <w:rPr>
                <w:rFonts w:ascii="Times New Roman" w:eastAsia="Times New Roman" w:hAnsi="Times New Roman" w:cs="Times New Roman"/>
                <w:b/>
                <w:noProof/>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Ονοματεπώνυμο</w:t>
            </w:r>
          </w:p>
        </w:tc>
        <w:tc>
          <w:tcPr>
            <w:tcW w:w="1291"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Διεύθυνση</w:t>
            </w:r>
          </w:p>
        </w:tc>
        <w:tc>
          <w:tcPr>
            <w:tcW w:w="1369"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Υπογραφή</w:t>
            </w:r>
          </w:p>
        </w:tc>
      </w:tr>
    </w:tbl>
    <w:p>
      <w:pPr>
        <w:rPr>
          <w:rFonts w:ascii="Times New Roman" w:hAnsi="Times New Roman" w:cs="Times New Roman"/>
          <w:noProof/>
          <w:sz w:val="24"/>
          <w:szCs w:val="24"/>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6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53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pPr>
      <w:pStyle w:val="Footer"/>
      <w:tabs>
        <w:tab w:val="clear" w:pos="4536"/>
        <w:tab w:val="clear" w:pos="9072"/>
        <w:tab w:val="left" w:pos="7593"/>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Τα ποσά που αναφέρονται στο παρόν παράρτημα υπολογίζονται επί της αξίας των αλιευτικών προϊόντων που προέκυψαν από τη διάπραξη της παράβασης, σύμφωνα με τις τιμές που ισχύουν στην πλατφόρμα του παρατηρητηρίου ευρωπαϊκών αγορών προϊόντων αλιείας και υδατοκαλλιέργειας (EUMOFA) κατά τον χρόνο της διαπίστωσης της παράβασης, εάν είναι διαθέσιμες. Στην περίπτωση όπου οι τιμές στην EUMOFA δεν είναι διαθέσιμες ή δεν είναι συναφείς, εφαρμόζονται οι εθνικές τιμές ή οι τιμές που προσδιορίζονται σε κύριες διεθνείς αγορές και είναι συναφείς για τα σχετικά είδη και η υψηλότερη τιμή υπερισχύει.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1E1"/>
    <w:multiLevelType w:val="hybridMultilevel"/>
    <w:tmpl w:val="652A7468"/>
    <w:lvl w:ilvl="0" w:tplc="DB284B9C">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2364FE9"/>
    <w:multiLevelType w:val="hybridMultilevel"/>
    <w:tmpl w:val="B4442934"/>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2C341B"/>
    <w:multiLevelType w:val="hybridMultilevel"/>
    <w:tmpl w:val="458CA336"/>
    <w:lvl w:ilvl="0" w:tplc="DCB25C0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D870636"/>
    <w:multiLevelType w:val="hybridMultilevel"/>
    <w:tmpl w:val="E4949D1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753263"/>
    <w:multiLevelType w:val="hybridMultilevel"/>
    <w:tmpl w:val="6F20BC96"/>
    <w:lvl w:ilvl="0" w:tplc="153E4E6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F7CBE"/>
    <w:multiLevelType w:val="hybridMultilevel"/>
    <w:tmpl w:val="1F488ADA"/>
    <w:lvl w:ilvl="0" w:tplc="0FF216F6">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50849"/>
    <w:multiLevelType w:val="hybridMultilevel"/>
    <w:tmpl w:val="DA28B2B0"/>
    <w:lvl w:ilvl="0" w:tplc="5CA23DA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912A1"/>
    <w:multiLevelType w:val="hybridMultilevel"/>
    <w:tmpl w:val="FF6ED2D0"/>
    <w:lvl w:ilvl="0" w:tplc="F1A0225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32C74"/>
    <w:multiLevelType w:val="hybridMultilevel"/>
    <w:tmpl w:val="6F2EA180"/>
    <w:lvl w:ilvl="0" w:tplc="BE86A0D4">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70528"/>
    <w:multiLevelType w:val="hybridMultilevel"/>
    <w:tmpl w:val="62C6B3B6"/>
    <w:lvl w:ilvl="0" w:tplc="14D0C9E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059AF"/>
    <w:multiLevelType w:val="hybridMultilevel"/>
    <w:tmpl w:val="44D4C740"/>
    <w:lvl w:ilvl="0" w:tplc="0ED6699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13FBB"/>
    <w:multiLevelType w:val="hybridMultilevel"/>
    <w:tmpl w:val="36F83072"/>
    <w:lvl w:ilvl="0" w:tplc="7AEC0FB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65757"/>
    <w:multiLevelType w:val="hybridMultilevel"/>
    <w:tmpl w:val="7B2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11E9D"/>
    <w:multiLevelType w:val="hybridMultilevel"/>
    <w:tmpl w:val="4D1A6D5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B3DF9"/>
    <w:multiLevelType w:val="hybridMultilevel"/>
    <w:tmpl w:val="9E828F68"/>
    <w:lvl w:ilvl="0" w:tplc="CDDAA6E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917BE"/>
    <w:multiLevelType w:val="hybridMultilevel"/>
    <w:tmpl w:val="9620B6F8"/>
    <w:lvl w:ilvl="0" w:tplc="FD06514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6"/>
  </w:num>
  <w:num w:numId="10">
    <w:abstractNumId w:val="12"/>
  </w:num>
  <w:num w:numId="11">
    <w:abstractNumId w:val="7"/>
  </w:num>
  <w:num w:numId="12">
    <w:abstractNumId w:val="8"/>
  </w:num>
  <w:num w:numId="13">
    <w:abstractNumId w:val="10"/>
  </w:num>
  <w:num w:numId="14">
    <w:abstractNumId w:val="5"/>
  </w:num>
  <w:num w:numId="15">
    <w:abstractNumId w:val="1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1"/>
    <w:docVar w:name="LW_ANNEX_UNIQUE" w:val="1"/>
    <w:docVar w:name="LW_CORRIGENDUM" w:val="&lt;UNUSED&gt;"/>
    <w:docVar w:name="LW_COVERPAGE_EXISTS" w:val="True"/>
    <w:docVar w:name="LW_COVERPAGE_GUID" w:val="F12F959D-2D60-47FB-A92B-1CD628C3B9AC"/>
    <w:docVar w:name="LW_COVERPAGE_TYPE" w:val="1"/>
    <w:docVar w:name="LW_CROSSREFERENCE" w:val="{SEC(2018) 267 final}_x000b_{SWD(2018) 279 final}_x000b_{SWD(2018) 280 final}"/>
    <w:docVar w:name="LW_DocType" w:val="NORMAL"/>
    <w:docVar w:name="LW_EMISSION" w:val="30.5.2018"/>
    <w:docVar w:name="LW_EMISSION_ISODATE" w:val="2018-05-30"/>
    <w:docVar w:name="LW_EMISSION_LOCATION" w:val="BRX"/>
    <w:docVar w:name="LW_EMISSION_PREFIX" w:val="Βρυξέλλες, "/>
    <w:docVar w:name="LW_EMISSION_SUFFIX" w:val="&lt;EMPTY&gt;"/>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u957? \u964?\u961?\u959?\u960?\u959?\u960?\u959?\u943?\u951?\u963?\u951? \u964?\u959?\u965? \u954?\u945?\u957?\u959?\u957?\u953?\u963?\u956?\u959?\u973? (\u917?\u922?) \u945?\u961?\u953?\u952?. 1224/2009 \u964?\u959?\u965? \u931?\u965?\u956?\u946?\u959?\u965?\u955?\u943?\u959?\u965?, \u954?\u945?\u952?\u974?\u962? \u954?\u945?\u953? \u947?\u953?\u945? \u964?\u951?\u957? \u964?\u961?\u959?\u960?\u959?\u960?\u959?\u943?\u951?\u963?\u951? \u964?\u969?\u957? \u954?\u945?\u957?\u959?\u957?\u953?\u963?\u956?\u974?\u957? (\u917?\u922?) \u945?\u961?\u953?\u952?. 768/2005, (\u917?\u922?) \u945?\u961?\u953?\u952?. 1967/2006, (\u917?\u922?) \u945?\u961?\u953?\u952?. 1005/2008 \u964?\u959?\u965? \u931?\u965?\u956?\u946?\u959?\u965?\u955?\u943?\u959?\u965? \u954?\u945?\u953? \u964?\u959?\u965? \u954?\u945?\u957?\u959?\u957?\u953?\u963?\u956?\u959?\u973? (\u917?\u917?) \u945?\u961?\u953?\u952?. 2016/1139 \u964?\u959?\u965? \u917?\u965?\u961?\u969?\u960?\u945?\u970?\u954?\u959?\u973? \u922?\u959?\u953?\u957?\u959?\u946?\u959?\u965?\u955?\u943?\u959?\u965? \u954?\u945?\u953? \u964?\u959?\u965? \u931?\u965?\u956?\u946?\u959?\u965?\u955?\u943?\u959?\u965? \u972?\u963?\u959?\u957? \u945?\u966?\u959?\u961?\u940? \u964?\u959?\u957? \u941?\u955?\u949?\u947?\u967?\u959? \u964?\u951?\u962? \u945?\u955?\u953?\u949?\u943?\u945?\u962?"/>
    <w:docVar w:name="LW_PART_NBR" w:val="1"/>
    <w:docVar w:name="LW_PART_NBR_TOTAL" w:val="1"/>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28?\u913?\u929?\u913?\u929?\u932?\u919?\u924?\u913?_x000b_"/>
    <w:docVar w:name="LW_TYPEACTEPRINCIPAL.CP" w:val="\u928?\u961?\u972?\u964?\u945?\u963?\u951?\u962?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el-G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el-GR"/>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l-GR"/>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l-GR"/>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el-GR"/>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el-GR"/>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l-GR"/>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4B13-3DB8-4074-ADE1-0EA461D8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2553</Words>
  <Characters>15426</Characters>
  <Application>Microsoft Office Word</Application>
  <DocSecurity>0</DocSecurity>
  <Lines>701</Lines>
  <Paragraphs>339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COURCY Nils (MARE)</dc:creator>
  <cp:lastModifiedBy>DIGIT/A3</cp:lastModifiedBy>
  <cp:revision>16</cp:revision>
  <dcterms:created xsi:type="dcterms:W3CDTF">2018-05-08T09:37:00Z</dcterms:created>
  <dcterms:modified xsi:type="dcterms:W3CDTF">2018-06-18T08:30:00Z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