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76A924B-B57A-480A-B080-7EDECE39BD05" style="width:450.75pt;height:397.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ΠΑΡΑΡΤΗΜΑ 1</w:t>
      </w:r>
    </w:p>
    <w:p>
      <w:pPr>
        <w:spacing w:before="0" w:after="200" w:line="276" w:lineRule="auto"/>
        <w:jc w:val="center"/>
        <w:rPr>
          <w:b/>
          <w:noProof/>
        </w:rPr>
      </w:pPr>
      <w:r>
        <w:rPr>
          <w:b/>
          <w:noProof/>
        </w:rPr>
        <w:t>Μη εξαντλητικός κατάλογος δυνατών μορφών δράσεων</w:t>
      </w:r>
      <w:r>
        <w:rPr>
          <w:b/>
          <w:noProof/>
        </w:rPr>
        <w:br/>
        <w:t>που αναφέρονται στο άρθρο 7 παράγραφος 2 πρώτο εδάφιο στοιχεία α), β) και δ)</w:t>
      </w:r>
    </w:p>
    <w:p>
      <w:pPr>
        <w:spacing w:before="0" w:after="200" w:line="276" w:lineRule="auto"/>
        <w:jc w:val="left"/>
        <w:rPr>
          <w:noProof/>
        </w:rPr>
      </w:pPr>
      <w:r>
        <w:rPr>
          <w:noProof/>
        </w:rPr>
        <w:t xml:space="preserve">Οι δράσεις που αναφέρονται στο άρθρο 7 παράγραφος 2 πρώτο εδάφιο στοιχεία α), β) και δ) μπορούν να πάρουν, μεταξύ άλλων, τις εξής μορφές: </w:t>
      </w:r>
    </w:p>
    <w:p>
      <w:pPr>
        <w:pStyle w:val="NormalLeft"/>
        <w:rPr>
          <w:noProof/>
        </w:rPr>
      </w:pPr>
      <w:r>
        <w:rPr>
          <w:noProof/>
        </w:rPr>
        <w:t>α)</w:t>
      </w:r>
      <w:r>
        <w:rPr>
          <w:noProof/>
        </w:rPr>
        <w:tab/>
        <w:t>Όσον αφορά τις συναντήσεις και τις παρεμφερείς ειδικές εκδηλώσεις:</w:t>
      </w:r>
    </w:p>
    <w:p>
      <w:pPr>
        <w:pStyle w:val="Tiret1"/>
        <w:numPr>
          <w:ilvl w:val="0"/>
          <w:numId w:val="9"/>
        </w:numPr>
        <w:rPr>
          <w:noProof/>
        </w:rPr>
      </w:pPr>
      <w:r>
        <w:rPr>
          <w:noProof/>
        </w:rPr>
        <w:t>σεμινάριο και εργαστήριο, στο οποίο παρίστανται εν γένει όλες οι χώρες, πραγματοποιούνται παρουσιάσεις και οι συμμετέχοντες επιδίδονται σε εκτεταμένη συζήτηση και δραστηριότητα σχετικά με συγκεκριμένο θέμα,</w:t>
      </w:r>
    </w:p>
    <w:p>
      <w:pPr>
        <w:pStyle w:val="Tiret1"/>
        <w:rPr>
          <w:noProof/>
        </w:rPr>
      </w:pPr>
      <w:r>
        <w:rPr>
          <w:noProof/>
        </w:rPr>
        <w:t xml:space="preserve">επίσκεψη εργασίας, που διοργανώνεται με σκοπό να παρασχεθεί στους υπαλλήλους η δυνατότητα να αποκτήσουν ή να αυξήσουν την εμπειρογνωμοσύνη ή τις γνώσεις τους όσον αφορά τη φορολογική πολιτική, </w:t>
      </w:r>
    </w:p>
    <w:p>
      <w:pPr>
        <w:pStyle w:val="Tiret1"/>
        <w:rPr>
          <w:noProof/>
        </w:rPr>
      </w:pPr>
      <w:r>
        <w:rPr>
          <w:noProof/>
        </w:rPr>
        <w:t xml:space="preserve">παρουσία στα γραφεία των διοικητικών υπηρεσιών και συμμετοχή σε διοικητικές έρευνες· </w:t>
      </w:r>
    </w:p>
    <w:p>
      <w:pPr>
        <w:pStyle w:val="NormalLeft"/>
        <w:rPr>
          <w:noProof/>
        </w:rPr>
      </w:pPr>
      <w:r>
        <w:rPr>
          <w:noProof/>
        </w:rPr>
        <w:t>β)</w:t>
      </w:r>
      <w:r>
        <w:rPr>
          <w:noProof/>
        </w:rPr>
        <w:tab/>
        <w:t xml:space="preserve">Όσον αφορά τη διαρθρωμένη συνεργασία: </w:t>
      </w:r>
    </w:p>
    <w:p>
      <w:pPr>
        <w:pStyle w:val="Tiret1"/>
        <w:rPr>
          <w:noProof/>
        </w:rPr>
      </w:pPr>
      <w:r>
        <w:rPr>
          <w:noProof/>
        </w:rPr>
        <w:t xml:space="preserve">ομάδα έργου, η οποία απαρτίζεται κατά κανόνα από περιορισμένο αριθμό χωρών και λειτουργεί για περιορισμένο χρονικό διάστημα για την επιδίωξη προκαθορισμένου στόχου με σαφώς καθορισμένο αποτέλεσμα, συμπεριλαμβανομένου του συντονισμού ή της συγκριτικής ανάλυσης, </w:t>
      </w:r>
    </w:p>
    <w:p>
      <w:pPr>
        <w:pStyle w:val="Tiret1"/>
        <w:rPr>
          <w:noProof/>
        </w:rPr>
      </w:pPr>
      <w:r>
        <w:rPr>
          <w:noProof/>
        </w:rPr>
        <w:t>ειδική ομάδα, ήτοι διαρθρωμένες μορφές συνεργασίας, με μόνιμο ή μη χαρακτήρα, στις οποίες αξιοποιείται η ομαδική εμπειρογνωμοσύνη για την άσκηση καθηκόντων σε συγκεκριμένους τομείς ή την εκτέλεση επιχειρησιακών δραστηριοτήτων, ενδεχομένως με τη στήριξη διαδικτυακών υπηρεσιών συνεργασίας, διοικητικής βοήθειας και διευκολύνσεων υποδομών και εξοπλισμού,</w:t>
      </w:r>
    </w:p>
    <w:p>
      <w:pPr>
        <w:pStyle w:val="Tiret1"/>
        <w:rPr>
          <w:noProof/>
        </w:rPr>
      </w:pPr>
      <w:r>
        <w:rPr>
          <w:noProof/>
        </w:rPr>
        <w:t>πολυμερής ή ταυτόχρονος έλεγχος, που συνίσταται στον συντονισμένο έλεγχο της φορολογικής κατάστασης ενός ή περισσότερων σχετιζόμενων υποκειμένων στον φόρο και οργανώνεται από δύο ή περισσότερες χώρες με κοινά ή συμπληρωματικά συμφέροντα, στις οποίες περιλαμβάνονται τουλάχιστον δύο κράτη μέλη,</w:t>
      </w:r>
    </w:p>
    <w:p>
      <w:pPr>
        <w:pStyle w:val="Tiret1"/>
        <w:rPr>
          <w:noProof/>
        </w:rPr>
      </w:pPr>
      <w:r>
        <w:rPr>
          <w:noProof/>
        </w:rPr>
        <w:t xml:space="preserve">κοινός λογιστικός έλεγχος, που συνίσταται στον κοινό έλεγχο της φορολογικής κατάστασης ενός ή περισσότερων σχετιζόμενων υποκειμένων στον φόρο και οργανώνεται από δύο ή περισσότερες χώρες με κοινά ή συμπληρωματικά συμφέροντα, στις οποίες περιλαμβάνονται τουλάχιστον δύο κράτη μέλη, </w:t>
      </w:r>
    </w:p>
    <w:p>
      <w:pPr>
        <w:pStyle w:val="Tiret1"/>
        <w:rPr>
          <w:noProof/>
        </w:rPr>
      </w:pPr>
      <w:r>
        <w:rPr>
          <w:noProof/>
        </w:rPr>
        <w:t xml:space="preserve">οποιαδήποτε άλλη μορφή διοικητικής συνεργασίας που καθορίζεται με την οδηγία 2011/16/ΕΕ, τον κανονισμό (ΕΕ) αριθ. 904/2010, τον κανονισμό (ΕΕ) αριθ. 389/2012 ή την οδηγία 2010/24/ΕΕ· </w:t>
      </w:r>
    </w:p>
    <w:p>
      <w:pPr>
        <w:pStyle w:val="NormalLeft"/>
        <w:rPr>
          <w:noProof/>
        </w:rPr>
      </w:pPr>
      <w:r>
        <w:rPr>
          <w:noProof/>
        </w:rPr>
        <w:t>δ)</w:t>
      </w:r>
      <w:r>
        <w:rPr>
          <w:noProof/>
        </w:rPr>
        <w:tab/>
        <w:t xml:space="preserve">Όσον αφορά τις δράσεις ανάπτυξης δεξιοτήτων και ικανοτήτων των υπαλλήλων: </w:t>
      </w:r>
    </w:p>
    <w:p>
      <w:pPr>
        <w:pStyle w:val="Tiret1"/>
        <w:rPr>
          <w:noProof/>
        </w:rPr>
      </w:pPr>
      <w:r>
        <w:rPr>
          <w:noProof/>
        </w:rPr>
        <w:t>κοινή εκπαίδευση ή ανάπτυξη ηλεκτρονικής μάθησης για τη στήριξη των αναγκαίων επαγγελματικών δεξιοτήτων και γνώσεων οι οποίες σχετίζονται με τη φορολογία,</w:t>
      </w:r>
    </w:p>
    <w:p>
      <w:pPr>
        <w:pStyle w:val="Tiret1"/>
        <w:rPr>
          <w:noProof/>
        </w:rPr>
      </w:pPr>
      <w:r>
        <w:rPr>
          <w:noProof/>
        </w:rPr>
        <w:t>τεχνική υποστήριξη με στόχο τη βελτίωση των διοικητικών διαδικασιών, την ενίσχυση της διοικητικής ικανότητας και τη βελτίωση της λειτουργίας και των εργασιών των φορολογικών διοικήσεων με την καθιέρωση και ανταλλαγή ορθών πρακτικών.</w:t>
      </w:r>
    </w:p>
    <w:p>
      <w:pPr>
        <w:spacing w:before="0" w:after="200" w:line="276" w:lineRule="auto"/>
        <w:jc w:val="left"/>
        <w:rPr>
          <w:b/>
          <w:noProof/>
          <w:u w:val="single"/>
        </w:rPr>
      </w:pPr>
      <w:r>
        <w:rPr>
          <w:noProof/>
        </w:rPr>
        <w:br w:type="page"/>
      </w:r>
    </w:p>
    <w:p>
      <w:pPr>
        <w:pStyle w:val="Annexetitre"/>
        <w:rPr>
          <w:noProof/>
        </w:rPr>
      </w:pPr>
      <w:r>
        <w:rPr>
          <w:noProof/>
        </w:rPr>
        <w:t>ΠΑΡΑΡΤΗΜΑ 2</w:t>
      </w:r>
    </w:p>
    <w:p>
      <w:pPr>
        <w:spacing w:before="0" w:after="200" w:line="276" w:lineRule="auto"/>
        <w:jc w:val="center"/>
        <w:rPr>
          <w:b/>
          <w:noProof/>
        </w:rPr>
      </w:pPr>
      <w:r>
        <w:rPr>
          <w:b/>
          <w:noProof/>
        </w:rPr>
        <w:t xml:space="preserve">Δείκτες </w:t>
      </w:r>
    </w:p>
    <w:p>
      <w:pPr>
        <w:spacing w:before="0" w:after="200" w:line="276" w:lineRule="auto"/>
        <w:jc w:val="left"/>
        <w:rPr>
          <w:noProof/>
        </w:rPr>
      </w:pPr>
      <w:r>
        <w:rPr>
          <w:noProof/>
        </w:rPr>
        <w:t>Ειδικός στόχος:  στήριξη της φορολογικής πολιτικής, της φορολογικής συνεργασίας και της ανάπτυξης διοικητικών ικανοτήτων, όπως, μεταξύ άλλων, των ικανοτήτων των υπαλλήλων και της ανάπτυξης και λειτουργίας ευρωπαϊκών ηλεκτρονικών συστημάτων.</w:t>
      </w:r>
    </w:p>
    <w:p>
      <w:pPr>
        <w:spacing w:before="0" w:after="200" w:line="276" w:lineRule="auto"/>
        <w:jc w:val="left"/>
        <w:rPr>
          <w:b/>
          <w:bCs/>
          <w:noProof/>
          <w:u w:val="single"/>
        </w:rPr>
      </w:pPr>
      <w:r>
        <w:rPr>
          <w:b/>
          <w:bCs/>
          <w:noProof/>
          <w:u w:val="single"/>
        </w:rPr>
        <w:t>1. Ανάπτυξη ικανοτήτων (όσον αφορά τη διοίκηση, τους υπαλλήλους και τις ΤΠ):</w:t>
      </w:r>
    </w:p>
    <w:p>
      <w:pPr>
        <w:pStyle w:val="NumPar1"/>
        <w:numPr>
          <w:ilvl w:val="0"/>
          <w:numId w:val="11"/>
        </w:numPr>
        <w:rPr>
          <w:noProof/>
        </w:rPr>
      </w:pPr>
      <w:r>
        <w:rPr>
          <w:noProof/>
        </w:rPr>
        <w:t>Δείκτης εφαρμογής και υλοποίησης της νομοθεσίας και πολιτικής της Ένωσης (Αριθμός των δράσεων στο πλαίσιο του προγράμματος που οργανώνονται στον συγκεκριμένο τομέα και των συστάσεων που εκδίδονται μετά τις δράσεις αυτές)</w:t>
      </w:r>
    </w:p>
    <w:p>
      <w:pPr>
        <w:pStyle w:val="NumPar1"/>
        <w:rPr>
          <w:noProof/>
        </w:rPr>
      </w:pPr>
      <w:r>
        <w:rPr>
          <w:noProof/>
        </w:rPr>
        <w:t>Δείκτης μάθησης (χρησιμοποιηθείσες ενότητες μάθησης· αριθμός των υπαλλήλων που εκπαιδεύτηκαν· βαθμολόγηση της ποιότητας από τους συμμετέχοντες)</w:t>
      </w:r>
    </w:p>
    <w:p>
      <w:pPr>
        <w:pStyle w:val="NumPar1"/>
        <w:rPr>
          <w:noProof/>
        </w:rPr>
      </w:pPr>
      <w:r>
        <w:rPr>
          <w:noProof/>
        </w:rPr>
        <w:t>Διαθεσιμότητα των ευρωπαϊκών ηλεκτρονικών συστημάτων (σε ποσοστό του χρόνου)</w:t>
      </w:r>
    </w:p>
    <w:p>
      <w:pPr>
        <w:pStyle w:val="NumPar1"/>
        <w:rPr>
          <w:noProof/>
        </w:rPr>
      </w:pPr>
      <w:r>
        <w:rPr>
          <w:noProof/>
        </w:rPr>
        <w:t>Διαθεσιμότητα του κοινού δικτύου επικοινωνίας (σε ποσοστό του χρόνου)</w:t>
      </w:r>
    </w:p>
    <w:p>
      <w:pPr>
        <w:pStyle w:val="NumPar1"/>
        <w:rPr>
          <w:noProof/>
        </w:rPr>
      </w:pPr>
      <w:r>
        <w:rPr>
          <w:noProof/>
        </w:rPr>
        <w:t>Απλουστευμένες διαδικασίες ΤΠ για τις εθνικές διοικήσεις και τους οικονομικούς φορείς (αριθμός εγγεγραμμένων οικονομικών φορέων, αριθμοί αιτήσεων και αριθμός διαβουλεύσεων στα διάφορα ηλεκτρονικά συστήματα που χρηματοδοτούνται από το πρόγραμμα)</w:t>
      </w:r>
    </w:p>
    <w:p>
      <w:pPr>
        <w:spacing w:before="0" w:after="200" w:line="276" w:lineRule="auto"/>
        <w:jc w:val="left"/>
        <w:rPr>
          <w:b/>
          <w:bCs/>
          <w:noProof/>
          <w:u w:val="single"/>
        </w:rPr>
      </w:pPr>
      <w:r>
        <w:rPr>
          <w:b/>
          <w:bCs/>
          <w:noProof/>
          <w:u w:val="single"/>
        </w:rPr>
        <w:t>2. Ανταλλαγή γνώσεων και δικτύωση:</w:t>
      </w:r>
    </w:p>
    <w:p>
      <w:pPr>
        <w:pStyle w:val="NumPar1"/>
        <w:numPr>
          <w:ilvl w:val="0"/>
          <w:numId w:val="10"/>
        </w:numPr>
        <w:rPr>
          <w:noProof/>
        </w:rPr>
      </w:pPr>
      <w:r>
        <w:rPr>
          <w:noProof/>
        </w:rPr>
        <w:t>Δείκτης αξιοπιστίας της συνεργασίας (βαθμός δικτύωσης που επιτεύχθηκε, αριθμός διά ζώσης συναντήσεων, αριθμός ομάδων διαδικτυακής συνεργασίας)</w:t>
      </w:r>
    </w:p>
    <w:p>
      <w:pPr>
        <w:pStyle w:val="NumPar1"/>
        <w:rPr>
          <w:noProof/>
        </w:rPr>
      </w:pPr>
      <w:r>
        <w:rPr>
          <w:noProof/>
        </w:rPr>
        <w:t>Δείκτης βέλτιστων πρακτικών και κατευθυντήριων γραμμών (αριθμός των δράσεων στο πλαίσιο του προγράμματος που οργανώνονται στον συγκεκριμένο τομέα· ποσοστό των φορολογικών διοικήσεων που αξιοποίησαν εργασιακή πρακτική / κατευθυντήριες γραμμές που αναπτύχθηκαν με τη στήριξη του προγράμματος)</w:t>
      </w: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864A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3CF1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4E90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7070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0EA9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D2C9A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86C3D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2A18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MPAEY Marie-Paule (TAXUD)">
    <w15:presenceInfo w15:providerId="None" w15:userId="MAMPAEY Marie-Paul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09:32: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u964?\u951?\u962? \u960?\u961?\u972?\u964?\u945?\u963?\u951?\u962?"/>
    <w:docVar w:name="LW_ACCOMPAGNANT.CP" w:val="\u964?\u951?\u962? \u960?\u961?\u972?\u964?\u945?\u963?\u951?\u962?"/>
    <w:docVar w:name="LW_ANNEX_NBR_FIRST" w:val="1"/>
    <w:docVar w:name="LW_ANNEX_NBR_LAST" w:val="2"/>
    <w:docVar w:name="LW_ANNEX_UNIQUE" w:val="0"/>
    <w:docVar w:name="LW_CORRIGENDUM" w:val="&lt;UNUSED&gt;"/>
    <w:docVar w:name="LW_COVERPAGE_EXISTS" w:val="True"/>
    <w:docVar w:name="LW_COVERPAGE_GUID" w:val="176A924B-B57A-480A-B080-7EDECE39BD05"/>
    <w:docVar w:name="LW_COVERPAGE_TYPE" w:val="1"/>
    <w:docVar w:name="LW_CROSSREFERENCE" w:val="{SWD(2018) 323 final}_x000b_{SWD(2018) 324 final}"/>
    <w:docVar w:name="LW_DocType" w:val="ANNEX"/>
    <w:docVar w:name="LW_EMISSION" w:val="8.6.2018"/>
    <w:docVar w:name="LW_EMISSION_ISODATE" w:val="2018-06-08"/>
    <w:docVar w:name="LW_EMISSION_LOCATION" w:val="BRX"/>
    <w:docVar w:name="LW_EMISSION_PREFIX" w:val="\u914?\u961?\u965?\u958?\u941?\u955?\u955?\u949?\u962?,"/>
    <w:docVar w:name="LW_EMISSION_SUFFIX" w:val="&lt;EMPTY&gt;"/>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 \u952?\u941?\u963?\u960?\u953?\u963?\u951? \u964?\u959?\u965? \u960?\u961?\u959?\u947?\u961?\u940?\u956?\u956?\u945?\u964?\u959?\u962? «Fiscalis» \u947?\u953?\u945? \u964?\u951? \u963?\u965?\u957?\u949?\u961?\u947?\u945?\u963?\u943?\u945? \u963?\u964?\u959?\u957? \u964?\u959?\u956?\u941?\u945? \u964?\u951?\u962? \u966?\u959?\u961?\u959?\u955?\u959?\u947?\u943?\u945?\u962?"/>
    <w:docVar w:name="LW_OBJETACTEPRINCIPAL.CP" w:val="\u963?\u967?\u949?\u964?\u953?\u954?\u940? \u956?\u949? \u964?\u951? \u952?\u941?\u963?\u960?\u953?\u963?\u951? \u964?\u959?\u965? \u960?\u961?\u959?\u947?\u961?\u940?\u956?\u956?\u945?\u964?\u959?\u962? «Fiscalis» \u947?\u953?\u945? \u964?\u951? \u963?\u965?\u957?\u949?\u961?\u947?\u945?\u963?\u943?\u945? \u963?\u964?\u959?\u957? \u964?\u959?\u956?\u941?\u945? \u964?\u951?\u962? \u966?\u959?\u961?\u959?\u955?\u959?\u947?\u943?\u945?\u962?"/>
    <w:docVar w:name="LW_PART_NBR" w:val="&lt;UNUSED&gt;"/>
    <w:docVar w:name="LW_PART_NBR_TOTAL" w:val="&lt;UNUSED&gt;"/>
    <w:docVar w:name="LW_REF.INST.NEW" w:val="COM"/>
    <w:docVar w:name="LW_REF.INST.NEW_ADOPTED" w:val="final"/>
    <w:docVar w:name="LW_REF.INST.NEW_TEXT" w:val="(2018) 4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22?\u913?\u925?\u927?\u925?\u921?\u931?\u924?\u927?\u933? \u932?\u927?\u933? \u917?\u933?\u929?\u937?\u928?\u913?\u938?\u922?\u927?\u933? \u922?\u927?\u921?\u925?\u927?\u914?\u927?\u933?\u923?\u921?\u927?\u933? \u922?\u913?\u921? \u932?\u927?\u933? \u931?\u933?\u924?\u914?\u927?\u933?\u923?\u921?\u927?\u933?"/>
    <w:docVar w:name="LW_TYPEACTEPRINCIPAL.CP" w:val="\u922?\u913?\u925?\u927?\u925?\u921?\u931?\u924?\u927?\u93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2 Char,1st level - Bullet List Paragraph Char,List Paragraph1 Char,Lettre d'introduction Char,Paragrafo elenco Char,Medium Grid 1 - Accent 21 Char"/>
    <w:link w:val="ListParagraph"/>
    <w:uiPriority w:val="34"/>
    <w:locked/>
    <w:rPr>
      <w:rFonts w:ascii="Times New Roman" w:hAnsi="Times New Roman" w:cs="Times New Roman"/>
      <w:sz w:val="24"/>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2 Char,1st level - Bullet List Paragraph Char,List Paragraph1 Char,Lettre d'introduction Char,Paragrafo elenco Char,Medium Grid 1 - Accent 21 Char"/>
    <w:link w:val="ListParagraph"/>
    <w:uiPriority w:val="34"/>
    <w:locked/>
    <w:rPr>
      <w:rFonts w:ascii="Times New Roman" w:hAnsi="Times New Roman" w:cs="Times New Roman"/>
      <w:sz w:val="24"/>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B29732916DF4D831BB0FCE0DA1F47" ma:contentTypeVersion="0" ma:contentTypeDescription="Create a new document." ma:contentTypeScope="" ma:versionID="5e87b6185a4559021c2d2dd44491d6dc">
  <xsd:schema xmlns:xsd="http://www.w3.org/2001/XMLSchema" xmlns:xs="http://www.w3.org/2001/XMLSchema" xmlns:p="http://schemas.microsoft.com/office/2006/metadata/properties" targetNamespace="http://schemas.microsoft.com/office/2006/metadata/properties" ma:root="true" ma:fieldsID="520aa71ebba3a1c4bc292c1729accc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AF4BC-7D74-4439-9C13-97BE15FD9AFE}">
  <ds:schemaRefs>
    <ds:schemaRef ds:uri="http://schemas.microsoft.com/sharepoint/v3/contenttype/forms"/>
  </ds:schemaRefs>
</ds:datastoreItem>
</file>

<file path=customXml/itemProps2.xml><?xml version="1.0" encoding="utf-8"?>
<ds:datastoreItem xmlns:ds="http://schemas.openxmlformats.org/officeDocument/2006/customXml" ds:itemID="{80A50C48-6702-4B77-9305-9A83ED539416}">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4E24577-67AC-4B25-B67F-9E425FB2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567</Words>
  <Characters>3720</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DEMOULIN Pierre-Yves (TAXUD)</dc:creator>
  <cp:lastModifiedBy>DIGIT/A3</cp:lastModifiedBy>
  <cp:revision>8</cp:revision>
  <dcterms:created xsi:type="dcterms:W3CDTF">2018-06-13T08:05:00Z</dcterms:created>
  <dcterms:modified xsi:type="dcterms:W3CDTF">2018-06-14T07:32:00Z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IsMyDocuments">
    <vt:bool>true</vt:bool>
  </property>
  <property fmtid="{D5CDD505-2E9C-101B-9397-08002B2CF9AE}" pid="14" name="ContentTypeId">
    <vt:lpwstr>0x010100676B29732916DF4D831BB0FCE0DA1F47</vt:lpwstr>
  </property>
  <property fmtid="{D5CDD505-2E9C-101B-9397-08002B2CF9AE}" pid="15" name="DQCStatus">
    <vt:lpwstr>Green (DQC version 03)</vt:lpwstr>
  </property>
</Properties>
</file>