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0895F16-DDA2-459D-A592-153DA54B4427" style="width:450.35pt;height:383.7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lang w:eastAsia="en-US" w:bidi="ar-SA"/>
        </w:rPr>
      </w:pPr>
      <w:bookmarkStart w:id="0" w:name="_GoBack"/>
      <w:bookmarkEnd w:id="0"/>
      <w:r>
        <w:rPr>
          <w:noProof/>
          <w:lang w:eastAsia="en-US" w:bidi="ar-SA"/>
        </w:rPr>
        <w:lastRenderedPageBreak/>
        <w:t>PŘÍLOHA 1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 xml:space="preserve">Neúplný seznam možných forem opatření  </w:t>
      </w:r>
      <w:r>
        <w:rPr>
          <w:b/>
          <w:noProof/>
        </w:rPr>
        <w:br/>
        <w:t>uvedených v čl. 7 odst. 2 písm. a), b) a d) prvním pododstavci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t xml:space="preserve">Opatření uvedená v čl. 7 odst. 2 písm. a), b) a d) prvním pododstavci mohou mít mimo jiné tyto formy: </w:t>
      </w:r>
    </w:p>
    <w:p>
      <w:pPr>
        <w:pStyle w:val="NormalLeft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 případě zasedání a podobných opatření </w:t>
      </w:r>
      <w:r>
        <w:rPr>
          <w:i/>
          <w:noProof/>
        </w:rPr>
        <w:t>ad hoc</w:t>
      </w:r>
      <w:r>
        <w:rPr>
          <w:noProof/>
        </w:rPr>
        <w:t>: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>semináře a pracovní setkání, kterých se obvykle účastní všechny země, s přednáškami a intenzivními diskuzemi a činnostmi na určité téma se zapojením účastníků,</w:t>
      </w:r>
    </w:p>
    <w:p>
      <w:pPr>
        <w:pStyle w:val="Tiret1"/>
        <w:rPr>
          <w:noProof/>
        </w:rPr>
      </w:pPr>
      <w:r>
        <w:rPr>
          <w:noProof/>
        </w:rPr>
        <w:t xml:space="preserve">pracovní návštěvy, které jsou organizovány s cílem umožnit úředníkům získat nebo zvýšit jejich odbornou způsobilost či znalosti v oblasti daňové politiky, </w:t>
      </w:r>
    </w:p>
    <w:p>
      <w:pPr>
        <w:pStyle w:val="Tiret1"/>
        <w:rPr>
          <w:noProof/>
        </w:rPr>
      </w:pPr>
      <w:r>
        <w:rPr>
          <w:noProof/>
        </w:rPr>
        <w:t xml:space="preserve">přítomnost v prostorách správních úřadů a účast na správních šetřeních; </w:t>
      </w:r>
    </w:p>
    <w:p>
      <w:pPr>
        <w:pStyle w:val="NormalLeft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v případě strukturované spolupráce: </w:t>
      </w:r>
    </w:p>
    <w:p>
      <w:pPr>
        <w:pStyle w:val="Tiret1"/>
        <w:rPr>
          <w:noProof/>
        </w:rPr>
      </w:pPr>
      <w:r>
        <w:rPr>
          <w:noProof/>
        </w:rPr>
        <w:t xml:space="preserve">projektové skupiny, které se zpravidla skládají z omezeného počtu zemí, působí pouze po omezenou dobu a sledují předem stanovený cíl s přesně definovaným výsledkem, včetně koordinace či srovnávání, </w:t>
      </w:r>
    </w:p>
    <w:p>
      <w:pPr>
        <w:pStyle w:val="Tiret1"/>
        <w:rPr>
          <w:noProof/>
        </w:rPr>
      </w:pPr>
      <w:r>
        <w:rPr>
          <w:noProof/>
        </w:rPr>
        <w:t>pracovní skupiny, zejména strukturované formy spolupráce dočasného či trvalého charakteru, jež sdružují odborné znalosti a dovednosti k plnění úkolů v konkrétních oblastech nebo provádějí operační činnosti, případně za podpory on-line služeb spolupráce, správní pomoci i infrastruktury a vybavení,</w:t>
      </w:r>
    </w:p>
    <w:p>
      <w:pPr>
        <w:pStyle w:val="Tiret1"/>
        <w:rPr>
          <w:noProof/>
        </w:rPr>
      </w:pPr>
      <w:r>
        <w:rPr>
          <w:noProof/>
        </w:rPr>
        <w:t>mnohostranná nebo souběžná kontrola spočívající v koordinované kontrole daňové situace jedné nebo více propojených osob povinných k dani, organizovaná dvěma nebo více zeměmi, které mají společné či doplňující se zájmy, a zahrnující alespoň dva členské státy,</w:t>
      </w:r>
    </w:p>
    <w:p>
      <w:pPr>
        <w:pStyle w:val="Tiret1"/>
        <w:rPr>
          <w:noProof/>
        </w:rPr>
      </w:pPr>
      <w:r>
        <w:rPr>
          <w:noProof/>
        </w:rPr>
        <w:t xml:space="preserve">společný audit spočívající ve společné kontrole daňové situace jedné nebo více propojených osob povinných k dani a prováděný jediným týmem auditorů složeným ze dvou nebo více zemí, které mají společné či doplňující se zájmy, a zahrnujícím alespoň dva členské státy, </w:t>
      </w:r>
    </w:p>
    <w:p>
      <w:pPr>
        <w:pStyle w:val="Tiret1"/>
        <w:rPr>
          <w:noProof/>
        </w:rPr>
      </w:pPr>
      <w:r>
        <w:rPr>
          <w:noProof/>
        </w:rPr>
        <w:t xml:space="preserve">jakákoli jiná forma správní spolupráce stanovená směrnicí 2011/16/EU, nařízením (EU) č. 904/2010, nařízením (EU) č. 389/2012 nebo směrnicí 2010/24/EU; </w:t>
      </w:r>
    </w:p>
    <w:p>
      <w:pPr>
        <w:pStyle w:val="NormalLeft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v případě opatření zaměřených na budování odborné způsobilosti a kapacit: </w:t>
      </w:r>
    </w:p>
    <w:p>
      <w:pPr>
        <w:pStyle w:val="Tiret1"/>
        <w:rPr>
          <w:noProof/>
        </w:rPr>
      </w:pPr>
      <w:r>
        <w:rPr>
          <w:noProof/>
        </w:rPr>
        <w:t>společná odborná příprava nebo rozvoj elektronického vzdělávání za účelem podpory vybudování potřebných odborných dovedností a znalostí týkajících se oblasti daní,</w:t>
      </w:r>
    </w:p>
    <w:p>
      <w:pPr>
        <w:pStyle w:val="Tiret1"/>
        <w:rPr>
          <w:noProof/>
        </w:rPr>
      </w:pPr>
      <w:r>
        <w:rPr>
          <w:noProof/>
        </w:rPr>
        <w:t>technická podpora zaměřená na zlepšení správních postupů, posílení správní kapacity a zlepšení fungování a činnosti správců daně prostřednictvím iniciování a sdílení osvědčených postupů.</w: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PŘÍLOHA 2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 xml:space="preserve">Ukazatele 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t>Specifický cíl: podpora daňové politiky, spolupráce v oblasti daní a budování správních kapacit, včetně odborné způsobilosti, a vývoj a provoz evropských elektronických systémů.</w:t>
      </w:r>
    </w:p>
    <w:p>
      <w:pPr>
        <w:spacing w:before="0" w:after="200" w:line="276" w:lineRule="auto"/>
        <w:jc w:val="left"/>
        <w:rPr>
          <w:b/>
          <w:bCs/>
          <w:noProof/>
          <w:u w:val="single"/>
        </w:rPr>
      </w:pPr>
      <w:r>
        <w:rPr>
          <w:b/>
          <w:noProof/>
          <w:u w:val="single"/>
        </w:rPr>
        <w:t>1. Budování kapacit (správních kapacit a kapacit v oblasti lidských zdrojů a informačních technologií):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index uplatňování a provádění unijního práva a politik (počet opatření v rámci programu v této oblasti a doporučení vydaných v návaznosti na tato opatření);</w:t>
      </w:r>
    </w:p>
    <w:p>
      <w:pPr>
        <w:pStyle w:val="NumPar1"/>
        <w:rPr>
          <w:noProof/>
        </w:rPr>
      </w:pPr>
      <w:r>
        <w:rPr>
          <w:noProof/>
        </w:rPr>
        <w:t>index odborné přípravy (používané moduly odborné přípravy, počet vyškolených úředníků, hodnocení kvality účastníky);</w:t>
      </w:r>
    </w:p>
    <w:p>
      <w:pPr>
        <w:pStyle w:val="NumPar1"/>
        <w:rPr>
          <w:noProof/>
        </w:rPr>
      </w:pPr>
      <w:r>
        <w:rPr>
          <w:noProof/>
        </w:rPr>
        <w:t>dostupnost evropských elektronických systémů (vyjádřeno jako procentuální časový podíl);</w:t>
      </w:r>
    </w:p>
    <w:p>
      <w:pPr>
        <w:pStyle w:val="NumPar1"/>
        <w:rPr>
          <w:noProof/>
        </w:rPr>
      </w:pPr>
      <w:r>
        <w:rPr>
          <w:noProof/>
        </w:rPr>
        <w:t>dostupnost společné komunikační sítě (vyjádřeno jako procentuální časový podíl);</w:t>
      </w:r>
    </w:p>
    <w:p>
      <w:pPr>
        <w:pStyle w:val="NumPar1"/>
        <w:rPr>
          <w:noProof/>
        </w:rPr>
      </w:pPr>
      <w:r>
        <w:rPr>
          <w:noProof/>
        </w:rPr>
        <w:t>zjednodušené postupy v oblasti informačních technologií pro vnitrostátní správy a hospodářské subjekty (počet registrovaných hospodářských subjektů, počty žádostí a počet konzultací v různých elektronických systémech financovaných v rámci programu).</w:t>
      </w:r>
    </w:p>
    <w:p>
      <w:pPr>
        <w:spacing w:before="0" w:after="200" w:line="276" w:lineRule="auto"/>
        <w:jc w:val="left"/>
        <w:rPr>
          <w:b/>
          <w:bCs/>
          <w:noProof/>
          <w:u w:val="single"/>
        </w:rPr>
      </w:pPr>
      <w:r>
        <w:rPr>
          <w:b/>
          <w:noProof/>
          <w:u w:val="single"/>
        </w:rPr>
        <w:t>2. Sdílení znalostí a vytváření kontaktních sítí: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index spolehlivosti spolupráce (stupeň vytvořených kontaktních sítí, počet osobních setkání, počet online skupin pro spolupráci);</w:t>
      </w:r>
    </w:p>
    <w:p>
      <w:pPr>
        <w:pStyle w:val="NumPar1"/>
        <w:rPr>
          <w:noProof/>
        </w:rPr>
      </w:pPr>
      <w:r>
        <w:rPr>
          <w:noProof/>
        </w:rPr>
        <w:t>index osvědčených postupů a pokynů (počet opatření v rámci programu organizovaných v této oblasti, procento správců daně, kteří využili pracovní postupy / pokyny vytvořené s podporou programu).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864A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3CF1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4E90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57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50EA9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2C9A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86C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2A1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MPAEY Marie-Paule (TAXUD)">
    <w15:presenceInfo w15:providerId="None" w15:userId="MAMPAEY Marie-Paule (TAXU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4 09:29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návrhu"/>
    <w:docVar w:name="LW_ACCOMPAGNANT.CP" w:val="návrhu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0895F16-DDA2-459D-A592-153DA54B4427"/>
    <w:docVar w:name="LW_COVERPAGE_TYPE" w:val="1"/>
    <w:docVar w:name="LW_CROSSREFERENCE" w:val="{SWD(2018) 323 final}_x000b_{SWD(2018) 324 final}"/>
    <w:docVar w:name="LW_DocType" w:val="ANNEX"/>
    <w:docVar w:name="LW_EMISSION" w:val="8.6.2018"/>
    <w:docVar w:name="LW_EMISSION_ISODATE" w:val="2018-06-08"/>
    <w:docVar w:name="LW_EMISSION_LOCATION" w:val="BRX"/>
    <w:docVar w:name="LW_EMISSION_PREFIX" w:val="V Bruselu dne"/>
    <w:docVar w:name="LW_EMISSION_SUFFIX" w:val="&lt;EMPTY&gt;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zavádí program \u8222?Fiscalis\u8220? pro spolupráci v oblasti daní"/>
    <w:docVar w:name="LW_OBJETACTEPRINCIPAL.CP" w:val="kterým se zavádí program \u8222?Fiscalis\u8220? pro spolupráci v oblasti daní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Y"/>
    <w:docVar w:name="LW_TYPE.DOC.CP" w:val="P\u344?ÍLOHY"/>
    <w:docVar w:name="LW_TYPEACTEPRINCIPAL" w:val="NA\u344?ÍZENÍ EVROPSKÉHO PARLAMENTU A RADY,"/>
    <w:docVar w:name="LW_TYPEACTEPRINCIPAL.CP" w:val="NA\u344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aliases w:val="2,1st level - Bullet List Paragraph,List Paragraph1,Lettre d'introduction,Paragrafo elenco,Medium Grid 1 - Accent 2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2 Char,1st level - Bullet List Paragraph Char,List Paragraph1 Char,Lettre d'introduction Char,Paragrafo elenco Char,Medium Grid 1 - Accent 21 Char"/>
    <w:link w:val="ListParagraph"/>
    <w:uiPriority w:val="34"/>
    <w:locked/>
    <w:rPr>
      <w:rFonts w:ascii="Times New Roman" w:hAnsi="Times New Roman" w:cs="Times New Roman"/>
      <w:sz w:val="24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aliases w:val="2,1st level - Bullet List Paragraph,List Paragraph1,Lettre d'introduction,Paragrafo elenco,Medium Grid 1 - Accent 2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2 Char,1st level - Bullet List Paragraph Char,List Paragraph1 Char,Lettre d'introduction Char,Paragrafo elenco Char,Medium Grid 1 - Accent 21 Char"/>
    <w:link w:val="ListParagraph"/>
    <w:uiPriority w:val="34"/>
    <w:locked/>
    <w:rPr>
      <w:rFonts w:ascii="Times New Roman" w:hAnsi="Times New Roman" w:cs="Times New Roman"/>
      <w:sz w:val="24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B29732916DF4D831BB0FCE0DA1F47" ma:contentTypeVersion="0" ma:contentTypeDescription="Create a new document." ma:contentTypeScope="" ma:versionID="5e87b6185a4559021c2d2dd44491d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aa71ebba3a1c4bc292c1729accc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24577-67AC-4B25-B67F-9E425FB28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50C48-6702-4B77-9305-9A83ED53941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AF4BC-7D74-4439-9C13-97BE15FD9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501</Words>
  <Characters>3175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DEMOULIN Pierre-Yves (TAXUD)</dc:creator>
  <cp:lastModifiedBy>DIGIT/A3</cp:lastModifiedBy>
  <cp:revision>8</cp:revision>
  <dcterms:created xsi:type="dcterms:W3CDTF">2018-06-13T09:38:00Z</dcterms:created>
  <dcterms:modified xsi:type="dcterms:W3CDTF">2018-06-14T07:29:00Z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IsMyDocuments">
    <vt:bool>true</vt:bool>
  </property>
  <property fmtid="{D5CDD505-2E9C-101B-9397-08002B2CF9AE}" pid="14" name="ContentTypeId">
    <vt:lpwstr>0x010100676B29732916DF4D831BB0FCE0DA1F47</vt:lpwstr>
  </property>
  <property fmtid="{D5CDD505-2E9C-101B-9397-08002B2CF9AE}" pid="15" name="DQCStatus">
    <vt:lpwstr>Green (DQC version 03)</vt:lpwstr>
  </property>
</Properties>
</file>