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513F9C6-4FA6-4239-9028-EA5BDD0BFC94" style="width:450.8pt;height:383.6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ALLEGATO 1</w:t>
      </w:r>
    </w:p>
    <w:p>
      <w:pPr>
        <w:spacing w:before="0" w:after="200" w:line="276" w:lineRule="auto"/>
        <w:jc w:val="center"/>
        <w:rPr>
          <w:b/>
          <w:noProof/>
        </w:rPr>
      </w:pPr>
      <w:r>
        <w:rPr>
          <w:b/>
          <w:noProof/>
        </w:rPr>
        <w:t>Elenco non esaustivo delle tipologie possibili di azioni di cui all’articolo 7, paragrafo 2, primo comma, lettere a), b) e d)</w:t>
      </w:r>
    </w:p>
    <w:p>
      <w:pPr>
        <w:spacing w:before="0" w:after="200" w:line="276" w:lineRule="auto"/>
        <w:jc w:val="left"/>
        <w:rPr>
          <w:noProof/>
        </w:rPr>
      </w:pPr>
      <w:r>
        <w:rPr>
          <w:noProof/>
        </w:rPr>
        <w:t xml:space="preserve">Le azioni di cui all’articolo 7, paragrafo 2, primo comma, lettere a), b) e d), possono fra l’altro assumere le seguenti forme: </w:t>
      </w:r>
    </w:p>
    <w:p>
      <w:pPr>
        <w:pStyle w:val="NormalLeft"/>
        <w:rPr>
          <w:noProof/>
        </w:rPr>
      </w:pPr>
      <w:r>
        <w:rPr>
          <w:noProof/>
        </w:rPr>
        <w:t>a)</w:t>
      </w:r>
      <w:r>
        <w:rPr>
          <w:noProof/>
        </w:rPr>
        <w:tab/>
        <w:t>per quanto riguarda riunioni e simili eventi ad hoc:</w:t>
      </w:r>
    </w:p>
    <w:p>
      <w:pPr>
        <w:pStyle w:val="Tiret1"/>
        <w:numPr>
          <w:ilvl w:val="0"/>
          <w:numId w:val="9"/>
        </w:numPr>
        <w:rPr>
          <w:noProof/>
        </w:rPr>
      </w:pPr>
      <w:r>
        <w:rPr>
          <w:noProof/>
        </w:rPr>
        <w:t>seminari e workshop, cui in genere partecipano tutti i paesi e durante i quali sono effettuate presentazioni e i partecipanti sono coinvolti in intensi dibattiti e attività su argomenti specifici;</w:t>
      </w:r>
    </w:p>
    <w:p>
      <w:pPr>
        <w:pStyle w:val="Tiret1"/>
        <w:rPr>
          <w:noProof/>
        </w:rPr>
      </w:pPr>
      <w:r>
        <w:rPr>
          <w:noProof/>
        </w:rPr>
        <w:t xml:space="preserve">visite di lavoro, organizzate per consentire ai funzionari di acquisire o accrescere le proprie competenze o conoscenze in materia di politica fiscale; </w:t>
      </w:r>
    </w:p>
    <w:p>
      <w:pPr>
        <w:pStyle w:val="Tiret1"/>
        <w:rPr>
          <w:noProof/>
        </w:rPr>
      </w:pPr>
      <w:r>
        <w:rPr>
          <w:noProof/>
        </w:rPr>
        <w:t xml:space="preserve">presenza in uffici amministrativi e partecipazione a indagini amministrative; </w:t>
      </w:r>
    </w:p>
    <w:p>
      <w:pPr>
        <w:pStyle w:val="NormalLeft"/>
        <w:rPr>
          <w:noProof/>
        </w:rPr>
      </w:pPr>
      <w:r>
        <w:rPr>
          <w:noProof/>
        </w:rPr>
        <w:t>b)</w:t>
      </w:r>
      <w:r>
        <w:rPr>
          <w:noProof/>
        </w:rPr>
        <w:tab/>
        <w:t xml:space="preserve">per quanto riguarda la collaborazione strutturata: </w:t>
      </w:r>
    </w:p>
    <w:p>
      <w:pPr>
        <w:pStyle w:val="Tiret1"/>
        <w:rPr>
          <w:noProof/>
        </w:rPr>
      </w:pPr>
      <w:r>
        <w:rPr>
          <w:noProof/>
        </w:rPr>
        <w:t xml:space="preserve">gruppi di progetto, generalmente composti da un numero circoscritto di paesi, operativi per un periodo di tempo limitato per perseguire un obiettivo prefissato con un esito definito con precisione, compreso il coordinamento e l’analisi comparativa (benchmarking); </w:t>
      </w:r>
    </w:p>
    <w:p>
      <w:pPr>
        <w:pStyle w:val="Tiret1"/>
        <w:rPr>
          <w:noProof/>
        </w:rPr>
      </w:pPr>
      <w:r>
        <w:rPr>
          <w:noProof/>
        </w:rPr>
        <w:t>creazione di task force, ovvero di forme di cooperazione strutturate, a carattere permanente o non permanente, in cui si aggregano competenze per svolgere mansioni in ambiti specifici o condurre attività operative, eventualmente con il sostegno di servizi di cooperazione online, assistenza amministrativa, infrastrutture e attrezzature;</w:t>
      </w:r>
    </w:p>
    <w:p>
      <w:pPr>
        <w:pStyle w:val="Tiret1"/>
        <w:rPr>
          <w:noProof/>
        </w:rPr>
      </w:pPr>
      <w:r>
        <w:rPr>
          <w:noProof/>
        </w:rPr>
        <w:t>controlli multilaterali o simultanei che consistono nella verifica coordinata della situazione fiscale di un soggetto passivo o di più soggetti passivi collegati, organizzata da due o più paesi, di cui almeno due Stati membri, che presentano interessi comuni o complementari;</w:t>
      </w:r>
    </w:p>
    <w:p>
      <w:pPr>
        <w:pStyle w:val="Tiret1"/>
        <w:rPr>
          <w:noProof/>
        </w:rPr>
      </w:pPr>
      <w:r>
        <w:rPr>
          <w:noProof/>
        </w:rPr>
        <w:t xml:space="preserve">audit congiunti che consistono nella verifica congiunta della situazione fiscale di un soggetto passivo o di più soggetti passivi collegati da parte di un unico gruppo di audit composto da due o più paesi, di cui almeno due Stati membri, che presentano interessi comuni o complementari; </w:t>
      </w:r>
    </w:p>
    <w:p>
      <w:pPr>
        <w:pStyle w:val="Tiret1"/>
        <w:rPr>
          <w:noProof/>
        </w:rPr>
      </w:pPr>
      <w:r>
        <w:rPr>
          <w:noProof/>
        </w:rPr>
        <w:t xml:space="preserve">qualsiasi altra forma di cooperazione amministrativa prevista dalla direttiva 2011/16/UE, dal regolamento (UE) n. 904/2010, dal regolamento (UE) n. 389/2012 o dalla direttiva 2010/24/UE; </w:t>
      </w:r>
    </w:p>
    <w:p>
      <w:pPr>
        <w:pStyle w:val="NormalLeft"/>
        <w:ind w:left="720" w:hanging="720"/>
        <w:rPr>
          <w:noProof/>
        </w:rPr>
      </w:pPr>
      <w:r>
        <w:rPr>
          <w:noProof/>
        </w:rPr>
        <w:t>c)</w:t>
      </w:r>
      <w:r>
        <w:rPr>
          <w:noProof/>
        </w:rPr>
        <w:tab/>
        <w:t xml:space="preserve">per quanto riguarda le azioni per lo sviluppo delle capacità e delle competenze umane; </w:t>
      </w:r>
    </w:p>
    <w:p>
      <w:pPr>
        <w:pStyle w:val="Tiret1"/>
        <w:rPr>
          <w:noProof/>
        </w:rPr>
      </w:pPr>
      <w:r>
        <w:rPr>
          <w:noProof/>
        </w:rPr>
        <w:t>formazioni comuni o sviluppo di programmi di apprendimento online per sostenere le competenze e le conoscenze professionali necessarie in materia fiscale;</w:t>
      </w:r>
    </w:p>
    <w:p>
      <w:pPr>
        <w:pStyle w:val="Tiret1"/>
        <w:rPr>
          <w:noProof/>
        </w:rPr>
      </w:pPr>
      <w:r>
        <w:rPr>
          <w:noProof/>
        </w:rPr>
        <w:t>assistenza tecnica volta a migliorare le procedure amministrative, rafforzare la capacità amministrativa e migliorare il funzionamento e l’operatività delle amministrazioni fiscali mediante l’avvio e la condivisione di buone pratiche.</w:t>
      </w:r>
    </w:p>
    <w:p>
      <w:pPr>
        <w:spacing w:before="0" w:after="200" w:line="276" w:lineRule="auto"/>
        <w:jc w:val="left"/>
        <w:rPr>
          <w:b/>
          <w:noProof/>
          <w:u w:val="single"/>
        </w:rPr>
      </w:pPr>
      <w:r>
        <w:rPr>
          <w:noProof/>
        </w:rPr>
        <w:br w:type="page"/>
      </w:r>
    </w:p>
    <w:p>
      <w:pPr>
        <w:pStyle w:val="Annexetitre"/>
        <w:rPr>
          <w:noProof/>
        </w:rPr>
      </w:pPr>
      <w:r>
        <w:rPr>
          <w:noProof/>
        </w:rPr>
        <w:lastRenderedPageBreak/>
        <w:t>ALLEGATO 2</w:t>
      </w:r>
    </w:p>
    <w:p>
      <w:pPr>
        <w:spacing w:before="0" w:after="200" w:line="276" w:lineRule="auto"/>
        <w:jc w:val="center"/>
        <w:rPr>
          <w:b/>
          <w:noProof/>
        </w:rPr>
      </w:pPr>
      <w:r>
        <w:rPr>
          <w:b/>
          <w:noProof/>
        </w:rPr>
        <w:t xml:space="preserve">Indicatori </w:t>
      </w:r>
    </w:p>
    <w:p>
      <w:pPr>
        <w:spacing w:before="0" w:after="200" w:line="276" w:lineRule="auto"/>
        <w:jc w:val="left"/>
        <w:rPr>
          <w:noProof/>
        </w:rPr>
      </w:pPr>
      <w:r>
        <w:rPr>
          <w:noProof/>
        </w:rPr>
        <w:t>Obiettivo specifico: sostenere la politica fiscale, la cooperazione fiscale e lo sviluppo delle capacità amministrative, che comprendono le competenze umane e lo sviluppo e il funzionamento dei sistemi elettronici europei.</w:t>
      </w:r>
    </w:p>
    <w:p>
      <w:pPr>
        <w:spacing w:before="0" w:after="200" w:line="276" w:lineRule="auto"/>
        <w:jc w:val="left"/>
        <w:rPr>
          <w:b/>
          <w:bCs/>
          <w:noProof/>
          <w:u w:val="single"/>
        </w:rPr>
      </w:pPr>
      <w:r>
        <w:rPr>
          <w:b/>
          <w:noProof/>
          <w:u w:val="single"/>
        </w:rPr>
        <w:t>1. Sviluppo delle capacità (amministrative, umane e informatiche):</w:t>
      </w:r>
    </w:p>
    <w:p>
      <w:pPr>
        <w:pStyle w:val="NumPar1"/>
        <w:numPr>
          <w:ilvl w:val="0"/>
          <w:numId w:val="11"/>
        </w:numPr>
        <w:rPr>
          <w:noProof/>
        </w:rPr>
      </w:pPr>
      <w:r>
        <w:rPr>
          <w:noProof/>
        </w:rPr>
        <w:t>indice di applicazione e di attuazione del diritto e della politica dell’Unione (numero di azioni nell’ambito del programma organizzate in tale settore e raccomandazioni formulate in seguito a dette azioni)</w:t>
      </w:r>
    </w:p>
    <w:p>
      <w:pPr>
        <w:pStyle w:val="NumPar1"/>
        <w:rPr>
          <w:noProof/>
        </w:rPr>
      </w:pPr>
      <w:r>
        <w:rPr>
          <w:noProof/>
        </w:rPr>
        <w:t>indice di apprendimento (moduli di apprendimento utilizzati; numero di funzionari formati; punteggio relativo alla qualità assegnato dai partecipanti)</w:t>
      </w:r>
    </w:p>
    <w:p>
      <w:pPr>
        <w:pStyle w:val="NumPar1"/>
        <w:rPr>
          <w:noProof/>
        </w:rPr>
      </w:pPr>
      <w:r>
        <w:rPr>
          <w:noProof/>
        </w:rPr>
        <w:t>disponibilità dei sistemi elettronici europei (in percentuale di tempo)</w:t>
      </w:r>
    </w:p>
    <w:p>
      <w:pPr>
        <w:pStyle w:val="NumPar1"/>
        <w:rPr>
          <w:noProof/>
        </w:rPr>
      </w:pPr>
      <w:r>
        <w:rPr>
          <w:noProof/>
        </w:rPr>
        <w:t>disponibilità della rete comune di comunicazione (in percentuale di tempo)</w:t>
      </w:r>
    </w:p>
    <w:p>
      <w:pPr>
        <w:pStyle w:val="NumPar1"/>
        <w:rPr>
          <w:noProof/>
        </w:rPr>
      </w:pPr>
      <w:r>
        <w:rPr>
          <w:noProof/>
        </w:rPr>
        <w:t>disponibilità di procedure informatiche semplificate per le amministrazioni nazionali e gli operatori economici (numero di operatori economici registrati, numero di domande e numero di consultazioni nei diversi sistemi elettronici finanziati dal programma)</w:t>
      </w:r>
    </w:p>
    <w:p>
      <w:pPr>
        <w:spacing w:before="0" w:after="200" w:line="276" w:lineRule="auto"/>
        <w:jc w:val="left"/>
        <w:rPr>
          <w:b/>
          <w:bCs/>
          <w:noProof/>
          <w:u w:val="single"/>
        </w:rPr>
      </w:pPr>
      <w:r>
        <w:rPr>
          <w:b/>
          <w:noProof/>
          <w:u w:val="single"/>
        </w:rPr>
        <w:t>2. Condivisione delle conoscenze e lavoro in rete:</w:t>
      </w:r>
    </w:p>
    <w:p>
      <w:pPr>
        <w:pStyle w:val="NumPar1"/>
        <w:numPr>
          <w:ilvl w:val="0"/>
          <w:numId w:val="10"/>
        </w:numPr>
        <w:rPr>
          <w:noProof/>
        </w:rPr>
      </w:pPr>
      <w:r>
        <w:rPr>
          <w:noProof/>
        </w:rPr>
        <w:t>indice del grado di collaborazione (lavoro in rete prodotto, numero di riunioni faccia a faccia, numero di gruppi di collaborazione online)</w:t>
      </w:r>
    </w:p>
    <w:p>
      <w:pPr>
        <w:pStyle w:val="NumPar1"/>
        <w:rPr>
          <w:noProof/>
        </w:rPr>
      </w:pPr>
      <w:r>
        <w:rPr>
          <w:noProof/>
        </w:rPr>
        <w:t>indice delle migliori prassi e degli orientamenti (numero di azioni nell’ambito del programma organizzate in tale settore; percentuale di amministrazioni fiscali che si sono avvalse di una prassi di lavoro/di un orientamento elaborati con il sostegno del programma)</w:t>
      </w: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864A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3CF1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4E90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7070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0EA9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D2C9A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86C3D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2A18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MPAEY Marie-Paule (TAXUD)">
    <w15:presenceInfo w15:providerId="None" w15:userId="MAMPAEY Marie-Paul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09:32: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proposta di"/>
    <w:docVar w:name="LW_ACCOMPAGNANT.CP" w:val="della proposta di"/>
    <w:docVar w:name="LW_ANNEX_NBR_FIRST" w:val="1"/>
    <w:docVar w:name="LW_ANNEX_NBR_LAST" w:val="2"/>
    <w:docVar w:name="LW_ANNEX_UNIQUE" w:val="0"/>
    <w:docVar w:name="LW_CORRIGENDUM" w:val="&lt;UNUSED&gt;"/>
    <w:docVar w:name="LW_COVERPAGE_EXISTS" w:val="True"/>
    <w:docVar w:name="LW_COVERPAGE_GUID" w:val="8513F9C6-4FA6-4239-9028-EA5BDD0BFC94"/>
    <w:docVar w:name="LW_COVERPAGE_TYPE" w:val="1"/>
    <w:docVar w:name="LW_CROSSREFERENCE" w:val="{SWD(2018) 323 final}_x000b_{SWD(2018) 324 final}"/>
    <w:docVar w:name="LW_DocType" w:val="ANNEX"/>
    <w:docVar w:name="LW_EMISSION" w:val="8.6.2018"/>
    <w:docVar w:name="LW_EMISSION_ISODATE" w:val="2018-06-08"/>
    <w:docVar w:name="LW_EMISSION_LOCATION" w:val="BRX"/>
    <w:docVar w:name="LW_EMISSION_PREFIX" w:val="Bruxelles,"/>
    <w:docVar w:name="LW_EMISSION_SUFFIX" w:val="&lt;EMPTY&gt;"/>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che istituisce il programma \u8220?Fiscalis\u8221? per la cooperazione nel settore fiscale"/>
    <w:docVar w:name="LW_OBJETACTEPRINCIPAL.CP" w:val="che istituisce il programma \u8220?Fiscalis\u8221? per la cooperazione nel settore fiscale"/>
    <w:docVar w:name="LW_PART_NBR" w:val="&lt;UNUSED&gt;"/>
    <w:docVar w:name="LW_PART_NBR_TOTAL" w:val="&lt;UNUSED&gt;"/>
    <w:docVar w:name="LW_REF.INST.NEW" w:val="COM"/>
    <w:docVar w:name="LW_REF.INST.NEW_ADOPTED" w:val="final"/>
    <w:docVar w:name="LW_REF.INST.NEW_TEXT" w:val="(2018) 4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LLEGATI"/>
    <w:docVar w:name="LW_TYPEACTEPRINCIPAL" w:val="REGOLAMENTO DEL PARLAMENTO EUROPEO E DEL CONSIGLIO"/>
    <w:docVar w:name="LW_TYPEACTEPRINCIPAL.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2 Char,1st level - Bullet List Paragraph Char,List Paragraph1 Char,Lettre d'introduction Char,Paragrafo elenco Char,Medium Grid 1 - Accent 21 Char"/>
    <w:link w:val="ListParagraph"/>
    <w:uiPriority w:val="34"/>
    <w:locked/>
    <w:rPr>
      <w:rFonts w:ascii="Times New Roman" w:hAnsi="Times New Roman" w:cs="Times New Roman"/>
      <w:sz w:val="24"/>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2 Char,1st level - Bullet List Paragraph Char,List Paragraph1 Char,Lettre d'introduction Char,Paragrafo elenco Char,Medium Grid 1 - Accent 21 Char"/>
    <w:link w:val="ListParagraph"/>
    <w:uiPriority w:val="34"/>
    <w:locked/>
    <w:rPr>
      <w:rFonts w:ascii="Times New Roman" w:hAnsi="Times New Roman" w:cs="Times New Roman"/>
      <w:sz w:val="24"/>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B29732916DF4D831BB0FCE0DA1F47" ma:contentTypeVersion="0" ma:contentTypeDescription="Create a new document." ma:contentTypeScope="" ma:versionID="5e87b6185a4559021c2d2dd44491d6dc">
  <xsd:schema xmlns:xsd="http://www.w3.org/2001/XMLSchema" xmlns:xs="http://www.w3.org/2001/XMLSchema" xmlns:p="http://schemas.microsoft.com/office/2006/metadata/properties" targetNamespace="http://schemas.microsoft.com/office/2006/metadata/properties" ma:root="true" ma:fieldsID="520aa71ebba3a1c4bc292c1729accc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24577-67AC-4B25-B67F-9E425FB2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A50C48-6702-4B77-9305-9A83ED539416}">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66AF4BC-7D74-4439-9C13-97BE15FD9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591</Words>
  <Characters>3588</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DEMOULIN Pierre-Yves (TAXUD)</dc:creator>
  <cp:lastModifiedBy>DIGIT/A3</cp:lastModifiedBy>
  <cp:revision>8</cp:revision>
  <dcterms:created xsi:type="dcterms:W3CDTF">2018-06-13T12:16:00Z</dcterms:created>
  <dcterms:modified xsi:type="dcterms:W3CDTF">2018-06-14T07:32:00Z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IsMyDocuments">
    <vt:bool>true</vt:bool>
  </property>
  <property fmtid="{D5CDD505-2E9C-101B-9397-08002B2CF9AE}" pid="14" name="ContentTypeId">
    <vt:lpwstr>0x010100676B29732916DF4D831BB0FCE0DA1F47</vt:lpwstr>
  </property>
  <property fmtid="{D5CDD505-2E9C-101B-9397-08002B2CF9AE}" pid="15" name="DQCStatus">
    <vt:lpwstr>Green (DQC version 03)</vt:lpwstr>
  </property>
</Properties>
</file>