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EB236361-2D6F-4744-A191-A09B01720B48" style="width:450.75pt;height:41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</w:t>
      </w:r>
    </w:p>
    <w:p>
      <w:pPr>
        <w:ind w:left="709" w:hanging="709"/>
        <w:jc w:val="center"/>
        <w:rPr>
          <w:b/>
          <w:bCs/>
          <w:noProof/>
        </w:rPr>
      </w:pPr>
      <w:r>
        <w:rPr>
          <w:b/>
          <w:noProof/>
        </w:rPr>
        <w:t>WSKAŹNIKI DO CELÓW OCENY PROGRAMU</w:t>
      </w:r>
    </w:p>
    <w:p>
      <w:pPr>
        <w:ind w:left="709" w:hanging="709"/>
        <w:jc w:val="center"/>
        <w:rPr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Program będzie ściśle monitorowany w oparciu o zestaw wskaźników, które mają umożliwić określenie stopnia realizacji celów szczegółowych programu, oraz z myślą o zminimalizowaniu obciążeń administracyjnych i kosztów. W tym celu gromadzone będą dane odnoszące się do poniższego zestawu podstawowych wskaźników.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Wskaźniki powinny być powiązane z celami szczegółowymi, lecz bez ich powtarzania, aby uniknąć niespójności. </w:t>
      </w: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Cel szczegółowy 1: zapewnienie najnowocześniejszych i, w stosownych przypadkach, zabezpieczonych usług pozycjonowania, nawigacji i czasu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Wskaźnik 1: dokładność sygnału (GNSS)</w:t>
      </w: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Cel szczegółowy 2: dostarczanie dokładnych i wiarygodnych danych i informacji pochodzących z obserwacji Ziemi, w celu wspierania realizacji i monitorowania polityki Unii i jej państw członkowskich w dziedzinach środowiska, zmiany klimatu, rolnictwa i rozwoju obszarów wiejskich, ochrony i bezpieczeństwa ludności oraz gospodarki cyfrowej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Wskaźnik 1: liczba użytkowników systemu Copernicus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Wskaźnik 2: dodanie nowych usług systemu Copernicus</w:t>
      </w: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Cel szczegółowy 3: rozwijanie zdolności w zakresie SST do monitorowania, śledzenia i identyfikacji obiektów kosmicznych, do monitorowania pogody kosmicznej oraz do inwentaryzacji unijnego potencjału w zakresie obiektów bliskich Ziemi i objęcia go siecią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 xml:space="preserve">Wskaźnik 1: liczba użytkowników elementu SST 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Wskaźnik 2: dostępność usług</w:t>
      </w:r>
    </w:p>
    <w:p>
      <w:pPr>
        <w:rPr>
          <w:rFonts w:eastAsia="Arial Unicode MS"/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Cel szczegółowy 4: zapewnienie długoterminowej dostępności niezawodnych, zabezpieczonych i efektywnych kosztowo usług łączności satelitarnej, z odpowiednią gwarancją dostępu i odpornością na działania dokonywane w złej wierze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Wskaźnik 1: liczba użytkowników GOVSATCOM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Wskaźnik 2: dostępność usług</w:t>
      </w:r>
    </w:p>
    <w:p>
      <w:pPr>
        <w:rPr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Cel szczegółowy 5: działanie na rzecz możliwości niezależnego, bezpiecznego i racjonalnego pod względem kosztów dostępu do przestrzeni kosmicznej</w:t>
      </w:r>
    </w:p>
    <w:p>
      <w:pPr>
        <w:ind w:left="850"/>
        <w:rPr>
          <w:rFonts w:eastAsia="Arial Unicode MS"/>
          <w:noProof/>
        </w:rPr>
      </w:pPr>
      <w:r>
        <w:rPr>
          <w:noProof/>
        </w:rPr>
        <w:t>Wskaźnik 1: liczba wyniesień na orbitę na potrzeby unijnych działań związanych z przestrzenią kosmiczną</w:t>
      </w:r>
    </w:p>
    <w:p>
      <w:pPr>
        <w:rPr>
          <w:noProof/>
        </w:rPr>
      </w:pPr>
    </w:p>
    <w:p>
      <w:pPr>
        <w:rPr>
          <w:rFonts w:eastAsia="Arial Unicode MS"/>
          <w:noProof/>
        </w:rPr>
      </w:pPr>
      <w:r>
        <w:rPr>
          <w:noProof/>
        </w:rPr>
        <w:t>Cel szczegółowy 6: w odniesieniu do działań wspierających sektor kosmiczny: wspieranie i wzmacnianie konkurencyjności, przedsiębiorczości, umiejętności i innowacyjności osób prawnych i fizycznych z Unii działających lub zamierzających działać w tym sektorze, ze szczególnym uwzględnieniem sytuacji i potrzeb małych i średnich przedsiębiorstw oraz przedsiębiorstw typu start-up</w:t>
      </w:r>
    </w:p>
    <w:p>
      <w:pPr>
        <w:rPr>
          <w:noProof/>
        </w:rPr>
      </w:pPr>
      <w:r>
        <w:rPr>
          <w:noProof/>
        </w:rPr>
        <w:t>Wskaźnik 1: wzrost w sektorze niższego szczebla w związku z działaniami dotyczącymi przestrzeni kosmicznej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28C2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02CB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17852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4ECDD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85249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FCAC2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6102E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BFE82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3 12:13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EB236361-2D6F-4744-A191-A09B01720B48"/>
    <w:docVar w:name="LW_COVERPAGE_TYPE" w:val="1"/>
    <w:docVar w:name="LW_CROSSREFERENCE" w:val="{SWD(2018) 327 final}_x000b_{SWD(2018) 328 final}"/>
    <w:docVar w:name="LW_DocType" w:val="ANNEX"/>
    <w:docVar w:name="LW_EMISSION" w:val="6.6.2018"/>
    <w:docVar w:name="LW_EMISSION_ISODATE" w:val="2018-06-06"/>
    <w:docVar w:name="LW_EMISSION_LOCATION" w:val="BRX"/>
    <w:docVar w:name="LW_EMISSION_PREFIX" w:val="Bruksela, dnia "/>
    <w:docVar w:name="LW_EMISSION_SUFFIX" w:val="&lt;EMPTY&gt;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ustanawiaj\u261?cego program kosmiczny Unii i Agencj\u281? Unii Europejskiej ds. Programu Kosmicznego oraz uchylaj\u261?cego rozporz\u261?dzenia (UE) nr 912/2010, (UE) nr 1285/2013 i&lt;LWCR:NBS&gt;(UE) nr 377/2014 oraz decyzj\u281? nr 541/2014/UE"/>
    <w:docVar w:name="LW_OBJETACTEPRINCIPAL.CP" w:val="ustanawiaj\u261?cego program kosmiczny Unii i Agencj\u281? Unii Europejskiej ds. Programu Kosmicznego oraz uchylaj\u261?cego rozporz\u261?dzenia (UE) nr 912/2010, (UE) nr 1285/2013 i (UE) nr 377/2014 oraz decyzj\u281? nr 541/2014/UE"/>
    <w:docVar w:name="LW_PART_NBR" w:val="1"/>
    <w:docVar w:name="LW_PART_NBR_TOTAL" w:val="1"/>
    <w:docVar w:name="LW_REF.INST.NEW" w:val="COM"/>
    <w:docVar w:name="LW_REF.INST.NEW_ADOPTED" w:val="final"/>
    <w:docVar w:name="LW_REF.INST.NEW_TEXT" w:val="(2018) 44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ROZPORZ\u260?DZENIA PARLAMENTU EUROPEJSKIEGO I RADY"/>
    <w:docVar w:name="LW_TYPEACTEPRINCIPAL.CP" w:val="ROZPORZ\u260?DZENI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306</Words>
  <Characters>2143</Characters>
  <Application>Microsoft Office Word</Application>
  <DocSecurity>0</DocSecurity>
  <Lines>47</Lines>
  <Paragraphs>21</Paragraphs>
  <ScaleCrop>false</ScaleCrop>
  <Company>European Commission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DIGIT/A3</cp:lastModifiedBy>
  <cp:revision>11</cp:revision>
  <dcterms:created xsi:type="dcterms:W3CDTF">2018-06-12T07:24:00Z</dcterms:created>
  <dcterms:modified xsi:type="dcterms:W3CDTF">2018-06-13T10:13:00Z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