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B3A4989-7CDB-4B8D-81AC-DDEBCF2BB661" style="width:451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PIELIKUMS</w:t>
      </w:r>
    </w:p>
    <w:p>
      <w:pPr>
        <w:ind w:left="709" w:hanging="709"/>
        <w:jc w:val="center"/>
        <w:rPr>
          <w:b/>
          <w:bCs/>
          <w:noProof/>
        </w:rPr>
      </w:pPr>
      <w:r>
        <w:rPr>
          <w:b/>
          <w:noProof/>
        </w:rPr>
        <w:t>RĀDĪTĀJI PROGRAMMAS IZVĒRTĒŠANAI</w:t>
      </w:r>
    </w:p>
    <w:p>
      <w:pPr>
        <w:ind w:left="709" w:hanging="709"/>
        <w:jc w:val="center"/>
        <w:rPr>
          <w:noProof/>
        </w:rPr>
      </w:pPr>
    </w:p>
    <w:p>
      <w:pPr>
        <w:rPr>
          <w:rFonts w:eastAsia="Arial Unicode MS"/>
          <w:noProof/>
        </w:rPr>
      </w:pPr>
      <w:r>
        <w:rPr>
          <w:noProof/>
        </w:rPr>
        <w:t>Programmas īstenošana tiks rūpīgi uzraudzīta, pamatojoties uz rādītāju kopu, kas paredzēta, lai novērtētu, kādā apmērā ir sasniegti Programmas konkrētie mērķi, un lai līdz minimumam samazinātu administratīvo slogu un izdevumus. Šādā nolūkā tiks vākti dati, kas attiecas uz turpmāk norādīto galveno rādītāju kopu.</w:t>
      </w:r>
    </w:p>
    <w:p>
      <w:pPr>
        <w:rPr>
          <w:rFonts w:eastAsia="Arial Unicode MS"/>
          <w:noProof/>
        </w:rPr>
      </w:pPr>
      <w:r>
        <w:rPr>
          <w:noProof/>
        </w:rPr>
        <w:t xml:space="preserve">Rādītāji būtu jāsaista ar konkrētajiem mērķiem, tomēr, lai novērstu nekonsekvenci, izvairoties no to atkārtošanās. </w:t>
      </w:r>
    </w:p>
    <w:p>
      <w:pPr>
        <w:rPr>
          <w:rFonts w:eastAsia="Arial Unicode MS"/>
          <w:noProof/>
        </w:rPr>
      </w:pPr>
    </w:p>
    <w:p>
      <w:pPr>
        <w:rPr>
          <w:rFonts w:eastAsia="Arial Unicode MS"/>
          <w:noProof/>
        </w:rPr>
      </w:pPr>
      <w:r>
        <w:rPr>
          <w:noProof/>
        </w:rPr>
        <w:t>1. konkrētais mērķis: sniegt modernus un attiecīgā gadījumā drošus pozicionēšanas, navigācijas un laika sinhronizācijas pakalpojumus.</w:t>
      </w:r>
    </w:p>
    <w:p>
      <w:pPr>
        <w:ind w:left="850"/>
        <w:rPr>
          <w:rFonts w:eastAsia="Arial Unicode MS"/>
          <w:noProof/>
        </w:rPr>
      </w:pPr>
      <w:r>
        <w:rPr>
          <w:noProof/>
        </w:rPr>
        <w:t>1. rādītājs: signāla (</w:t>
      </w:r>
      <w:r>
        <w:rPr>
          <w:i/>
          <w:noProof/>
        </w:rPr>
        <w:t>GNSS</w:t>
      </w:r>
      <w:r>
        <w:rPr>
          <w:noProof/>
        </w:rPr>
        <w:t>) precizitāte</w:t>
      </w:r>
    </w:p>
    <w:p>
      <w:pPr>
        <w:rPr>
          <w:rFonts w:eastAsia="Arial Unicode MS"/>
          <w:noProof/>
        </w:rPr>
      </w:pPr>
    </w:p>
    <w:p>
      <w:pPr>
        <w:rPr>
          <w:rFonts w:eastAsia="Arial Unicode MS"/>
          <w:noProof/>
        </w:rPr>
      </w:pPr>
      <w:r>
        <w:rPr>
          <w:noProof/>
        </w:rPr>
        <w:t>2. konkrētais mērķis: sniegt precīzus un uzticamus Zemes novērošanas datus un informāciju nolūkā atbalstīt Savienības un tās dalībvalstu rīcībpolitikas īstenošanu un uzraudzību tādās jomās kā vide, klimata pārmaiņas, lauksaimniecība un lauku attīstība, civilā aizsardzība, drošums un drošība, kā arī digitālā ekonomika.</w:t>
      </w:r>
    </w:p>
    <w:p>
      <w:pPr>
        <w:ind w:left="850"/>
        <w:rPr>
          <w:rFonts w:eastAsia="Arial Unicode MS"/>
          <w:noProof/>
        </w:rPr>
      </w:pPr>
      <w:r>
        <w:rPr>
          <w:noProof/>
        </w:rPr>
        <w:t xml:space="preserve">1. rādītājs: </w:t>
      </w:r>
      <w:r>
        <w:rPr>
          <w:i/>
          <w:noProof/>
        </w:rPr>
        <w:t>Copernicus</w:t>
      </w:r>
      <w:r>
        <w:rPr>
          <w:noProof/>
        </w:rPr>
        <w:t xml:space="preserve"> lietotāju skaits</w:t>
      </w:r>
    </w:p>
    <w:p>
      <w:pPr>
        <w:ind w:left="850"/>
        <w:rPr>
          <w:rFonts w:eastAsia="Arial Unicode MS"/>
          <w:noProof/>
        </w:rPr>
      </w:pPr>
      <w:r>
        <w:rPr>
          <w:noProof/>
        </w:rPr>
        <w:t xml:space="preserve">2. rādītājs: </w:t>
      </w:r>
      <w:r>
        <w:rPr>
          <w:i/>
          <w:noProof/>
        </w:rPr>
        <w:t>Copernicus</w:t>
      </w:r>
      <w:r>
        <w:rPr>
          <w:noProof/>
        </w:rPr>
        <w:t xml:space="preserve"> papildināšana ar jauniem pakalpojumiem</w:t>
      </w:r>
    </w:p>
    <w:p>
      <w:pPr>
        <w:rPr>
          <w:rFonts w:eastAsia="Arial Unicode MS"/>
          <w:noProof/>
        </w:rPr>
      </w:pPr>
    </w:p>
    <w:p>
      <w:pPr>
        <w:rPr>
          <w:rFonts w:eastAsia="Arial Unicode MS"/>
          <w:noProof/>
        </w:rPr>
      </w:pPr>
      <w:r>
        <w:rPr>
          <w:noProof/>
        </w:rPr>
        <w:t xml:space="preserve">3. konkrētais mērķis: uzlabot </w:t>
      </w:r>
      <w:r>
        <w:rPr>
          <w:i/>
          <w:noProof/>
        </w:rPr>
        <w:t>SST</w:t>
      </w:r>
      <w:r>
        <w:rPr>
          <w:noProof/>
        </w:rPr>
        <w:t xml:space="preserve"> spējas novērot, uzraudzīt un identificēt kosmiskos objektus, novērot kosmiskos laikapstākļus un kartēt un tīklot Savienības jaudas </w:t>
      </w:r>
      <w:r>
        <w:rPr>
          <w:i/>
          <w:noProof/>
        </w:rPr>
        <w:t>NEO</w:t>
      </w:r>
      <w:r>
        <w:rPr>
          <w:noProof/>
        </w:rPr>
        <w:t xml:space="preserve"> jomā.</w:t>
      </w:r>
    </w:p>
    <w:p>
      <w:pPr>
        <w:ind w:left="850"/>
        <w:rPr>
          <w:rFonts w:eastAsia="Arial Unicode MS"/>
          <w:noProof/>
        </w:rPr>
      </w:pPr>
      <w:r>
        <w:rPr>
          <w:noProof/>
        </w:rPr>
        <w:t xml:space="preserve">1. rādītājs: </w:t>
      </w:r>
      <w:r>
        <w:rPr>
          <w:i/>
          <w:noProof/>
        </w:rPr>
        <w:t>SST</w:t>
      </w:r>
      <w:r>
        <w:rPr>
          <w:noProof/>
        </w:rPr>
        <w:t xml:space="preserve"> komponentu lietotāju skaits </w:t>
      </w:r>
    </w:p>
    <w:p>
      <w:pPr>
        <w:ind w:left="850"/>
        <w:rPr>
          <w:rFonts w:eastAsia="Arial Unicode MS"/>
          <w:noProof/>
        </w:rPr>
      </w:pPr>
      <w:r>
        <w:rPr>
          <w:noProof/>
        </w:rPr>
        <w:t>2. rādītājs: pakalpojumu pieejamība</w:t>
      </w:r>
    </w:p>
    <w:p>
      <w:pPr>
        <w:rPr>
          <w:rFonts w:eastAsia="Arial Unicode MS"/>
          <w:noProof/>
        </w:rPr>
      </w:pPr>
    </w:p>
    <w:p>
      <w:pPr>
        <w:rPr>
          <w:rFonts w:eastAsia="Arial Unicode MS"/>
          <w:noProof/>
        </w:rPr>
      </w:pPr>
      <w:r>
        <w:rPr>
          <w:noProof/>
        </w:rPr>
        <w:t>4. konkrētais mērķis: nodrošināt uzticamu, drošu un rentablu satelītsakaru pakalpojumu pieejamību ilgtermiņā, pienācīgi garantējot piekļuvi un noturību pret ļaunprātīgu rīcību.</w:t>
      </w:r>
    </w:p>
    <w:p>
      <w:pPr>
        <w:ind w:left="850"/>
        <w:rPr>
          <w:rFonts w:eastAsia="Arial Unicode MS"/>
          <w:noProof/>
        </w:rPr>
      </w:pPr>
      <w:r>
        <w:rPr>
          <w:noProof/>
        </w:rPr>
        <w:t xml:space="preserve">1. rādītājs: </w:t>
      </w:r>
      <w:r>
        <w:rPr>
          <w:i/>
          <w:noProof/>
        </w:rPr>
        <w:t>GOVSATCOM</w:t>
      </w:r>
      <w:r>
        <w:rPr>
          <w:noProof/>
        </w:rPr>
        <w:t xml:space="preserve"> lietotāju skaits</w:t>
      </w:r>
    </w:p>
    <w:p>
      <w:pPr>
        <w:ind w:left="850"/>
        <w:rPr>
          <w:rFonts w:eastAsia="Arial Unicode MS"/>
          <w:noProof/>
        </w:rPr>
      </w:pPr>
      <w:r>
        <w:rPr>
          <w:noProof/>
        </w:rPr>
        <w:t>2. rādītājs: pakalpojumu pieejamība</w:t>
      </w:r>
    </w:p>
    <w:p>
      <w:pPr>
        <w:rPr>
          <w:noProof/>
        </w:rPr>
      </w:pPr>
    </w:p>
    <w:p>
      <w:pPr>
        <w:rPr>
          <w:rFonts w:eastAsia="Arial Unicode MS"/>
          <w:noProof/>
        </w:rPr>
      </w:pPr>
      <w:r>
        <w:rPr>
          <w:noProof/>
        </w:rPr>
        <w:t>5. konkrētais mērķis: veicināt autonomu, drošu un rentablu spēju piekļūt kosmosam.</w:t>
      </w:r>
    </w:p>
    <w:p>
      <w:pPr>
        <w:ind w:left="850"/>
        <w:rPr>
          <w:rFonts w:eastAsia="Arial Unicode MS"/>
          <w:noProof/>
        </w:rPr>
      </w:pPr>
      <w:r>
        <w:rPr>
          <w:noProof/>
        </w:rPr>
        <w:t>1. rādītājs: palaišanu skaits saistībā ar ES darbībām kosmosa jomā</w:t>
      </w:r>
    </w:p>
    <w:p>
      <w:pPr>
        <w:rPr>
          <w:noProof/>
        </w:rPr>
      </w:pPr>
    </w:p>
    <w:p>
      <w:pPr>
        <w:rPr>
          <w:rFonts w:eastAsia="Arial Unicode MS"/>
          <w:noProof/>
        </w:rPr>
      </w:pPr>
      <w:r>
        <w:rPr>
          <w:noProof/>
        </w:rPr>
        <w:t>6. konkrētais mērķis: darbības kosmosa nozares atbalstam: atbalstīt un stiprināt konkurētspēju, uzņēmējdarbības garu, prasmes un inovācijas spēju, kas piemīt Savienības juridiskajām un fiziskajām personām, kuras darbojas vai vēlas darboties šajā nozarē, īpašu uzmanību pievēršot mazo un vidējo uzņēmumu un jaunuzņēmumu stāvoklim un vajadzībām.</w:t>
      </w:r>
    </w:p>
    <w:p>
      <w:pPr>
        <w:rPr>
          <w:noProof/>
        </w:rPr>
      </w:pPr>
      <w:r>
        <w:rPr>
          <w:noProof/>
        </w:rPr>
        <w:t>1. rādītājs: izaugsme lejupējā nozarē, kas saistīta ar darbībām kosmosa jomā</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D869B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2A01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7489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8B2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60263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9A10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EDED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90800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7"/>
  </w:num>
  <w:num w:numId="16">
    <w:abstractNumId w:val="5"/>
  </w:num>
  <w:num w:numId="17">
    <w:abstractNumId w:val="4"/>
  </w:num>
  <w:num w:numId="18">
    <w:abstractNumId w:val="3"/>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6"/>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2:15: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CP" w:val="dokumentam"/>
    <w:docVar w:name="LW_ANNEX_NBR_FIRST" w:val="1"/>
    <w:docVar w:name="LW_ANNEX_NBR_LAST" w:val="1"/>
    <w:docVar w:name="LW_ANNEX_UNIQUE" w:val="0"/>
    <w:docVar w:name="LW_CORRIGENDUM" w:val="&lt;UNUSED&gt;"/>
    <w:docVar w:name="LW_COVERPAGE_EXISTS" w:val="True"/>
    <w:docVar w:name="LW_COVERPAGE_GUID" w:val="2B3A4989-7CDB-4B8D-81AC-DDEBCF2BB661"/>
    <w:docVar w:name="LW_COVERPAGE_TYPE" w:val="1"/>
    <w:docVar w:name="LW_CROSSREFERENCE" w:val="{SWD(2018) 327 final}_x000b_{SWD(2018) 328 final}"/>
    <w:docVar w:name="LW_DocType" w:val="ANNEX"/>
    <w:docVar w:name="LW_EMISSION" w:val="6.6.2018"/>
    <w:docVar w:name="LW_EMISSION_ISODATE" w:val="2018-06-06"/>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CP" w:val="ar ko izveido Savien\u299?bas kosmosa programmu un Eiropas Savien\u299?bas kosmosa programmas a\u291?ent\u363?ru un atce\u316? Regulu (ES) Nr. 912/2010, (ES) Nr. 1285/2013, (ES) Nr. 377/2014 un L\u275?mumu 541/2014/ES"/>
    <w:docVar w:name="LW_PART_NBR" w:val="&lt;UNUSED&gt;"/>
    <w:docVar w:name="LW_PART_NBR_TOTAL" w:val="&lt;UNUSED&gt;"/>
    <w:docVar w:name="LW_REF.INST.NEW" w:val="COM"/>
    <w:docVar w:name="LW_REF.INST.NEW_ADOPTED" w:val="final"/>
    <w:docVar w:name="LW_REF.INST.NEW_TEXT" w:val="(2018)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
    <w:docVar w:name="LW_TYPEACTEPRINCIPAL.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271</Words>
  <Characters>1890</Characters>
  <Application>Microsoft Office Word</Application>
  <DocSecurity>0</DocSecurity>
  <Lines>42</Lines>
  <Paragraphs>21</Paragraphs>
  <ScaleCrop>false</ScaleCrop>
  <Company>European Commission</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SADOVSKA Kristine (DGT)</dc:creator>
  <cp:lastModifiedBy>DIGIT/A3</cp:lastModifiedBy>
  <cp:revision>11</cp:revision>
  <dcterms:created xsi:type="dcterms:W3CDTF">2018-06-12T11:02:00Z</dcterms:created>
  <dcterms:modified xsi:type="dcterms:W3CDTF">2018-06-13T10:15:00Z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