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D1B0" w14:textId="6571D201" w:rsidR="00565CD4" w:rsidRPr="00661B05" w:rsidRDefault="00BD67F9" w:rsidP="00BD67F9">
      <w:pPr>
        <w:pStyle w:val="Pagedecouverture"/>
      </w:pPr>
      <w:r>
        <w:pict w14:anchorId="73EB5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AD90386B-F8AA-4CF9-A287-CEE461C0B088" style="width:450.9pt;height:397.75pt">
            <v:imagedata r:id="rId9" o:title=""/>
          </v:shape>
        </w:pict>
      </w:r>
    </w:p>
    <w:p w14:paraId="4CF53457" w14:textId="77777777" w:rsidR="00565CD4" w:rsidRPr="00661B05" w:rsidRDefault="00565CD4">
      <w:pPr>
        <w:sectPr w:rsidR="00565CD4" w:rsidRPr="00661B05" w:rsidSect="00BD67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75E5BA8E" w14:textId="77777777" w:rsidR="00565CD4" w:rsidRPr="00661B05" w:rsidRDefault="00CC6C33">
      <w:pPr>
        <w:pStyle w:val="Annexetitre"/>
      </w:pPr>
      <w:bookmarkStart w:id="0" w:name="_GoBack"/>
      <w:bookmarkEnd w:id="0"/>
      <w:r w:rsidRPr="00661B05">
        <w:lastRenderedPageBreak/>
        <w:t>ANEXO I</w:t>
      </w:r>
    </w:p>
    <w:p w14:paraId="0932C855" w14:textId="77777777" w:rsidR="00565CD4" w:rsidRPr="00661B05" w:rsidRDefault="00CC6C33">
      <w:pPr>
        <w:pStyle w:val="Annexetitreexpos"/>
        <w:rPr>
          <w:strike/>
        </w:rPr>
      </w:pPr>
      <w:r w:rsidRPr="00661B05">
        <w:t>Informações complementares sobre as atividades a financiar</w:t>
      </w:r>
    </w:p>
    <w:p w14:paraId="7C3C2A56" w14:textId="26F66C1D" w:rsidR="00565CD4" w:rsidRPr="00661B05" w:rsidRDefault="00CC6C33">
      <w:pPr>
        <w:pStyle w:val="Heading1"/>
        <w:numPr>
          <w:ilvl w:val="0"/>
          <w:numId w:val="17"/>
        </w:numPr>
      </w:pPr>
      <w:r w:rsidRPr="00661B05">
        <w:t>VERTENTE CULTURA</w:t>
      </w:r>
    </w:p>
    <w:p w14:paraId="2B310DB2" w14:textId="112A9CC7" w:rsidR="00565CD4" w:rsidRPr="00661B05" w:rsidRDefault="00CC6C33">
      <w:r w:rsidRPr="00661B05">
        <w:t>As prioridades da vertente CULTURA do programa a que se refere o artigo 4.º devem ser prosseguidas através das seguintes ações:</w:t>
      </w:r>
    </w:p>
    <w:p w14:paraId="13E7213C" w14:textId="77777777" w:rsidR="00565CD4" w:rsidRPr="00661B05" w:rsidRDefault="00CC6C33">
      <w:pPr>
        <w:rPr>
          <w:rFonts w:cstheme="minorBidi"/>
          <w:b/>
          <w:sz w:val="22"/>
        </w:rPr>
      </w:pPr>
      <w:r w:rsidRPr="00661B05">
        <w:rPr>
          <w:b/>
          <w:sz w:val="22"/>
        </w:rPr>
        <w:t>Ações horizontais</w:t>
      </w:r>
      <w:r w:rsidRPr="00661B05">
        <w:rPr>
          <w:rFonts w:cstheme="minorBidi"/>
          <w:b/>
          <w:sz w:val="22"/>
        </w:rPr>
        <w:t>:</w:t>
      </w:r>
    </w:p>
    <w:p w14:paraId="24F2BDC9" w14:textId="2F6E820A" w:rsidR="00565CD4" w:rsidRPr="00661B05" w:rsidRDefault="00FC03D3">
      <w:pPr>
        <w:pStyle w:val="Point1letter"/>
        <w:numPr>
          <w:ilvl w:val="3"/>
          <w:numId w:val="7"/>
        </w:numPr>
      </w:pPr>
      <w:r w:rsidRPr="00661B05">
        <w:t>Projetos de cooperação;</w:t>
      </w:r>
    </w:p>
    <w:p w14:paraId="0F678A56" w14:textId="77777777" w:rsidR="00565CD4" w:rsidRPr="00661B05" w:rsidRDefault="00CC6C33">
      <w:pPr>
        <w:pStyle w:val="Point1letter"/>
        <w:numPr>
          <w:ilvl w:val="3"/>
          <w:numId w:val="1"/>
        </w:numPr>
      </w:pPr>
      <w:r w:rsidRPr="00661B05">
        <w:t>Redes europeias de organizações culturais e criativas de diferentes países;</w:t>
      </w:r>
    </w:p>
    <w:p w14:paraId="1232AF35" w14:textId="77777777" w:rsidR="00565CD4" w:rsidRPr="00661B05" w:rsidRDefault="00CC6C33">
      <w:pPr>
        <w:pStyle w:val="Point1letter"/>
        <w:numPr>
          <w:ilvl w:val="3"/>
          <w:numId w:val="1"/>
        </w:numPr>
      </w:pPr>
      <w:r w:rsidRPr="00661B05">
        <w:t>Plataformas culturais e criativas pan-europeias;</w:t>
      </w:r>
    </w:p>
    <w:p w14:paraId="3D782CF1" w14:textId="33C01905" w:rsidR="00565CD4" w:rsidRPr="00661B05" w:rsidRDefault="00CC6C33">
      <w:pPr>
        <w:pStyle w:val="Point1letter"/>
        <w:numPr>
          <w:ilvl w:val="3"/>
          <w:numId w:val="1"/>
        </w:numPr>
      </w:pPr>
      <w:r w:rsidRPr="00661B05">
        <w:t>Mobilidade dos artistas e dos operadores dos setores culturais e criativos;</w:t>
      </w:r>
    </w:p>
    <w:p w14:paraId="4660E53A" w14:textId="397A0A84" w:rsidR="00565CD4" w:rsidRPr="00661B05" w:rsidRDefault="00BF768F">
      <w:pPr>
        <w:pStyle w:val="Point1letter"/>
        <w:numPr>
          <w:ilvl w:val="3"/>
          <w:numId w:val="1"/>
        </w:numPr>
      </w:pPr>
      <w:r w:rsidRPr="00661B05">
        <w:t>Apoio a organizações culturais e criativas a fim de lhes permitir operar a nível internacional;</w:t>
      </w:r>
    </w:p>
    <w:p w14:paraId="0E46CD72" w14:textId="77777777" w:rsidR="00565CD4" w:rsidRPr="00661B05" w:rsidRDefault="00133B69">
      <w:pPr>
        <w:pStyle w:val="Point1letter"/>
      </w:pPr>
      <w:r w:rsidRPr="00661B05">
        <w:t>Cooperação, elaboração e execução de políticas no domínio da cultura, nomeadamente através do fornecimento de dados, do intercâmbio de boas práticas ou de projetos-piloto.</w:t>
      </w:r>
    </w:p>
    <w:p w14:paraId="4D444D0E" w14:textId="77777777" w:rsidR="00565CD4" w:rsidRPr="00661B05" w:rsidRDefault="00CC6C33">
      <w:pPr>
        <w:rPr>
          <w:szCs w:val="24"/>
        </w:rPr>
      </w:pPr>
      <w:r w:rsidRPr="00661B05">
        <w:rPr>
          <w:b/>
        </w:rPr>
        <w:t>Ações setoriais</w:t>
      </w:r>
      <w:r w:rsidRPr="00661B05">
        <w:t>:</w:t>
      </w:r>
    </w:p>
    <w:p w14:paraId="504CE63B" w14:textId="77777777" w:rsidR="00565CD4" w:rsidRPr="00661B05" w:rsidRDefault="00CC6C33">
      <w:pPr>
        <w:pStyle w:val="Point1letter"/>
        <w:numPr>
          <w:ilvl w:val="3"/>
          <w:numId w:val="3"/>
        </w:numPr>
      </w:pPr>
      <w:r w:rsidRPr="00661B05">
        <w:t>Apoio ao setor da música: promoção da diversidade, da criatividade e da inovação no domínio da música, nomeadamente distribuição do repertório musical na Europa e no resto do mundo, ações de formação e captação de novos públicos para o repertório europeu, bem como apoio na recolha e na análise de dados;</w:t>
      </w:r>
    </w:p>
    <w:p w14:paraId="31293E99" w14:textId="77777777" w:rsidR="00565CD4" w:rsidRPr="00661B05" w:rsidRDefault="00CC6C33">
      <w:pPr>
        <w:pStyle w:val="Point1letter"/>
        <w:numPr>
          <w:ilvl w:val="3"/>
          <w:numId w:val="3"/>
        </w:numPr>
      </w:pPr>
      <w:r w:rsidRPr="00661B05">
        <w:t>Apoio ao setor do livro e da edição: ações específicas de promoção da diversidade, da criatividade e da inovação, nomeadamente tradução e promoção de literatura europeia na Europa e no resto do mundo, formação e intercâmbio de profissionais do setor, autores e tradutores, bem como projetos transnacionais de cooperação, inovação e desenvolvimento no setor;</w:t>
      </w:r>
    </w:p>
    <w:p w14:paraId="16535345" w14:textId="700CAC91" w:rsidR="00565CD4" w:rsidRPr="00661B05" w:rsidRDefault="00CC6C33">
      <w:pPr>
        <w:pStyle w:val="Point1letter"/>
        <w:numPr>
          <w:ilvl w:val="3"/>
          <w:numId w:val="3"/>
        </w:numPr>
      </w:pPr>
      <w:r w:rsidRPr="00661B05">
        <w:t>Apoio aos setores da arquitetura e do património cultural: ações específicas de promoção da mobilidade dos operadores, do desenvolvimento de capacidades, da captação de novos públicos, da internacionalização dos setores do património cultural e da arquitetura e da cultura arquitetónica, de apoio à salvaguarda, preservação e valorização do património cultural e dos seus valores, através de ações de sensibilização, da criação de redes de contactos e de atividades de aprendizagem entre pares;</w:t>
      </w:r>
    </w:p>
    <w:p w14:paraId="15AE2FD2" w14:textId="5E27BFAA" w:rsidR="00565CD4" w:rsidRPr="00661B05" w:rsidRDefault="00CC6C33">
      <w:pPr>
        <w:pStyle w:val="Point1letter"/>
        <w:numPr>
          <w:ilvl w:val="3"/>
          <w:numId w:val="3"/>
        </w:numPr>
      </w:pPr>
      <w:r w:rsidRPr="00661B05">
        <w:t>Apoio a outros setores: ações específicas de desenvolvimento dos aspetos criativos dos setores do</w:t>
      </w:r>
      <w:r w:rsidRPr="00661B05">
        <w:rPr>
          <w:i/>
        </w:rPr>
        <w:t xml:space="preserve"> </w:t>
      </w:r>
      <w:proofErr w:type="gramStart"/>
      <w:r w:rsidRPr="00661B05">
        <w:rPr>
          <w:i/>
        </w:rPr>
        <w:t>design</w:t>
      </w:r>
      <w:proofErr w:type="gramEnd"/>
      <w:r w:rsidRPr="00661B05">
        <w:rPr>
          <w:i/>
        </w:rPr>
        <w:t xml:space="preserve"> </w:t>
      </w:r>
      <w:r w:rsidRPr="00661B05">
        <w:t>e da moda e do turismo cultural, bem como a sua promoção e representação fora do território da União Europeia.</w:t>
      </w:r>
    </w:p>
    <w:p w14:paraId="566D5624" w14:textId="77777777" w:rsidR="00565CD4" w:rsidRPr="00661B05" w:rsidRDefault="00CC6C33">
      <w:pPr>
        <w:rPr>
          <w:b/>
          <w:szCs w:val="24"/>
        </w:rPr>
      </w:pPr>
      <w:proofErr w:type="gramStart"/>
      <w:r w:rsidRPr="00661B05">
        <w:rPr>
          <w:b/>
        </w:rPr>
        <w:t>Ações especiais que visam tornar</w:t>
      </w:r>
      <w:proofErr w:type="gramEnd"/>
      <w:r w:rsidRPr="00661B05">
        <w:rPr>
          <w:b/>
        </w:rPr>
        <w:t xml:space="preserve"> a diversidade cultural e o património cultural da Europa visíveis e tangíveis e fomentar o diálogo intercultural:</w:t>
      </w:r>
    </w:p>
    <w:p w14:paraId="3B8E8E87" w14:textId="2D38BE29" w:rsidR="00565CD4" w:rsidRPr="00661B05" w:rsidRDefault="00CC6C33">
      <w:pPr>
        <w:pStyle w:val="Point1letter"/>
        <w:numPr>
          <w:ilvl w:val="3"/>
          <w:numId w:val="2"/>
        </w:numPr>
      </w:pPr>
      <w:r w:rsidRPr="00661B05">
        <w:lastRenderedPageBreak/>
        <w:t>Capitais Europeias da Cultura, garantindo apoio financeiro à Decisão 445/2014/UE do Parlamento Europeu e do Conselho</w:t>
      </w:r>
      <w:r w:rsidRPr="00661B05">
        <w:rPr>
          <w:rStyle w:val="FootnoteReference"/>
        </w:rPr>
        <w:footnoteReference w:id="1"/>
      </w:r>
      <w:r w:rsidRPr="00661B05">
        <w:t>;</w:t>
      </w:r>
    </w:p>
    <w:p w14:paraId="66FE96A6" w14:textId="74E3E38A" w:rsidR="00565CD4" w:rsidRPr="00661B05" w:rsidRDefault="00CC6C33">
      <w:pPr>
        <w:pStyle w:val="Point1letter"/>
        <w:numPr>
          <w:ilvl w:val="3"/>
          <w:numId w:val="2"/>
        </w:numPr>
      </w:pPr>
      <w:r w:rsidRPr="00661B05">
        <w:t>Marca do Património Europeu, garantindo apoio financeiro à Decisão 1194/2011/UE do Parlamento Europeu e do Conselho</w:t>
      </w:r>
      <w:r w:rsidRPr="00661B05">
        <w:rPr>
          <w:rStyle w:val="FootnoteReference"/>
        </w:rPr>
        <w:footnoteReference w:id="2"/>
      </w:r>
      <w:r w:rsidRPr="00661B05">
        <w:t>;</w:t>
      </w:r>
    </w:p>
    <w:p w14:paraId="4FE654B1" w14:textId="77777777" w:rsidR="00565CD4" w:rsidRPr="00661B05" w:rsidRDefault="00CC6C33">
      <w:pPr>
        <w:pStyle w:val="Point1letter"/>
        <w:numPr>
          <w:ilvl w:val="3"/>
          <w:numId w:val="2"/>
        </w:numPr>
      </w:pPr>
      <w:r w:rsidRPr="00661B05">
        <w:t xml:space="preserve">Prémios culturais da UE; </w:t>
      </w:r>
    </w:p>
    <w:p w14:paraId="524BE3D7" w14:textId="77777777" w:rsidR="00565CD4" w:rsidRPr="00661B05" w:rsidRDefault="00CC6C33">
      <w:pPr>
        <w:pStyle w:val="Point1letter"/>
        <w:numPr>
          <w:ilvl w:val="3"/>
          <w:numId w:val="2"/>
        </w:numPr>
      </w:pPr>
      <w:r w:rsidRPr="00661B05">
        <w:t>Jornadas Europeias do Património;</w:t>
      </w:r>
    </w:p>
    <w:p w14:paraId="2C9B9994" w14:textId="6C386B77" w:rsidR="00565CD4" w:rsidRPr="00661B05" w:rsidRDefault="00CC6C33">
      <w:pPr>
        <w:pStyle w:val="Point1letter"/>
        <w:numPr>
          <w:ilvl w:val="3"/>
          <w:numId w:val="2"/>
        </w:numPr>
      </w:pPr>
      <w:r w:rsidRPr="00661B05">
        <w:t>Apoio às instituições culturais europeias destinadas a fornecer, aos cidadãos europeus, um serviço cultural direto e com uma ampla cobertura geográfica.</w:t>
      </w:r>
    </w:p>
    <w:p w14:paraId="685F8F7D" w14:textId="569E653C" w:rsidR="00565CD4" w:rsidRPr="00661B05" w:rsidRDefault="00CC6C33">
      <w:pPr>
        <w:pStyle w:val="Heading1"/>
      </w:pPr>
      <w:r w:rsidRPr="00661B05">
        <w:t>VERTENTE MEDIA</w:t>
      </w:r>
    </w:p>
    <w:p w14:paraId="3510AE9D" w14:textId="0E71BDD4" w:rsidR="00565CD4" w:rsidRPr="00661B05" w:rsidRDefault="00CC6C33">
      <w:r w:rsidRPr="00661B05">
        <w:t>As prioridades da vertente MEDIA do programa enunciadas no artigo 5.º devem ter em conta as diferenças entre países no que diz respeito à produção e à distribuição de conteúdos audiovisuais e ao acesso a esses conteúdos, bem como à dimensão e às características específicas dos respetivos mercados, e devem ser prosseguidas, entre outras, através das seguintes ações:</w:t>
      </w:r>
    </w:p>
    <w:p w14:paraId="5C078EB5" w14:textId="77777777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t>Conceção de obras audiovisuais;</w:t>
      </w:r>
    </w:p>
    <w:p w14:paraId="508D1C01" w14:textId="77777777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t>Produção de conteúdos televisivos e séries narrativas inovadores;</w:t>
      </w:r>
    </w:p>
    <w:p w14:paraId="2F524CAB" w14:textId="21F77119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t>Desenvolvimento de instrumentos de publicidade e</w:t>
      </w:r>
      <w:r w:rsidRPr="00661B05">
        <w:rPr>
          <w:i/>
        </w:rPr>
        <w:t xml:space="preserve"> marketing</w:t>
      </w:r>
      <w:r w:rsidRPr="00661B05">
        <w:t>, designadamente em linha e através da utilização de análises de dados, com vista a aumentar a relevância, a visibilidade, o acesso transfronteiras e o público das obras europeias;</w:t>
      </w:r>
    </w:p>
    <w:p w14:paraId="035407E1" w14:textId="2CBA8A93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t>Apoio à venda e à circulação, a nível internacional, das obras europeias não nacionais em todas as plataformas, incluindo através de estratégias de distribuição coordenadas que abranjam vários países;</w:t>
      </w:r>
    </w:p>
    <w:p w14:paraId="49BEE85A" w14:textId="77777777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t>Apoio a intercâmbios entre empresas e a atividades de criação de redes de contactos, a fim de facilitar a realização de coproduções europeias e internacionais;</w:t>
      </w:r>
    </w:p>
    <w:p w14:paraId="3BE4A595" w14:textId="10031FDC" w:rsidR="00565CD4" w:rsidRPr="00661B05" w:rsidRDefault="00E81D94">
      <w:pPr>
        <w:pStyle w:val="Point1letter"/>
        <w:numPr>
          <w:ilvl w:val="3"/>
          <w:numId w:val="8"/>
        </w:numPr>
      </w:pPr>
      <w:r w:rsidRPr="00661B05">
        <w:t>Promoção das obras europeias em eventos e feiras do setor na Europa e fora dela;</w:t>
      </w:r>
    </w:p>
    <w:p w14:paraId="4DB10A4A" w14:textId="77777777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t>Iniciativas que promovam a captação de novos públicos e a educação cinematográfica, dirigidas, em particular, ao público jovem;</w:t>
      </w:r>
    </w:p>
    <w:p w14:paraId="1BE48576" w14:textId="77777777" w:rsidR="00565CD4" w:rsidRPr="00661B05" w:rsidRDefault="00CC6C33">
      <w:pPr>
        <w:pStyle w:val="Point1letter"/>
        <w:numPr>
          <w:ilvl w:val="3"/>
          <w:numId w:val="8"/>
        </w:numPr>
      </w:pPr>
      <w:proofErr w:type="gramStart"/>
      <w:r w:rsidRPr="00661B05">
        <w:t>Atividades de formação e orientação destinadas a reforçar</w:t>
      </w:r>
      <w:proofErr w:type="gramEnd"/>
      <w:r w:rsidRPr="00661B05">
        <w:t xml:space="preserve"> a capacidade dos operadores do setor audiovisual de se adaptarem aos novos desenvolvimentos do mercado e às tecnologias digitais;</w:t>
      </w:r>
    </w:p>
    <w:p w14:paraId="28E0CBC5" w14:textId="15CF03DB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t xml:space="preserve">Criação de uma rede europeia de operadores de vídeo a pedido (VOD) cuja programação inclua uma parte significativa de obras europeias não nacionais; </w:t>
      </w:r>
    </w:p>
    <w:p w14:paraId="52F61E7B" w14:textId="49D4B507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t xml:space="preserve">Criação de (uma) </w:t>
      </w:r>
      <w:proofErr w:type="gramStart"/>
      <w:r w:rsidRPr="00661B05">
        <w:t>rede(s</w:t>
      </w:r>
      <w:proofErr w:type="gramEnd"/>
      <w:r w:rsidRPr="00661B05">
        <w:t>) europeia(s) de festivais cuja programação inclua uma parte significativa de obras europeias não nacionais;</w:t>
      </w:r>
    </w:p>
    <w:p w14:paraId="46FC2D53" w14:textId="77777777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lastRenderedPageBreak/>
        <w:t>Criação de uma rede europeia de operadores de cinema cuja programação inclua uma parte significativa de filmes europeus não nacionais;</w:t>
      </w:r>
    </w:p>
    <w:p w14:paraId="53639E6B" w14:textId="1E535EDB" w:rsidR="00565CD4" w:rsidRPr="00661B05" w:rsidRDefault="00CC6C33">
      <w:pPr>
        <w:pStyle w:val="Point1letter"/>
        <w:numPr>
          <w:ilvl w:val="3"/>
          <w:numId w:val="8"/>
        </w:numPr>
      </w:pPr>
      <w:r w:rsidRPr="00661B05">
        <w:t>Medidas específicas destinadas a contribuir para uma participação mais equilibrada entre géneros no setor audiovisual;</w:t>
      </w:r>
    </w:p>
    <w:p w14:paraId="2FC163D6" w14:textId="0B62EF9D" w:rsidR="00565CD4" w:rsidRPr="00661B05" w:rsidRDefault="00E4281C">
      <w:pPr>
        <w:pStyle w:val="Point1letter"/>
        <w:numPr>
          <w:ilvl w:val="3"/>
          <w:numId w:val="8"/>
        </w:numPr>
        <w:spacing w:before="0"/>
      </w:pPr>
      <w:r w:rsidRPr="00661B05">
        <w:t>Apoio ao diálogo político, às ações políticas inovadoras e ao intercâmbio de boas práticas, nomeadamente através de atividades de análise e do fornecimento de dados fiáveis;</w:t>
      </w:r>
    </w:p>
    <w:p w14:paraId="291FD0FA" w14:textId="77777777" w:rsidR="00565CD4" w:rsidRPr="00661B05" w:rsidRDefault="00E4281C">
      <w:pPr>
        <w:pStyle w:val="Point1letter"/>
        <w:numPr>
          <w:ilvl w:val="3"/>
          <w:numId w:val="8"/>
        </w:numPr>
        <w:spacing w:before="0"/>
      </w:pPr>
      <w:r w:rsidRPr="00661B05">
        <w:t>Intercâmbio de experiências e de saber-fazer a nível transnacional, atividades de aprendizagem entre pares e criação de redes de contactos entre o setor audiovisual e os decisores políticos.</w:t>
      </w:r>
    </w:p>
    <w:p w14:paraId="44A0BE31" w14:textId="77777777" w:rsidR="00565CD4" w:rsidRPr="00661B05" w:rsidRDefault="00565CD4"/>
    <w:p w14:paraId="65AD408E" w14:textId="159E9155" w:rsidR="00565CD4" w:rsidRPr="00661B05" w:rsidRDefault="00CC6C33">
      <w:pPr>
        <w:pStyle w:val="Heading1"/>
      </w:pPr>
      <w:r w:rsidRPr="00661B05">
        <w:t xml:space="preserve">VERTENTE INTERSETORIAL </w:t>
      </w:r>
    </w:p>
    <w:p w14:paraId="429270DC" w14:textId="77777777" w:rsidR="00565CD4" w:rsidRPr="00661B05" w:rsidRDefault="00CC6C33">
      <w:r w:rsidRPr="00661B05">
        <w:t>As prioridades da vertente INTERSETORIAL do programa a que se refere o artigo 6.º devem ser prosseguidas através das seguintes ações:</w:t>
      </w:r>
    </w:p>
    <w:p w14:paraId="070089A2" w14:textId="6D8F1514" w:rsidR="00565CD4" w:rsidRPr="00661B05" w:rsidRDefault="00CC6C33">
      <w:r w:rsidRPr="00661B05">
        <w:rPr>
          <w:b/>
        </w:rPr>
        <w:t>Cooperação política e sensibilização</w:t>
      </w:r>
      <w:r w:rsidRPr="00661B05">
        <w:t>:</w:t>
      </w:r>
    </w:p>
    <w:p w14:paraId="3AACB9EF" w14:textId="3227965C" w:rsidR="00565CD4" w:rsidRPr="00661B05" w:rsidRDefault="00CC6C33">
      <w:pPr>
        <w:pStyle w:val="Point1letter"/>
        <w:numPr>
          <w:ilvl w:val="3"/>
          <w:numId w:val="18"/>
        </w:numPr>
      </w:pPr>
      <w:r w:rsidRPr="00661B05">
        <w:tab/>
        <w:t xml:space="preserve">Elaboração de políticas, intercâmbio de experiências e de saber-fazer a nível transnacional, atividades de aprendizagem entre pares e criação de redes de contactos entre as organizações dos setores culturais e criativos e os decisores políticos, de natureza </w:t>
      </w:r>
      <w:proofErr w:type="spellStart"/>
      <w:r w:rsidRPr="00661B05">
        <w:t>intersetorial</w:t>
      </w:r>
      <w:proofErr w:type="spellEnd"/>
      <w:r w:rsidRPr="00661B05">
        <w:t>;</w:t>
      </w:r>
    </w:p>
    <w:p w14:paraId="0F65D481" w14:textId="582406A9" w:rsidR="00565CD4" w:rsidRPr="00661B05" w:rsidRDefault="00383D6B">
      <w:pPr>
        <w:pStyle w:val="Point1letter"/>
      </w:pPr>
      <w:r w:rsidRPr="00661B05">
        <w:t xml:space="preserve">Atividades de análise </w:t>
      </w:r>
      <w:proofErr w:type="spellStart"/>
      <w:r w:rsidRPr="00661B05">
        <w:t>intersetoriais</w:t>
      </w:r>
      <w:proofErr w:type="spellEnd"/>
      <w:r w:rsidRPr="00661B05">
        <w:t>;</w:t>
      </w:r>
    </w:p>
    <w:p w14:paraId="509601B3" w14:textId="5E104B5A" w:rsidR="00565CD4" w:rsidRPr="00661B05" w:rsidRDefault="00CC6C33">
      <w:pPr>
        <w:pStyle w:val="Point1letter"/>
      </w:pPr>
      <w:r w:rsidRPr="00661B05">
        <w:t>Apoio a ações que visam promover a cooperação política e a elaboração de políticas transfronteiras em matéria de inclusão social através da cultura;</w:t>
      </w:r>
    </w:p>
    <w:p w14:paraId="25CC09A5" w14:textId="5F929331" w:rsidR="00565CD4" w:rsidRPr="00661B05" w:rsidRDefault="006F68D7">
      <w:pPr>
        <w:pStyle w:val="Point1letter"/>
      </w:pPr>
      <w:r w:rsidRPr="00661B05">
        <w:t>Promoção do conhecimento do programa e dos temas abordados, aumento da sensibilização dos cidadãos e apoio à transferibilidade dos resultados para além das fronteiras dos Estados-Membros.</w:t>
      </w:r>
    </w:p>
    <w:p w14:paraId="1F9ABBB6" w14:textId="77777777" w:rsidR="00565CD4" w:rsidRPr="00661B05" w:rsidRDefault="00CC6C33">
      <w:pPr>
        <w:spacing w:before="0"/>
        <w:rPr>
          <w:b/>
        </w:rPr>
      </w:pPr>
      <w:r w:rsidRPr="00661B05">
        <w:rPr>
          <w:b/>
        </w:rPr>
        <w:t>Laboratório de inovação criativa:</w:t>
      </w:r>
    </w:p>
    <w:p w14:paraId="0E1FF483" w14:textId="22D6D6F5" w:rsidR="00565CD4" w:rsidRPr="00661B05" w:rsidRDefault="00CC6C33">
      <w:pPr>
        <w:pStyle w:val="Point1letter"/>
        <w:numPr>
          <w:ilvl w:val="3"/>
          <w:numId w:val="4"/>
        </w:numPr>
      </w:pPr>
      <w:r w:rsidRPr="00661B05">
        <w:t>Incentivo a novas formas de criação no ponto de encontro entre os diferentes setores culturais e criativos, por exemplo, através da utilização de tecnologias inovadoras;</w:t>
      </w:r>
    </w:p>
    <w:p w14:paraId="7AF3EC53" w14:textId="77777777" w:rsidR="00565CD4" w:rsidRPr="00661B05" w:rsidRDefault="00CC6C33">
      <w:pPr>
        <w:pStyle w:val="Point1letter"/>
        <w:numPr>
          <w:ilvl w:val="3"/>
          <w:numId w:val="4"/>
        </w:numPr>
      </w:pPr>
      <w:r w:rsidRPr="00661B05">
        <w:t xml:space="preserve">Promoção de abordagens e instrumentos </w:t>
      </w:r>
      <w:proofErr w:type="spellStart"/>
      <w:r w:rsidRPr="00661B05">
        <w:t>intersetoriais</w:t>
      </w:r>
      <w:proofErr w:type="spellEnd"/>
      <w:r w:rsidRPr="00661B05">
        <w:t xml:space="preserve"> inovadores destinados a facilitar o acesso, a distribuição, a promoção e a monetização da cultura e da criatividade, incluindo o património cultural. </w:t>
      </w:r>
    </w:p>
    <w:p w14:paraId="7ABE28D4" w14:textId="77777777" w:rsidR="00565CD4" w:rsidRPr="00661B05" w:rsidRDefault="00CC6C33">
      <w:pPr>
        <w:spacing w:before="0"/>
        <w:rPr>
          <w:b/>
        </w:rPr>
      </w:pPr>
      <w:r w:rsidRPr="00661B05">
        <w:rPr>
          <w:b/>
        </w:rPr>
        <w:t>Centros de informação do programa:</w:t>
      </w:r>
    </w:p>
    <w:p w14:paraId="6C3156CE" w14:textId="77777777" w:rsidR="00565CD4" w:rsidRPr="00661B05" w:rsidRDefault="00CC6C33">
      <w:pPr>
        <w:pStyle w:val="Point1letter"/>
        <w:numPr>
          <w:ilvl w:val="3"/>
          <w:numId w:val="5"/>
        </w:numPr>
      </w:pPr>
      <w:r w:rsidRPr="00661B05">
        <w:t>Promoção do programa a nível nacional e fornecimento de informações sobre os vários tipos de apoio financeiro disponível no âmbito das políticas da União;</w:t>
      </w:r>
    </w:p>
    <w:p w14:paraId="3BDC1E8A" w14:textId="44010A00" w:rsidR="00565CD4" w:rsidRPr="00661B05" w:rsidRDefault="00CC6C33">
      <w:pPr>
        <w:pStyle w:val="Point1letter"/>
        <w:numPr>
          <w:ilvl w:val="3"/>
          <w:numId w:val="5"/>
        </w:numPr>
      </w:pPr>
      <w:r w:rsidRPr="00661B05">
        <w:t>Estímulo à cooperação transfronteiras entre profissionais, instituições, plataformas e redes de contactos dentro e entre os setores e os domínios de ação abrangidos pelo programa;</w:t>
      </w:r>
    </w:p>
    <w:p w14:paraId="068C57CC" w14:textId="77777777" w:rsidR="00565CD4" w:rsidRPr="00661B05" w:rsidRDefault="00CC6C33">
      <w:pPr>
        <w:pStyle w:val="Point1letter"/>
        <w:numPr>
          <w:ilvl w:val="3"/>
          <w:numId w:val="5"/>
        </w:numPr>
      </w:pPr>
      <w:r w:rsidRPr="00661B05">
        <w:t>Apoio à Comissão a fim de assegurar uma comunicação e divulgação adequadas dos resultados do programa junto dos cidadãos.</w:t>
      </w:r>
    </w:p>
    <w:p w14:paraId="5110E169" w14:textId="7349BF0B" w:rsidR="00565CD4" w:rsidRPr="00661B05" w:rsidRDefault="00CC6C33">
      <w:pPr>
        <w:spacing w:before="0"/>
        <w:rPr>
          <w:b/>
        </w:rPr>
      </w:pPr>
      <w:r w:rsidRPr="00661B05">
        <w:rPr>
          <w:b/>
        </w:rPr>
        <w:t>Atividades transversais de apoio ao setor dos meios de comunicação social:</w:t>
      </w:r>
    </w:p>
    <w:p w14:paraId="0FA44ABF" w14:textId="25287F34" w:rsidR="00565CD4" w:rsidRPr="00661B05" w:rsidRDefault="00A638F1">
      <w:pPr>
        <w:pStyle w:val="Point1letter"/>
        <w:numPr>
          <w:ilvl w:val="3"/>
          <w:numId w:val="6"/>
        </w:numPr>
      </w:pPr>
      <w:r w:rsidRPr="00661B05">
        <w:lastRenderedPageBreak/>
        <w:t>Resposta às mudanças estruturais que o setor dos meios de comunicação social enfrenta, através da promoção e da supervisão de um ambiente mediático diversificado e pluralista;</w:t>
      </w:r>
    </w:p>
    <w:p w14:paraId="62E040C2" w14:textId="77777777" w:rsidR="00565CD4" w:rsidRPr="00661B05" w:rsidRDefault="00CC6C33">
      <w:pPr>
        <w:pStyle w:val="Point1letter"/>
        <w:numPr>
          <w:ilvl w:val="3"/>
          <w:numId w:val="6"/>
        </w:numPr>
      </w:pPr>
      <w:r w:rsidRPr="00661B05">
        <w:t>Apoio aos padrões elevados de produção de conteúdos, através da promoção da cooperação, do jornalismo colaborativo transfronteiras e dos conteúdos de qualidade;</w:t>
      </w:r>
    </w:p>
    <w:p w14:paraId="4CC51898" w14:textId="1DED324B" w:rsidR="00565CD4" w:rsidRPr="00661B05" w:rsidRDefault="00CC6C33">
      <w:pPr>
        <w:pStyle w:val="Point1letter"/>
        <w:numPr>
          <w:ilvl w:val="3"/>
          <w:numId w:val="6"/>
        </w:numPr>
      </w:pPr>
      <w:r w:rsidRPr="00661B05">
        <w:t>Promoção da literacia mediática para permitir que os cidadãos desenvolvam uma visão crítica dos meios de comunicação social.</w:t>
      </w:r>
    </w:p>
    <w:p w14:paraId="404D51DD" w14:textId="77777777" w:rsidR="00565CD4" w:rsidRPr="00661B05" w:rsidRDefault="00565CD4">
      <w:pPr>
        <w:sectPr w:rsidR="00565CD4" w:rsidRPr="00661B05" w:rsidSect="00BD67F9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14:paraId="714A7289" w14:textId="77777777" w:rsidR="00565CD4" w:rsidRPr="00661B05" w:rsidRDefault="00CC6C33">
      <w:pPr>
        <w:pStyle w:val="Annexetitre"/>
      </w:pPr>
      <w:r w:rsidRPr="00661B05">
        <w:lastRenderedPageBreak/>
        <w:t>ANEXO II</w:t>
      </w:r>
    </w:p>
    <w:p w14:paraId="5018D726" w14:textId="6B8CA73C" w:rsidR="00565CD4" w:rsidRPr="00661B05" w:rsidRDefault="00CC6C33">
      <w:pPr>
        <w:pStyle w:val="Annexetitreexpos"/>
      </w:pPr>
      <w:r w:rsidRPr="00661B05">
        <w:t>Indicadores</w:t>
      </w:r>
    </w:p>
    <w:p w14:paraId="64029D80" w14:textId="77777777" w:rsidR="00565CD4" w:rsidRPr="00661B05" w:rsidRDefault="00CC6C33">
      <w:pPr>
        <w:pStyle w:val="Annexetitreexpos"/>
        <w:rPr>
          <w:rFonts w:ascii="Calibri" w:hAnsi="Calibri"/>
          <w:sz w:val="8"/>
          <w:szCs w:val="8"/>
        </w:rPr>
      </w:pPr>
      <w:r w:rsidRPr="00661B05">
        <w:t>VERTENTE CULTURA:</w:t>
      </w:r>
    </w:p>
    <w:tbl>
      <w:tblPr>
        <w:tblW w:w="918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565CD4" w:rsidRPr="00661B05" w14:paraId="517DBEC3" w14:textId="77777777" w:rsidTr="000613B7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2964" w14:textId="6FA60E94" w:rsidR="00565CD4" w:rsidRPr="00661B05" w:rsidRDefault="00CC6C33">
            <w:pPr>
              <w:spacing w:line="276" w:lineRule="auto"/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e abrangência das parcerias transnacionais formadas com o apoio do programa</w:t>
            </w:r>
          </w:p>
        </w:tc>
      </w:tr>
      <w:tr w:rsidR="00565CD4" w:rsidRPr="00661B05" w14:paraId="4E041B63" w14:textId="77777777" w:rsidTr="000613B7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2C15" w14:textId="77777777" w:rsidR="00565CD4" w:rsidRPr="00661B05" w:rsidRDefault="00CC6C33">
            <w:pPr>
              <w:spacing w:line="276" w:lineRule="auto"/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de artistas e atores culturais e/ou criativos com mobilidade (geográfica) que transcenda as fronteiras nacionais graças ao apoio do programa, por país de origem</w:t>
            </w:r>
          </w:p>
        </w:tc>
      </w:tr>
      <w:tr w:rsidR="00565CD4" w:rsidRPr="00661B05" w14:paraId="7F50CB83" w14:textId="77777777" w:rsidTr="000613B7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852D" w14:textId="77777777" w:rsidR="00565CD4" w:rsidRPr="00661B05" w:rsidRDefault="00CC6C33">
            <w:pPr>
              <w:spacing w:line="276" w:lineRule="auto"/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de pessoas que têm acesso a obras culturais e criativas europeias criadas no âmbito do programa, incluindo obras de países diferentes do seu</w:t>
            </w:r>
          </w:p>
        </w:tc>
      </w:tr>
      <w:tr w:rsidR="00565CD4" w:rsidRPr="00661B05" w14:paraId="6AC8F690" w14:textId="77777777" w:rsidTr="000613B7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307C" w14:textId="47A2DD16" w:rsidR="00565CD4" w:rsidRPr="00661B05" w:rsidRDefault="00517488">
            <w:pPr>
              <w:spacing w:line="276" w:lineRule="auto"/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de projetos apoiados pelo programa que se dirigem a grupos desfavorecidos, nomeadamente a jovens desempregados e a migrantes</w:t>
            </w:r>
          </w:p>
        </w:tc>
      </w:tr>
      <w:tr w:rsidR="00565CD4" w:rsidRPr="00661B05" w14:paraId="72E268B7" w14:textId="77777777" w:rsidTr="000613B7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DBCF" w14:textId="365C9E5C" w:rsidR="00565CD4" w:rsidRPr="00661B05" w:rsidRDefault="00517488">
            <w:pPr>
              <w:spacing w:line="276" w:lineRule="auto"/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de projetos apoiados pelo programa que envolvem organizações de países terceiros</w:t>
            </w:r>
          </w:p>
        </w:tc>
      </w:tr>
    </w:tbl>
    <w:p w14:paraId="5E684702" w14:textId="77777777" w:rsidR="00565CD4" w:rsidRPr="00661B05" w:rsidRDefault="00CC6C33">
      <w:pPr>
        <w:pStyle w:val="Annexetitreexpos"/>
      </w:pPr>
      <w:r w:rsidRPr="00661B05">
        <w:t>VERTENTE MEDIA:</w:t>
      </w:r>
    </w:p>
    <w:tbl>
      <w:tblPr>
        <w:tblW w:w="9180" w:type="dxa"/>
        <w:tblInd w:w="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565CD4" w:rsidRPr="00661B05" w14:paraId="73C9C5A4" w14:textId="77777777" w:rsidTr="000613B7">
        <w:tc>
          <w:tcPr>
            <w:tcW w:w="9180" w:type="dxa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14:paraId="344C724D" w14:textId="508A31FC" w:rsidR="00565CD4" w:rsidRPr="00661B05" w:rsidRDefault="00A67CF7">
            <w:pPr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de pessoas que têm acesso a obras audiovisuais europeias provenientes de países diferentes do seu e apoiadas pelo programa</w:t>
            </w:r>
          </w:p>
        </w:tc>
      </w:tr>
      <w:tr w:rsidR="00565CD4" w:rsidRPr="00661B05" w14:paraId="666E9F2D" w14:textId="77777777" w:rsidTr="000613B7">
        <w:tc>
          <w:tcPr>
            <w:tcW w:w="9180" w:type="dxa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14:paraId="1EB02455" w14:textId="60AC71E1" w:rsidR="00565CD4" w:rsidRPr="00661B05" w:rsidRDefault="00A67CF7">
            <w:pPr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de participantes em atividades de aprendizagem apoiadas pelo programa que considerem ter desenvolvido as suas competências e aumentado a sua empregabilidade</w:t>
            </w:r>
          </w:p>
        </w:tc>
      </w:tr>
      <w:tr w:rsidR="00565CD4" w:rsidRPr="00661B05" w14:paraId="17AEBC2F" w14:textId="77777777" w:rsidTr="000613B7">
        <w:tc>
          <w:tcPr>
            <w:tcW w:w="9180" w:type="dxa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14:paraId="3CDD7A6F" w14:textId="6A1D88AB" w:rsidR="00565CD4" w:rsidRPr="00661B05" w:rsidRDefault="00A67CF7">
            <w:pPr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e orçamento das coproduções desenvolvidas e criadas com o apoio do programa</w:t>
            </w:r>
          </w:p>
        </w:tc>
      </w:tr>
      <w:tr w:rsidR="00565CD4" w:rsidRPr="00661B05" w14:paraId="3D9C2817" w14:textId="77777777" w:rsidTr="000613B7">
        <w:tc>
          <w:tcPr>
            <w:tcW w:w="9180" w:type="dxa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14:paraId="257611F8" w14:textId="77777777" w:rsidR="00565CD4" w:rsidRPr="00661B05" w:rsidRDefault="00A67CF7">
            <w:pPr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de pessoas abrangidas pelas atividades promocionais entre empresas nos mercados mais importantes</w:t>
            </w:r>
          </w:p>
        </w:tc>
      </w:tr>
    </w:tbl>
    <w:p w14:paraId="115A80CD" w14:textId="52865A12" w:rsidR="00565CD4" w:rsidRPr="00661B05" w:rsidRDefault="00A67CF7">
      <w:pPr>
        <w:jc w:val="center"/>
        <w:rPr>
          <w:b/>
        </w:rPr>
      </w:pPr>
      <w:r w:rsidRPr="00661B05">
        <w:rPr>
          <w:b/>
          <w:u w:val="single"/>
        </w:rPr>
        <w:t>VERTENTE INTERSETORIAL</w:t>
      </w:r>
      <w:r w:rsidRPr="00661B05">
        <w:rPr>
          <w:b/>
        </w:rPr>
        <w:t>:</w:t>
      </w:r>
    </w:p>
    <w:tbl>
      <w:tblPr>
        <w:tblW w:w="9180" w:type="dxa"/>
        <w:tblInd w:w="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565CD4" w:rsidRPr="00661B05" w14:paraId="5CE05584" w14:textId="77777777" w:rsidTr="000613B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BEF18" w14:textId="7D0DD130" w:rsidR="00565CD4" w:rsidRPr="00661B05" w:rsidRDefault="00E4009D">
            <w:pPr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e abrangência das parcerias transnacionais formadas (indicador compósito para os laboratórios de inovação criativa e as ações relativas aos meios de comunicação)</w:t>
            </w:r>
          </w:p>
        </w:tc>
      </w:tr>
      <w:tr w:rsidR="00565CD4" w:rsidRPr="00661B05" w14:paraId="149CD30B" w14:textId="77777777" w:rsidTr="000613B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20A96" w14:textId="48991F6C" w:rsidR="00565CD4" w:rsidRPr="00661B05" w:rsidRDefault="00A67CF7">
            <w:pPr>
              <w:rPr>
                <w:sz w:val="18"/>
                <w:szCs w:val="18"/>
              </w:rPr>
            </w:pPr>
            <w:r w:rsidRPr="00661B05">
              <w:rPr>
                <w:sz w:val="18"/>
                <w:szCs w:val="18"/>
              </w:rPr>
              <w:t>Número de eventos de promoção do programa organizados pelos centros de informação</w:t>
            </w:r>
          </w:p>
        </w:tc>
      </w:tr>
    </w:tbl>
    <w:p w14:paraId="4158133A" w14:textId="77777777" w:rsidR="00565CD4" w:rsidRPr="00661B05" w:rsidRDefault="00565CD4">
      <w:pPr>
        <w:jc w:val="center"/>
        <w:rPr>
          <w:highlight w:val="yellow"/>
        </w:rPr>
      </w:pPr>
    </w:p>
    <w:sectPr w:rsidR="00565CD4" w:rsidRPr="00661B05" w:rsidSect="00BD67F9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41BB2" w15:done="0"/>
  <w15:commentEx w15:paraId="15622287" w15:done="0"/>
  <w15:commentEx w15:paraId="60D2AC42" w15:done="0"/>
  <w15:commentEx w15:paraId="5D2A6968" w15:done="0"/>
  <w15:commentEx w15:paraId="1594928C" w15:done="0"/>
  <w15:commentEx w15:paraId="3E2CF080" w15:done="0"/>
  <w15:commentEx w15:paraId="5EFC127B" w15:done="0"/>
  <w15:commentEx w15:paraId="5FDDB6AF" w15:done="0"/>
  <w15:commentEx w15:paraId="31C1D9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1E504" w14:textId="77777777" w:rsidR="00565CD4" w:rsidRDefault="00CC6C33">
      <w:pPr>
        <w:spacing w:before="0" w:after="0"/>
      </w:pPr>
      <w:r>
        <w:separator/>
      </w:r>
    </w:p>
  </w:endnote>
  <w:endnote w:type="continuationSeparator" w:id="0">
    <w:p w14:paraId="17607177" w14:textId="77777777" w:rsidR="00565CD4" w:rsidRDefault="00CC6C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6D5A" w14:textId="77777777" w:rsidR="00BD67F9" w:rsidRPr="00BD67F9" w:rsidRDefault="00BD67F9" w:rsidP="00BD6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566C" w14:textId="08F9AA14" w:rsidR="00661B05" w:rsidRPr="00BD67F9" w:rsidRDefault="00BD67F9" w:rsidP="00BD67F9">
    <w:pPr>
      <w:pStyle w:val="Footer"/>
      <w:rPr>
        <w:rFonts w:ascii="Arial" w:hAnsi="Arial" w:cs="Arial"/>
        <w:b/>
        <w:sz w:val="48"/>
      </w:rPr>
    </w:pPr>
    <w:r w:rsidRPr="00BD67F9">
      <w:rPr>
        <w:rFonts w:ascii="Arial" w:hAnsi="Arial" w:cs="Arial"/>
        <w:b/>
        <w:sz w:val="48"/>
      </w:rPr>
      <w:t>PT</w:t>
    </w:r>
    <w:r w:rsidRPr="00BD67F9">
      <w:rPr>
        <w:rFonts w:ascii="Arial" w:hAnsi="Arial" w:cs="Arial"/>
        <w:b/>
        <w:sz w:val="48"/>
      </w:rPr>
      <w:tab/>
    </w:r>
    <w:r w:rsidRPr="00BD67F9">
      <w:rPr>
        <w:rFonts w:ascii="Arial" w:hAnsi="Arial" w:cs="Arial"/>
        <w:b/>
        <w:sz w:val="48"/>
      </w:rPr>
      <w:tab/>
    </w:r>
    <w:r w:rsidRPr="00BD67F9">
      <w:tab/>
    </w:r>
    <w:proofErr w:type="spellStart"/>
    <w:r w:rsidRPr="00BD67F9">
      <w:rPr>
        <w:rFonts w:ascii="Arial" w:hAnsi="Arial" w:cs="Arial"/>
        <w:b/>
        <w:sz w:val="48"/>
      </w:rPr>
      <w:t>PT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2022" w14:textId="77777777" w:rsidR="00BD67F9" w:rsidRPr="00BD67F9" w:rsidRDefault="00BD67F9" w:rsidP="00BD67F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ECFE" w14:textId="3613CFEA" w:rsidR="00661B05" w:rsidRPr="00BD67F9" w:rsidRDefault="00BD67F9" w:rsidP="00BD67F9">
    <w:pPr>
      <w:pStyle w:val="Footer"/>
      <w:rPr>
        <w:rFonts w:ascii="Arial" w:hAnsi="Arial" w:cs="Arial"/>
        <w:b/>
        <w:sz w:val="48"/>
      </w:rPr>
    </w:pPr>
    <w:r w:rsidRPr="00BD67F9">
      <w:rPr>
        <w:rFonts w:ascii="Arial" w:hAnsi="Arial" w:cs="Arial"/>
        <w:b/>
        <w:sz w:val="48"/>
      </w:rPr>
      <w:t>PT</w:t>
    </w:r>
    <w:r w:rsidRPr="00BD67F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BD67F9">
      <w:tab/>
    </w:r>
    <w:r w:rsidRPr="00BD67F9"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069FF" w14:textId="77777777" w:rsidR="00BD67F9" w:rsidRPr="00BD67F9" w:rsidRDefault="00BD67F9" w:rsidP="00BD6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9AFE7" w14:textId="77777777" w:rsidR="00565CD4" w:rsidRDefault="00CC6C33">
      <w:pPr>
        <w:spacing w:before="0" w:after="0"/>
      </w:pPr>
      <w:r>
        <w:separator/>
      </w:r>
    </w:p>
  </w:footnote>
  <w:footnote w:type="continuationSeparator" w:id="0">
    <w:p w14:paraId="0EB02E0A" w14:textId="77777777" w:rsidR="00565CD4" w:rsidRDefault="00CC6C33">
      <w:pPr>
        <w:spacing w:before="0" w:after="0"/>
      </w:pPr>
      <w:r>
        <w:continuationSeparator/>
      </w:r>
    </w:p>
  </w:footnote>
  <w:footnote w:id="1">
    <w:p w14:paraId="2F417803" w14:textId="1E4946FF" w:rsidR="00565CD4" w:rsidRPr="00661B05" w:rsidRDefault="002B7A57">
      <w:pPr>
        <w:pStyle w:val="FootnoteText"/>
      </w:pPr>
      <w:r>
        <w:rPr>
          <w:rStyle w:val="FootnoteReference"/>
        </w:rPr>
        <w:footnoteRef/>
      </w:r>
      <w:r w:rsidRPr="00661B05">
        <w:tab/>
        <w:t>Decisão n.º 445/2014/UE do Parlamento Europeu e do Conselho, de 16 de abril de 2014, que cria uma ação da União de apoio às Capitais Europeias da Cultura para os anos de 2020 a 2033 e que revoga a Decisão n.º 1622/2006/CE (JO L 132 de 3.5.2014, p. 1).</w:t>
      </w:r>
    </w:p>
  </w:footnote>
  <w:footnote w:id="2">
    <w:p w14:paraId="03349020" w14:textId="2975F4B0" w:rsidR="00565CD4" w:rsidRPr="00661B05" w:rsidRDefault="002B7A57">
      <w:pPr>
        <w:pStyle w:val="FootnoteText"/>
      </w:pPr>
      <w:r>
        <w:rPr>
          <w:rStyle w:val="FootnoteReference"/>
        </w:rPr>
        <w:footnoteRef/>
      </w:r>
      <w:r w:rsidRPr="00661B05">
        <w:tab/>
        <w:t>Decisão n.º 1194/2011/UE do Parlamento Europeu e do Conselho, de 16 de novembro de 2011, que cria uma ação da União Europeia relativa à Marca do Património Europeu (JO L 303 de 22.11.2011,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ECA51" w14:textId="77777777" w:rsidR="00BD67F9" w:rsidRPr="00BD67F9" w:rsidRDefault="00BD67F9" w:rsidP="00BD6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E089" w14:textId="77777777" w:rsidR="00BD67F9" w:rsidRPr="00BD67F9" w:rsidRDefault="00BD67F9" w:rsidP="00BD6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349B" w14:textId="77777777" w:rsidR="00BD67F9" w:rsidRPr="00BD67F9" w:rsidRDefault="00BD67F9" w:rsidP="00BD6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A3AC8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F16DF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0C228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ECAEE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FA28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77A36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59E1E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FB66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 w:numId="33">
    <w:abstractNumId w:val="18"/>
  </w:num>
  <w:num w:numId="34">
    <w:abstractNumId w:val="12"/>
  </w:num>
  <w:num w:numId="35">
    <w:abstractNumId w:val="20"/>
  </w:num>
  <w:num w:numId="36">
    <w:abstractNumId w:val="11"/>
  </w:num>
  <w:num w:numId="37">
    <w:abstractNumId w:val="13"/>
  </w:num>
  <w:num w:numId="38">
    <w:abstractNumId w:val="9"/>
  </w:num>
  <w:num w:numId="39">
    <w:abstractNumId w:val="19"/>
  </w:num>
  <w:num w:numId="40">
    <w:abstractNumId w:val="8"/>
  </w:num>
  <w:num w:numId="41">
    <w:abstractNumId w:val="14"/>
  </w:num>
  <w:num w:numId="42">
    <w:abstractNumId w:val="16"/>
  </w:num>
  <w:num w:numId="43">
    <w:abstractNumId w:val="17"/>
  </w:num>
  <w:num w:numId="44">
    <w:abstractNumId w:val="10"/>
  </w:num>
  <w:num w:numId="45">
    <w:abstractNumId w:val="15"/>
  </w:num>
  <w:num w:numId="46">
    <w:abstractNumId w:val="21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TOLLI Gabriele (CNECT)">
    <w15:presenceInfo w15:providerId="None" w15:userId="BERTOLLI Gabriele (CNE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4 16:49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AD90386B-F8AA-4CF9-A287-CEE461C0B088"/>
    <w:docVar w:name="LW_COVERPAGE_TYPE" w:val="1"/>
    <w:docVar w:name="LW_CROSSREFERENCE" w:val="&lt;UNUSED&gt;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uxelas,"/>
    <w:docVar w:name="LW_EMISSION_SUFFIX" w:val="&lt;EMPTY&gt;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que cria o programa Europa Criativa (2021-2027) e que revoga o Regulamento (UE) n.º 1295/2013_x000b_"/>
    <w:docVar w:name="LW_OBJETACTEPRINCIPAL.CP" w:val="que cria o programa Europa Criativa (2021-2027) e que revoga o Regulamento (UE) n.º 1295/2013_x000b_"/>
    <w:docVar w:name="LW_PART_NBR" w:val="&lt;UNUSED&gt;"/>
    <w:docVar w:name="LW_PART_NBR_TOTAL" w:val="&lt;UNUSED&gt;"/>
    <w:docVar w:name="LW_REF.INST.NEW" w:val="COM"/>
    <w:docVar w:name="LW_REF.INST.NEW_ADOPTED" w:val="&lt;EMPTY&gt;"/>
    <w:docVar w:name="LW_REF.INST.NEW_TEXT" w:val="(2018) 366 final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Proposta de REGULAMENTO DO PARLAMENTO EUROPEU E DO CONSELHO"/>
    <w:docVar w:name="LW_TYPEACTEPRINCIPAL.CP" w:val="Proposta de REGULAMENTO DO PARLAMENTO EUROPEU E DO CONSELHO"/>
  </w:docVars>
  <w:rsids>
    <w:rsidRoot w:val="00CC6C33"/>
    <w:rsid w:val="000613B7"/>
    <w:rsid w:val="00063932"/>
    <w:rsid w:val="000A2253"/>
    <w:rsid w:val="000B5D4C"/>
    <w:rsid w:val="000C252D"/>
    <w:rsid w:val="000D59AD"/>
    <w:rsid w:val="000D5CE3"/>
    <w:rsid w:val="0010089C"/>
    <w:rsid w:val="0010465E"/>
    <w:rsid w:val="00133B69"/>
    <w:rsid w:val="00151BBD"/>
    <w:rsid w:val="00153C0B"/>
    <w:rsid w:val="001637D8"/>
    <w:rsid w:val="001A5C62"/>
    <w:rsid w:val="001C4417"/>
    <w:rsid w:val="001E51C7"/>
    <w:rsid w:val="00247775"/>
    <w:rsid w:val="002A10A1"/>
    <w:rsid w:val="002B7A57"/>
    <w:rsid w:val="002D1EED"/>
    <w:rsid w:val="002E68DB"/>
    <w:rsid w:val="002E69E7"/>
    <w:rsid w:val="00334C0B"/>
    <w:rsid w:val="003436CE"/>
    <w:rsid w:val="003441BE"/>
    <w:rsid w:val="00365562"/>
    <w:rsid w:val="00383D6B"/>
    <w:rsid w:val="00392FC6"/>
    <w:rsid w:val="00394972"/>
    <w:rsid w:val="003A52E9"/>
    <w:rsid w:val="003B57D4"/>
    <w:rsid w:val="003C78FD"/>
    <w:rsid w:val="003D75AC"/>
    <w:rsid w:val="003D7ED9"/>
    <w:rsid w:val="003E4CF5"/>
    <w:rsid w:val="003F5548"/>
    <w:rsid w:val="004257E5"/>
    <w:rsid w:val="004340C2"/>
    <w:rsid w:val="004343B0"/>
    <w:rsid w:val="00450F5F"/>
    <w:rsid w:val="00451F6D"/>
    <w:rsid w:val="00471AF5"/>
    <w:rsid w:val="0047385F"/>
    <w:rsid w:val="004E6E35"/>
    <w:rsid w:val="004F1798"/>
    <w:rsid w:val="004F3EF4"/>
    <w:rsid w:val="00517488"/>
    <w:rsid w:val="00534347"/>
    <w:rsid w:val="00565CD4"/>
    <w:rsid w:val="00582B9E"/>
    <w:rsid w:val="0059559A"/>
    <w:rsid w:val="005B28D8"/>
    <w:rsid w:val="005C2119"/>
    <w:rsid w:val="005C6116"/>
    <w:rsid w:val="005F3BAA"/>
    <w:rsid w:val="005F7313"/>
    <w:rsid w:val="00614195"/>
    <w:rsid w:val="00623AC9"/>
    <w:rsid w:val="006261C7"/>
    <w:rsid w:val="00635674"/>
    <w:rsid w:val="006410A0"/>
    <w:rsid w:val="00643597"/>
    <w:rsid w:val="0064639D"/>
    <w:rsid w:val="00661B05"/>
    <w:rsid w:val="00665915"/>
    <w:rsid w:val="00677F66"/>
    <w:rsid w:val="00686B6D"/>
    <w:rsid w:val="00695570"/>
    <w:rsid w:val="006A2585"/>
    <w:rsid w:val="006A61F5"/>
    <w:rsid w:val="006B2DAC"/>
    <w:rsid w:val="006B6A4D"/>
    <w:rsid w:val="006E0315"/>
    <w:rsid w:val="006F0FD7"/>
    <w:rsid w:val="006F68D7"/>
    <w:rsid w:val="00702D4B"/>
    <w:rsid w:val="00714D49"/>
    <w:rsid w:val="00717262"/>
    <w:rsid w:val="00721913"/>
    <w:rsid w:val="00726424"/>
    <w:rsid w:val="007420DB"/>
    <w:rsid w:val="0078185C"/>
    <w:rsid w:val="0078526B"/>
    <w:rsid w:val="007A3254"/>
    <w:rsid w:val="007B0B1A"/>
    <w:rsid w:val="007B4DA1"/>
    <w:rsid w:val="008008C5"/>
    <w:rsid w:val="0082161C"/>
    <w:rsid w:val="0084534A"/>
    <w:rsid w:val="008620CD"/>
    <w:rsid w:val="00865309"/>
    <w:rsid w:val="008670BE"/>
    <w:rsid w:val="00871A80"/>
    <w:rsid w:val="008831F1"/>
    <w:rsid w:val="008A2326"/>
    <w:rsid w:val="008A2623"/>
    <w:rsid w:val="008F4E11"/>
    <w:rsid w:val="009536AE"/>
    <w:rsid w:val="00960219"/>
    <w:rsid w:val="009651DE"/>
    <w:rsid w:val="009818D3"/>
    <w:rsid w:val="00983F9A"/>
    <w:rsid w:val="009A4DCF"/>
    <w:rsid w:val="009B3FE0"/>
    <w:rsid w:val="00A03702"/>
    <w:rsid w:val="00A25FF5"/>
    <w:rsid w:val="00A35FD4"/>
    <w:rsid w:val="00A405E2"/>
    <w:rsid w:val="00A43BC8"/>
    <w:rsid w:val="00A55BDB"/>
    <w:rsid w:val="00A55F19"/>
    <w:rsid w:val="00A638F1"/>
    <w:rsid w:val="00A67CF7"/>
    <w:rsid w:val="00A716A1"/>
    <w:rsid w:val="00A97612"/>
    <w:rsid w:val="00AA70A2"/>
    <w:rsid w:val="00AC5C07"/>
    <w:rsid w:val="00AD29D5"/>
    <w:rsid w:val="00B10790"/>
    <w:rsid w:val="00B369B8"/>
    <w:rsid w:val="00B706B8"/>
    <w:rsid w:val="00B83F6B"/>
    <w:rsid w:val="00BC33E8"/>
    <w:rsid w:val="00BD6606"/>
    <w:rsid w:val="00BD67F9"/>
    <w:rsid w:val="00BD6E0E"/>
    <w:rsid w:val="00BF768F"/>
    <w:rsid w:val="00C047A1"/>
    <w:rsid w:val="00C12A55"/>
    <w:rsid w:val="00C1543C"/>
    <w:rsid w:val="00C16632"/>
    <w:rsid w:val="00C1755D"/>
    <w:rsid w:val="00C36E0D"/>
    <w:rsid w:val="00C4128F"/>
    <w:rsid w:val="00C525BA"/>
    <w:rsid w:val="00C74857"/>
    <w:rsid w:val="00C81142"/>
    <w:rsid w:val="00C8327F"/>
    <w:rsid w:val="00CA4C70"/>
    <w:rsid w:val="00CC1A3D"/>
    <w:rsid w:val="00CC6C33"/>
    <w:rsid w:val="00CD77C1"/>
    <w:rsid w:val="00CE0AB8"/>
    <w:rsid w:val="00D3134F"/>
    <w:rsid w:val="00D43018"/>
    <w:rsid w:val="00D50234"/>
    <w:rsid w:val="00D52C37"/>
    <w:rsid w:val="00D54C11"/>
    <w:rsid w:val="00D8569F"/>
    <w:rsid w:val="00DC2A55"/>
    <w:rsid w:val="00DD78AE"/>
    <w:rsid w:val="00DE3511"/>
    <w:rsid w:val="00E00F3A"/>
    <w:rsid w:val="00E01E36"/>
    <w:rsid w:val="00E30929"/>
    <w:rsid w:val="00E349FF"/>
    <w:rsid w:val="00E4009D"/>
    <w:rsid w:val="00E4217F"/>
    <w:rsid w:val="00E4281C"/>
    <w:rsid w:val="00E44B3F"/>
    <w:rsid w:val="00E46A01"/>
    <w:rsid w:val="00E54608"/>
    <w:rsid w:val="00E81D94"/>
    <w:rsid w:val="00E87551"/>
    <w:rsid w:val="00EA3CF2"/>
    <w:rsid w:val="00EB618F"/>
    <w:rsid w:val="00ED020E"/>
    <w:rsid w:val="00F07C18"/>
    <w:rsid w:val="00F07C9E"/>
    <w:rsid w:val="00F36109"/>
    <w:rsid w:val="00F42FCF"/>
    <w:rsid w:val="00F4370B"/>
    <w:rsid w:val="00F46F40"/>
    <w:rsid w:val="00F55459"/>
    <w:rsid w:val="00F614DE"/>
    <w:rsid w:val="00F70E8F"/>
    <w:rsid w:val="00F844DB"/>
    <w:rsid w:val="00FC03D3"/>
    <w:rsid w:val="00FD2246"/>
    <w:rsid w:val="00FF3F0F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A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18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913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21913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72191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913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913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913"/>
    <w:pPr>
      <w:numPr>
        <w:numId w:val="12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72191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91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91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913"/>
    <w:pPr>
      <w:numPr>
        <w:numId w:val="1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08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08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5460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706B8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67F9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67F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D67F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D67F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D67F9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D67F9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D67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BD67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33"/>
      </w:numPr>
    </w:pPr>
  </w:style>
  <w:style w:type="paragraph" w:customStyle="1" w:styleId="Tiret1">
    <w:name w:val="Tiret 1"/>
    <w:basedOn w:val="Point1"/>
    <w:rsid w:val="00471AF5"/>
    <w:pPr>
      <w:numPr>
        <w:numId w:val="34"/>
      </w:numPr>
    </w:pPr>
  </w:style>
  <w:style w:type="paragraph" w:customStyle="1" w:styleId="Tiret2">
    <w:name w:val="Tiret 2"/>
    <w:basedOn w:val="Point2"/>
    <w:rsid w:val="00471AF5"/>
    <w:pPr>
      <w:numPr>
        <w:numId w:val="35"/>
      </w:numPr>
    </w:pPr>
  </w:style>
  <w:style w:type="paragraph" w:customStyle="1" w:styleId="Tiret3">
    <w:name w:val="Tiret 3"/>
    <w:basedOn w:val="Point3"/>
    <w:rsid w:val="00471AF5"/>
    <w:pPr>
      <w:numPr>
        <w:numId w:val="36"/>
      </w:numPr>
    </w:pPr>
  </w:style>
  <w:style w:type="paragraph" w:customStyle="1" w:styleId="Tiret4">
    <w:name w:val="Tiret 4"/>
    <w:basedOn w:val="Point4"/>
    <w:rsid w:val="00471AF5"/>
    <w:pPr>
      <w:numPr>
        <w:numId w:val="3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4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40"/>
      </w:numPr>
    </w:pPr>
  </w:style>
  <w:style w:type="paragraph" w:customStyle="1" w:styleId="Bullet0">
    <w:name w:val="Bullet 0"/>
    <w:basedOn w:val="Normal"/>
    <w:rsid w:val="00471AF5"/>
    <w:pPr>
      <w:numPr>
        <w:numId w:val="41"/>
      </w:numPr>
    </w:pPr>
  </w:style>
  <w:style w:type="paragraph" w:customStyle="1" w:styleId="Bullet1">
    <w:name w:val="Bullet 1"/>
    <w:basedOn w:val="Normal"/>
    <w:rsid w:val="00471AF5"/>
    <w:pPr>
      <w:numPr>
        <w:numId w:val="42"/>
      </w:numPr>
    </w:pPr>
  </w:style>
  <w:style w:type="paragraph" w:customStyle="1" w:styleId="Bullet2">
    <w:name w:val="Bullet 2"/>
    <w:basedOn w:val="Normal"/>
    <w:rsid w:val="00471AF5"/>
    <w:pPr>
      <w:numPr>
        <w:numId w:val="43"/>
      </w:numPr>
    </w:pPr>
  </w:style>
  <w:style w:type="paragraph" w:customStyle="1" w:styleId="Bullet3">
    <w:name w:val="Bullet 3"/>
    <w:basedOn w:val="Normal"/>
    <w:rsid w:val="00471AF5"/>
    <w:pPr>
      <w:numPr>
        <w:numId w:val="44"/>
      </w:numPr>
    </w:pPr>
  </w:style>
  <w:style w:type="paragraph" w:customStyle="1" w:styleId="Bullet4">
    <w:name w:val="Bullet 4"/>
    <w:basedOn w:val="Normal"/>
    <w:rsid w:val="00471AF5"/>
    <w:pPr>
      <w:numPr>
        <w:numId w:val="4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18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913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21913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72191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913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913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913"/>
    <w:pPr>
      <w:numPr>
        <w:numId w:val="12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72191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91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91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913"/>
    <w:pPr>
      <w:numPr>
        <w:numId w:val="1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08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08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5460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706B8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67F9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67F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D67F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D67F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D67F9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D67F9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D67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BD67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33"/>
      </w:numPr>
    </w:pPr>
  </w:style>
  <w:style w:type="paragraph" w:customStyle="1" w:styleId="Tiret1">
    <w:name w:val="Tiret 1"/>
    <w:basedOn w:val="Point1"/>
    <w:rsid w:val="00471AF5"/>
    <w:pPr>
      <w:numPr>
        <w:numId w:val="34"/>
      </w:numPr>
    </w:pPr>
  </w:style>
  <w:style w:type="paragraph" w:customStyle="1" w:styleId="Tiret2">
    <w:name w:val="Tiret 2"/>
    <w:basedOn w:val="Point2"/>
    <w:rsid w:val="00471AF5"/>
    <w:pPr>
      <w:numPr>
        <w:numId w:val="35"/>
      </w:numPr>
    </w:pPr>
  </w:style>
  <w:style w:type="paragraph" w:customStyle="1" w:styleId="Tiret3">
    <w:name w:val="Tiret 3"/>
    <w:basedOn w:val="Point3"/>
    <w:rsid w:val="00471AF5"/>
    <w:pPr>
      <w:numPr>
        <w:numId w:val="36"/>
      </w:numPr>
    </w:pPr>
  </w:style>
  <w:style w:type="paragraph" w:customStyle="1" w:styleId="Tiret4">
    <w:name w:val="Tiret 4"/>
    <w:basedOn w:val="Point4"/>
    <w:rsid w:val="00471AF5"/>
    <w:pPr>
      <w:numPr>
        <w:numId w:val="37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8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8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8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8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40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40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40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40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40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40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40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40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40"/>
      </w:numPr>
    </w:pPr>
  </w:style>
  <w:style w:type="paragraph" w:customStyle="1" w:styleId="Bullet0">
    <w:name w:val="Bullet 0"/>
    <w:basedOn w:val="Normal"/>
    <w:rsid w:val="00471AF5"/>
    <w:pPr>
      <w:numPr>
        <w:numId w:val="41"/>
      </w:numPr>
    </w:pPr>
  </w:style>
  <w:style w:type="paragraph" w:customStyle="1" w:styleId="Bullet1">
    <w:name w:val="Bullet 1"/>
    <w:basedOn w:val="Normal"/>
    <w:rsid w:val="00471AF5"/>
    <w:pPr>
      <w:numPr>
        <w:numId w:val="42"/>
      </w:numPr>
    </w:pPr>
  </w:style>
  <w:style w:type="paragraph" w:customStyle="1" w:styleId="Bullet2">
    <w:name w:val="Bullet 2"/>
    <w:basedOn w:val="Normal"/>
    <w:rsid w:val="00471AF5"/>
    <w:pPr>
      <w:numPr>
        <w:numId w:val="43"/>
      </w:numPr>
    </w:pPr>
  </w:style>
  <w:style w:type="paragraph" w:customStyle="1" w:styleId="Bullet3">
    <w:name w:val="Bullet 3"/>
    <w:basedOn w:val="Normal"/>
    <w:rsid w:val="00471AF5"/>
    <w:pPr>
      <w:numPr>
        <w:numId w:val="44"/>
      </w:numPr>
    </w:pPr>
  </w:style>
  <w:style w:type="paragraph" w:customStyle="1" w:styleId="Bullet4">
    <w:name w:val="Bullet 4"/>
    <w:basedOn w:val="Normal"/>
    <w:rsid w:val="00471AF5"/>
    <w:pPr>
      <w:numPr>
        <w:numId w:val="45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46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BE7343-8196-4182-8A49-74F2A62A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1302</Words>
  <Characters>7518</Characters>
  <Application>Microsoft Office Word</Application>
  <DocSecurity>0</DocSecurity>
  <Lines>147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WESTERLUND Ella (EAC)</dc:creator>
  <cp:lastModifiedBy>PAGANELI Erifili (SG)</cp:lastModifiedBy>
  <cp:revision>4</cp:revision>
  <cp:lastPrinted>2018-05-29T10:27:00Z</cp:lastPrinted>
  <dcterms:created xsi:type="dcterms:W3CDTF">2018-06-04T14:49:00Z</dcterms:created>
  <dcterms:modified xsi:type="dcterms:W3CDTF">2018-06-08T09:39:00Z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