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D3" w:rsidRDefault="00A1386A" w:rsidP="00A1386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42151E6-B92C-4128-A608-F9B954EED874" style="width:450pt;height:352.5pt">
            <v:imagedata r:id="rId9" o:title=""/>
          </v:shape>
        </w:pict>
      </w:r>
    </w:p>
    <w:p w:rsidR="00E506D3" w:rsidRDefault="00E506D3">
      <w:pPr>
        <w:rPr>
          <w:noProof/>
        </w:rPr>
        <w:sectPr w:rsidR="00E506D3" w:rsidSect="00A1386A">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E506D3" w:rsidRDefault="00A1386A">
      <w:pPr>
        <w:pStyle w:val="Exposdesmotifstitre"/>
        <w:spacing w:before="0" w:after="240"/>
        <w:rPr>
          <w:noProof/>
        </w:rPr>
      </w:pPr>
      <w:bookmarkStart w:id="0" w:name="_GoBack"/>
      <w:bookmarkEnd w:id="0"/>
      <w:r>
        <w:rPr>
          <w:noProof/>
        </w:rPr>
        <w:lastRenderedPageBreak/>
        <w:t>ΑΙΤΙΟΛΟΓΙΚΗ ΕΚΘΕΣΗ</w:t>
      </w:r>
    </w:p>
    <w:p w:rsidR="00E506D3" w:rsidRDefault="00A1386A">
      <w:pPr>
        <w:pStyle w:val="ManualHeading1"/>
        <w:spacing w:before="0" w:after="240"/>
        <w:rPr>
          <w:noProof/>
        </w:rPr>
      </w:pPr>
      <w:r>
        <w:rPr>
          <w:noProof/>
        </w:rPr>
        <w:t>1.</w:t>
      </w:r>
      <w:r>
        <w:rPr>
          <w:noProof/>
        </w:rPr>
        <w:tab/>
        <w:t>ΠΛΑΙΣΙΟ ΤΗΣ ΠΡΟΤΑΣΗΣ</w:t>
      </w:r>
    </w:p>
    <w:p w:rsidR="00E506D3" w:rsidRDefault="00A1386A">
      <w:pPr>
        <w:pStyle w:val="ManualHeading2"/>
        <w:spacing w:before="0" w:after="240"/>
        <w:rPr>
          <w:rFonts w:eastAsia="Arial Unicode MS"/>
          <w:noProof/>
        </w:rPr>
      </w:pPr>
      <w:r>
        <w:rPr>
          <w:noProof/>
          <w:color w:val="000000"/>
          <w:u w:color="000000"/>
          <w:bdr w:val="nil"/>
        </w:rPr>
        <w:t>•</w:t>
      </w:r>
      <w:r>
        <w:rPr>
          <w:noProof/>
        </w:rPr>
        <w:tab/>
        <w:t>Αιτιολόγηση και στόχοι της πρότασης</w:t>
      </w:r>
    </w:p>
    <w:p w:rsidR="00E506D3" w:rsidRDefault="00A1386A">
      <w:pPr>
        <w:pBdr>
          <w:top w:val="nil"/>
          <w:left w:val="nil"/>
          <w:bottom w:val="nil"/>
          <w:right w:val="nil"/>
          <w:between w:val="nil"/>
          <w:bar w:val="nil"/>
        </w:pBdr>
        <w:spacing w:before="0" w:after="240"/>
        <w:rPr>
          <w:noProof/>
        </w:rPr>
      </w:pPr>
      <w:r>
        <w:rPr>
          <w:noProof/>
        </w:rPr>
        <w:t xml:space="preserve">Κατά τα τελευταία έτη, οι απειλές για την ασφάλεια έχουν ενταθεί και </w:t>
      </w:r>
      <w:r>
        <w:rPr>
          <w:noProof/>
        </w:rPr>
        <w:t>διαφοροποιηθεί στην Ευρώπη. Εμφανίζονται ως τρομοκρατικές επιθέσεις, νέες μορφές οργανωμένου εγκλήματος, καθώς και ως έγκλημα στον κυβερνοχώρο. Η ασφάλεια έχει εγγενώς διασυνοριακή διάσταση και, ως εκ τούτου, απαιτείται ισχυρή και συντονισμένη αντίδραση τη</w:t>
      </w:r>
      <w:r>
        <w:rPr>
          <w:noProof/>
        </w:rPr>
        <w:t>ς ΕΕ. Πέραν των εσωτερικών προκλήσεων στον τομέα της ασφάλειας, η Ευρώπη αντιμετωπίζει περίπλοκες εξωτερικές απειλές που κανένα κράτος μέλος δεν μπορεί να αντιμετωπίσει μόνο του. Η δράση της ΕΕ προβλέπει ολοκληρωμένη και ταχεία ανταπόκριση, η οποία διατυπώ</w:t>
      </w:r>
      <w:r>
        <w:rPr>
          <w:noProof/>
        </w:rPr>
        <w:t>νεται στο θεματολόγιο του 2015 για την ασφάλεια. Η ασφάλεια θα παραμείνει ζήτημα κρίσιμης σημασίας για την ΕΕ τα προσεχή έτη και οι πολίτες της Ευρώπης στρέφονται προς την Ένωση και τις εθνικές κυβερνήσεις για την επίτευξη ασφάλειας σε έναν ταχέως μεταβαλλ</w:t>
      </w:r>
      <w:r>
        <w:rPr>
          <w:noProof/>
        </w:rPr>
        <w:t>όμενο και αβέβαιο κόσμο.</w:t>
      </w:r>
    </w:p>
    <w:p w:rsidR="00E506D3" w:rsidRDefault="00A1386A">
      <w:pPr>
        <w:pBdr>
          <w:top w:val="nil"/>
          <w:left w:val="nil"/>
          <w:bottom w:val="nil"/>
          <w:right w:val="nil"/>
          <w:between w:val="nil"/>
          <w:bar w:val="nil"/>
        </w:pBdr>
        <w:spacing w:before="0" w:after="240"/>
        <w:rPr>
          <w:noProof/>
        </w:rPr>
      </w:pPr>
      <w:r>
        <w:rPr>
          <w:noProof/>
        </w:rPr>
        <w:t>Τα επιμέρους κράτη μέλη δεν μπορούν μεμονωμένα να διαχειριστούν τις προκλήσεις που αντιμετωπίζει η Ένωση, ιδίως όσες προέρχονται από τη διεθνή τρομοκρατία, χωρίς την οικονομική και τεχνική στήριξη της ΕΕ. Σε μια εποχή που οι δραστη</w:t>
      </w:r>
      <w:r>
        <w:rPr>
          <w:noProof/>
        </w:rPr>
        <w:t>ριότητες της τρομοκρατίας και άλλων σοβαρών εγκλημάτων είναι διασυνοριακές, τα κράτη μέλη της ΕΕ είναι υπεύθυνα έναντι των πολιτών τους για την επίτευξη δημόσιας ασφάλειας, σε πλήρη συμμόρφωση με τα θεμελιώδη δικαιώματα της ΕΕ· ωστόσο η ΕΕ μπορεί να στηρίξ</w:t>
      </w:r>
      <w:r>
        <w:rPr>
          <w:noProof/>
        </w:rPr>
        <w:t>ει τις εν λόγω δράσεις. Στο πλαίσιο αυτό, οι Συνθήκες προβλέπουν την ανάγκη εξασφάλισης υψηλού επιπέδου ασφάλειας, μεταξύ άλλων, μέσω προληπτικών μέτρων, καθώς και μέσω του συντονισμού και της συνεργασίας μεταξύ των αστυνομικών, δικαστικών και άλλων αρμόδι</w:t>
      </w:r>
      <w:r>
        <w:rPr>
          <w:noProof/>
        </w:rPr>
        <w:t xml:space="preserve">ων αρχών. </w:t>
      </w:r>
    </w:p>
    <w:p w:rsidR="00E506D3" w:rsidRDefault="00A1386A">
      <w:pPr>
        <w:pBdr>
          <w:top w:val="nil"/>
          <w:left w:val="nil"/>
          <w:bottom w:val="nil"/>
          <w:right w:val="nil"/>
          <w:between w:val="nil"/>
          <w:bar w:val="nil"/>
        </w:pBdr>
        <w:spacing w:before="0" w:after="240"/>
        <w:rPr>
          <w:noProof/>
        </w:rPr>
      </w:pPr>
      <w:r>
        <w:rPr>
          <w:noProof/>
        </w:rPr>
        <w:t xml:space="preserve">Οι αποκεντρωμένοι οργανισμοί, ήτοι ο Οργανισμός της Ευρωπαϊκής Ένωσης για τη Συνεργασία στον Τομέα της Επιβολής του Νόμου (Ευρωπόλ), ο Οργανισμός της Ευρωπαϊκής Ένωσης για την Κατάρτιση στον Τομέα της Επιβολής του Νόμου (CEPOL) και το Ευρωπαϊκό </w:t>
      </w:r>
      <w:r>
        <w:rPr>
          <w:noProof/>
        </w:rPr>
        <w:t>Κέντρο Παρακολούθησης Ναρκωτικών και Τοξικομανίας (EMCDDA), παίζουν βασικό επιχειρησιακό, συντονιστικό και υποστηρικτικό ρόλο στην εφαρμογή των προτεραιοτήτων, των στόχων και των δραστηριοτήτων της ΕΕ στον τομέα της ασφάλειας.</w:t>
      </w:r>
    </w:p>
    <w:p w:rsidR="00E506D3" w:rsidRDefault="00A1386A">
      <w:pPr>
        <w:pBdr>
          <w:top w:val="nil"/>
          <w:left w:val="nil"/>
          <w:bottom w:val="nil"/>
          <w:right w:val="nil"/>
          <w:between w:val="nil"/>
          <w:bar w:val="nil"/>
        </w:pBdr>
        <w:spacing w:before="0" w:after="240"/>
        <w:rPr>
          <w:noProof/>
        </w:rPr>
      </w:pPr>
      <w:r>
        <w:rPr>
          <w:noProof/>
        </w:rPr>
        <w:t>Το Ταμείο Εσωτερικής Ασφάλεια</w:t>
      </w:r>
      <w:r>
        <w:rPr>
          <w:noProof/>
        </w:rPr>
        <w:t>ς θεσπίζεται για τη διευκόλυνση της διασυνοριακής συνεργασίας και ανταλλαγής πληροφοριών μεταξύ οργάνων επιβολής του νόμου και άλλων συναφών αρχών των κρατών μελών, ιδίως με την παροχή δυνατότητας για πιο αποτελεσματική και πιο αποδοτική διαλειτουργικότητα</w:t>
      </w:r>
      <w:r>
        <w:rPr>
          <w:noProof/>
        </w:rPr>
        <w:t xml:space="preserve"> των διαφόρων συστημάτων πληροφοριών της ΕΕ για την ασφάλεια, καθιστώντας τη διαχείριση των συνόρων και της μετανάστευσης πιο αποτελεσματική, και διευκολύνοντας κοινές επιχειρησιακές δράσεις, καθώς και με την παροχή στήριξης της κατάρτισης, της οικοδόμησης</w:t>
      </w:r>
      <w:r>
        <w:rPr>
          <w:noProof/>
        </w:rPr>
        <w:t xml:space="preserve"> θεμελιωδών υποδομών σχετικών με την ασφάλεια, της θέσπισης συλλογής και επεξεργασίας των καταστάσεων ονομάτων επιβατών σύμφωνα με το σχετικό κεκτημένο της ΕΕ και της αγοράς απαραίτητου τεχνικού εξοπλισμού. Έχει ως στόχο την εντατικοποίηση της διασυνοριακή</w:t>
      </w:r>
      <w:r>
        <w:rPr>
          <w:noProof/>
        </w:rPr>
        <w:t>ς επιχειρησιακής συνεργασίας όσον αφορά την πρόληψη, ανίχνευση και διερεύνηση του διασυνοριακού εγκλήματος, καθώς και τη στήριξη των προσπαθειών που στοχεύουν στην ενίσχυση των ικανοτήτων για την πρόληψη του εν λόγω εγκλήματος, συμπεριλαμβανομένης της τρομ</w:t>
      </w:r>
      <w:r>
        <w:rPr>
          <w:noProof/>
        </w:rPr>
        <w:t>οκρατίας, ιδίως μέσω ενισχυμένης συνεργασίας μεταξύ των δημόσιων αρχών, της κοινωνίας των πολιτών και εταίρων του συνόλου των κρατών μελών.</w:t>
      </w:r>
    </w:p>
    <w:p w:rsidR="00E506D3" w:rsidRDefault="00A1386A">
      <w:pPr>
        <w:pBdr>
          <w:top w:val="nil"/>
          <w:left w:val="nil"/>
          <w:bottom w:val="nil"/>
          <w:right w:val="nil"/>
          <w:between w:val="nil"/>
          <w:bar w:val="nil"/>
        </w:pBdr>
        <w:spacing w:before="0" w:after="240"/>
        <w:rPr>
          <w:noProof/>
        </w:rPr>
      </w:pPr>
      <w:r>
        <w:rPr>
          <w:noProof/>
        </w:rPr>
        <w:t>Η Επιτροπή, στην ανακοίνωσή της με τίτλο «</w:t>
      </w:r>
      <w:r>
        <w:rPr>
          <w:i/>
          <w:noProof/>
        </w:rPr>
        <w:t>Ένας σύγχρονος προϋπολογισμός για μια Ένωση που προστατεύει, ενδυναμώνει κ</w:t>
      </w:r>
      <w:r>
        <w:rPr>
          <w:i/>
          <w:noProof/>
        </w:rPr>
        <w:t>αι υπερασπίζεται τους πολίτες της</w:t>
      </w:r>
      <w:r>
        <w:rPr>
          <w:rStyle w:val="FootnoteReference"/>
          <w:i/>
          <w:noProof/>
        </w:rPr>
        <w:footnoteReference w:id="2"/>
      </w:r>
      <w:r>
        <w:rPr>
          <w:noProof/>
        </w:rPr>
        <w:t>», προτείνει τον πολλαπλασιασμό της χρηματοδότησης της Ένωσης για την εσωτερική ασφάλεια επί 1,8 σε σύγκριση με την τρέχουσα περίοδο 2014-2020 ώστε να διασφαλίζεται υψηλό επίπεδο ασφάλειας στην Ένωση και παράλληλα να ενισχ</w:t>
      </w:r>
      <w:r>
        <w:rPr>
          <w:noProof/>
        </w:rPr>
        <w:t>ύεται ο ρόλος των αποκεντρωμένων οργανισμών σε αυτόν τον τομέα. Εντούτοις, η παρούσα πρόταση δεν καλύπτει τη χρηματοδότηση που διατίθεται στους οργανισμούς και ρυθμίζει μόνο το Ταμείο Εσωτερικής Ασφάλειας που θα συμβάλλει στη διασφάλιση υψηλού επιπέδου ασφ</w:t>
      </w:r>
      <w:r>
        <w:rPr>
          <w:noProof/>
        </w:rPr>
        <w:t>άλειας στην Ένωση. Το χρηματοδοτικό κονδύλιο για το Ταμείο Εσωτερικής Ασφάλειας για την περίοδο 2021-2027 θα είναι 2,5 δισ. EUR (σε τρέχουσες τιμές).</w:t>
      </w:r>
    </w:p>
    <w:p w:rsidR="00E506D3" w:rsidRDefault="00A1386A">
      <w:pPr>
        <w:pBdr>
          <w:top w:val="nil"/>
          <w:left w:val="nil"/>
          <w:bottom w:val="nil"/>
          <w:right w:val="nil"/>
          <w:between w:val="nil"/>
          <w:bar w:val="nil"/>
        </w:pBdr>
        <w:spacing w:before="0" w:after="240"/>
        <w:rPr>
          <w:noProof/>
        </w:rPr>
      </w:pPr>
      <w:r>
        <w:rPr>
          <w:noProof/>
        </w:rPr>
        <w:t xml:space="preserve">Η βασική πρόκληση που αποσκοπεί να αντιμετωπίσει η πρόταση είναι η ανάγκη για μεγαλύτερη ευελιξία κατά τη </w:t>
      </w:r>
      <w:r>
        <w:rPr>
          <w:noProof/>
        </w:rPr>
        <w:t>διαχείριση του μελλοντικού Ταμείου σε σχέση με την τρέχουσα περίοδο προγραμματισμού, αλλά και εργαλεία ώστε να διασφαλίζεται ότι η χρηματοδότηση προσανατολίζεται στις προτεραιότητες και δράσεις της ΕΕ με σημαντική ευρωπαϊκή προστιθέμενη αξία</w:t>
      </w:r>
      <w:r>
        <w:rPr>
          <w:i/>
          <w:noProof/>
        </w:rPr>
        <w:t>.</w:t>
      </w:r>
      <w:r>
        <w:rPr>
          <w:noProof/>
        </w:rPr>
        <w:t xml:space="preserve"> Για την αντιμ</w:t>
      </w:r>
      <w:r>
        <w:rPr>
          <w:noProof/>
        </w:rPr>
        <w:t xml:space="preserve">ετώπιση νέων προκλήσεων και προτεραιοτήτων είναι απαραίτητα νέα μέσα για την κατανομή της χρηματοδότησης μεταξύ της επιμερισμένης, της άμεσης και της έμμεσης διαχείρισης. </w:t>
      </w:r>
    </w:p>
    <w:p w:rsidR="00E506D3" w:rsidRDefault="00A1386A">
      <w:pPr>
        <w:pBdr>
          <w:top w:val="nil"/>
          <w:left w:val="nil"/>
          <w:bottom w:val="nil"/>
          <w:right w:val="nil"/>
          <w:between w:val="nil"/>
          <w:bar w:val="nil"/>
        </w:pBdr>
        <w:spacing w:before="0" w:after="240"/>
        <w:rPr>
          <w:rFonts w:eastAsia="Arial Unicode MS"/>
          <w:noProof/>
        </w:rPr>
      </w:pPr>
      <w:r>
        <w:rPr>
          <w:noProof/>
        </w:rPr>
        <w:t>Η εκτέλεση της χρηματοδότησης γίνεται στο πλαίσιο επιμερισμένης διαχείρισης από τα κ</w:t>
      </w:r>
      <w:r>
        <w:rPr>
          <w:noProof/>
        </w:rPr>
        <w:t>ράτη μέλη και άμεσης/έμμεσης διαχείρισης από την Επιτροπή.</w:t>
      </w:r>
    </w:p>
    <w:p w:rsidR="00E506D3" w:rsidRDefault="00A1386A">
      <w:pPr>
        <w:pBdr>
          <w:top w:val="nil"/>
          <w:left w:val="nil"/>
          <w:bottom w:val="nil"/>
          <w:right w:val="nil"/>
          <w:between w:val="nil"/>
          <w:bar w:val="nil"/>
        </w:pBdr>
        <w:spacing w:before="0" w:after="240"/>
        <w:rPr>
          <w:rFonts w:eastAsia="Times New Roman"/>
          <w:noProof/>
          <w:szCs w:val="24"/>
        </w:rPr>
      </w:pPr>
      <w:r>
        <w:rPr>
          <w:noProof/>
        </w:rPr>
        <w:t>Αυτό που είναι καίριας σημασίας για την κατανομή της χρηματοδότησης είναι η ευελιξία στον καθορισμό του ορθού τρόπου υλοποίησης και των θεματικών τομέων στους οποίους χρειάζεται να διατεθεί χρηματο</w:t>
      </w:r>
      <w:r>
        <w:rPr>
          <w:noProof/>
        </w:rPr>
        <w:t>δότηση, με παράλληλη διατήρηση μιας κρίσιμης μάζας προκαταβολικής χρηματοδότησης για διαρθρωτικές και μεγάλες, πολυετείς επενδύσεις σύμφωνα με τις ανάγκες των κρατών μελών για την περαιτέρω ανάπτυξη των συστημάτων τους για την ασφάλεια. Για την κατανομή τη</w:t>
      </w:r>
      <w:r>
        <w:rPr>
          <w:noProof/>
        </w:rPr>
        <w:t>ς χρηματοδότησης θα λαμβάνεται πλήρως υπόψη η ανάγκη πλήρους συμμόρφωσης των κρατών μελών με το κεκτημένο της Ένωσης και η ανάγκη εστίασης των επενδύσεων στις βασικές προτεραιότητες της ΕΕ.</w:t>
      </w:r>
    </w:p>
    <w:p w:rsidR="00E506D3" w:rsidRDefault="00A1386A">
      <w:pPr>
        <w:pBdr>
          <w:top w:val="nil"/>
          <w:left w:val="nil"/>
          <w:bottom w:val="nil"/>
          <w:right w:val="nil"/>
          <w:between w:val="nil"/>
          <w:bar w:val="nil"/>
        </w:pBdr>
        <w:spacing w:before="0" w:after="240"/>
        <w:rPr>
          <w:rFonts w:eastAsia="Arial Unicode MS"/>
          <w:noProof/>
        </w:rPr>
      </w:pPr>
      <w:r>
        <w:rPr>
          <w:noProof/>
        </w:rPr>
        <w:t xml:space="preserve">Η κατανομή της χρηματοδότησης στα προγράμματα των κρατών μελών θα </w:t>
      </w:r>
      <w:r>
        <w:rPr>
          <w:noProof/>
        </w:rPr>
        <w:t>βασίζεται σε κλείδα κατανομής τριών κριτηρίων: 1) ακαθάριστο εγχώριο προϊόν, 2) εδαφικές διαστάσεις και 3) πληθυσμός του κράτους. Προτείνεται η στάθμιση των διαφόρων κριτηρίων ως εξής: 45% αντιστρόφως ανάλογα προς το ακαθάριστο εγχώριο προϊόν, 40% αναλογικ</w:t>
      </w:r>
      <w:r>
        <w:rPr>
          <w:noProof/>
        </w:rPr>
        <w:t xml:space="preserve">ά προς το μέγεθος του πληθυσμού και 15% αναλογικά προς τις εδαφικές διαστάσεις του κράτους μέλους. </w:t>
      </w:r>
    </w:p>
    <w:p w:rsidR="00E506D3" w:rsidRDefault="00A1386A">
      <w:pPr>
        <w:pBdr>
          <w:top w:val="nil"/>
          <w:left w:val="nil"/>
          <w:bottom w:val="nil"/>
          <w:right w:val="nil"/>
          <w:between w:val="nil"/>
          <w:bar w:val="nil"/>
        </w:pBdr>
        <w:spacing w:before="0" w:after="240"/>
        <w:rPr>
          <w:rFonts w:eastAsia="Arial Unicode MS"/>
          <w:noProof/>
        </w:rPr>
      </w:pPr>
      <w:r>
        <w:rPr>
          <w:noProof/>
        </w:rPr>
        <w:t>Το μερίδιο για τα προγράμματα των κρατών μελών ανέρχεται σε 60 % του συνολικού κονδυλίου του Ταμείου. Προτείνεται η παροχή 50 % του κονδυλίου στα κράτη μέλη</w:t>
      </w:r>
      <w:r>
        <w:rPr>
          <w:noProof/>
        </w:rPr>
        <w:t xml:space="preserve"> στην αρχή της περιόδου προγραμματισμού και η διατήρηση της δυνατότητας σταδιακής αύξησης του κονδυλίου. Προβλέπεται μία καθορισμένη αύξηση κατά 10 % του χρηματοδοτικού κονδυλίου στο μέσον της περιόδου (τεχνική προσαρμογή της κλείδας κατανομής ανάλογα με τ</w:t>
      </w:r>
      <w:r>
        <w:rPr>
          <w:noProof/>
        </w:rPr>
        <w:t>α οικονομικά αποτελέσματα σύμφωνα με τα οποία ένα κράτος μέλος θα έπρεπε να είχε υποβάλει αιτήσεις πληρωμής που καλύπτουν τουλάχιστον το 10 % του αρχικού ποσού των πιστώσεων πληρωμών).</w:t>
      </w:r>
    </w:p>
    <w:p w:rsidR="00E506D3" w:rsidRDefault="00A1386A">
      <w:pPr>
        <w:pBdr>
          <w:top w:val="nil"/>
          <w:left w:val="nil"/>
          <w:bottom w:val="nil"/>
          <w:right w:val="nil"/>
          <w:between w:val="nil"/>
          <w:bar w:val="nil"/>
        </w:pBdr>
        <w:spacing w:before="0"/>
        <w:rPr>
          <w:rFonts w:eastAsia="Arial Unicode MS"/>
          <w:noProof/>
        </w:rPr>
      </w:pPr>
      <w:r>
        <w:rPr>
          <w:noProof/>
        </w:rPr>
        <w:t xml:space="preserve">Η διαχείριση του υπόλοιπου 40 % του συνολικού χρηματοδοτικού κονδυλίου </w:t>
      </w:r>
      <w:r>
        <w:rPr>
          <w:noProof/>
        </w:rPr>
        <w:t>θα πρέπει να γίνει μέσω του θεματικού μέσου που θα παρέχει περιοδικά χρηματοδότηση για σειρά προτεραιοτήτων που καθορίζονται στις αποφάσεις της Επιτροπής για χρηματοδότηση. Το μέσο αυτό παρέχει ευελιξία στη διαχείριση του Ταμείου μέσω της εκταμίευσης κονδυ</w:t>
      </w:r>
      <w:r>
        <w:rPr>
          <w:noProof/>
        </w:rPr>
        <w:t>λίων για τεχνική βοήθεια με πρωτοβουλία της Επιτροπής και τις παρακάτω συνιστώσες:</w:t>
      </w:r>
    </w:p>
    <w:p w:rsidR="00E506D3" w:rsidRDefault="00A1386A">
      <w:pPr>
        <w:pStyle w:val="Tiret0"/>
        <w:numPr>
          <w:ilvl w:val="0"/>
          <w:numId w:val="14"/>
        </w:numPr>
        <w:tabs>
          <w:tab w:val="clear" w:pos="850"/>
        </w:tabs>
        <w:spacing w:before="0"/>
        <w:ind w:hanging="424"/>
        <w:rPr>
          <w:noProof/>
        </w:rPr>
      </w:pPr>
      <w:r>
        <w:rPr>
          <w:noProof/>
        </w:rPr>
        <w:t>στήριξη συγκεκριμένων δράσεων, παροχή επιπλέον χρηματοδότησης για ειδικές δράσεις με υψηλή ευρωπαϊκή προστιθέμενη αξία, μέσω των εθνικών προγραμμάτων των κρατών μελών·</w:t>
      </w:r>
    </w:p>
    <w:p w:rsidR="00E506D3" w:rsidRDefault="00A1386A">
      <w:pPr>
        <w:pStyle w:val="Tiret0"/>
        <w:tabs>
          <w:tab w:val="clear" w:pos="850"/>
        </w:tabs>
        <w:spacing w:before="0"/>
        <w:ind w:hanging="424"/>
        <w:rPr>
          <w:noProof/>
        </w:rPr>
      </w:pPr>
      <w:r>
        <w:rPr>
          <w:noProof/>
        </w:rPr>
        <w:t>στήρι</w:t>
      </w:r>
      <w:r>
        <w:rPr>
          <w:noProof/>
        </w:rPr>
        <w:t>ξη για δράσεις της Ένωσης, υπό άμεση ή έμμεση διαχείριση· και</w:t>
      </w:r>
    </w:p>
    <w:p w:rsidR="00E506D3" w:rsidRDefault="00A1386A">
      <w:pPr>
        <w:pStyle w:val="Tiret0"/>
        <w:tabs>
          <w:tab w:val="clear" w:pos="850"/>
        </w:tabs>
        <w:spacing w:before="0" w:after="240"/>
        <w:ind w:hanging="424"/>
        <w:rPr>
          <w:noProof/>
        </w:rPr>
      </w:pPr>
      <w:r>
        <w:rPr>
          <w:noProof/>
        </w:rPr>
        <w:t>βοήθεια έκτακτης ανάγκης.</w:t>
      </w:r>
    </w:p>
    <w:p w:rsidR="00E506D3" w:rsidRDefault="00A1386A">
      <w:pPr>
        <w:pBdr>
          <w:top w:val="nil"/>
          <w:left w:val="nil"/>
          <w:bottom w:val="nil"/>
          <w:right w:val="nil"/>
          <w:between w:val="nil"/>
          <w:bar w:val="nil"/>
        </w:pBdr>
        <w:spacing w:before="0" w:after="240"/>
        <w:rPr>
          <w:rFonts w:eastAsia="Arial Unicode MS"/>
          <w:noProof/>
        </w:rPr>
      </w:pPr>
      <w:r>
        <w:rPr>
          <w:noProof/>
        </w:rPr>
        <w:t xml:space="preserve">Ο προγραμματισμός στο πλαίσιο του θεματικού μέσου θα εφαρμοστεί μέσω ετήσιων και πολυετών προγραμμάτων εργασίας που εγκρίνονται με εκτελεστική απόφαση της Επιτροπής Το </w:t>
      </w:r>
      <w:r>
        <w:rPr>
          <w:noProof/>
        </w:rPr>
        <w:t>μέσο θα καταστήσει δυνατή την εξέταση νέων προτεραιοτήτων ή τη λήψη έκτακτων μέτρων και την εφαρμογή τους μέσω του τρόπου υλοποίησης που είναι πλέον κατάλληλος για την επίτευξη του στόχου πολιτικής.</w:t>
      </w:r>
    </w:p>
    <w:p w:rsidR="00E506D3" w:rsidRDefault="00A1386A">
      <w:pPr>
        <w:pBdr>
          <w:top w:val="nil"/>
          <w:left w:val="nil"/>
          <w:bottom w:val="nil"/>
          <w:right w:val="nil"/>
          <w:between w:val="nil"/>
          <w:bar w:val="nil"/>
        </w:pBdr>
        <w:spacing w:before="0" w:after="240"/>
        <w:rPr>
          <w:noProof/>
        </w:rPr>
      </w:pPr>
      <w:r>
        <w:rPr>
          <w:noProof/>
        </w:rPr>
        <w:t>Απαιτείται περαιτέρω απλούστευση κατά την εκτέλεση του μέ</w:t>
      </w:r>
      <w:r>
        <w:rPr>
          <w:noProof/>
        </w:rPr>
        <w:t>σου, ιδίως μέσω της διασφάλισης συνεκτικής προσέγγισης με κανόνες που ισχύουν για τη διαχείριση άλλων ταμείων της Ένωσης (ενιαίο εγχειρίδιο κανόνων), της παροχής καλύτερης καθοδήγησης όσον αφορά τα συστήματα διαχείρισης και ελέγχου και τις απαιτήσεις λογισ</w:t>
      </w:r>
      <w:r>
        <w:rPr>
          <w:noProof/>
        </w:rPr>
        <w:t>τικού ελέγχου, και της εξασφάλισης της πλήρους αξιοποίησης απλουστευμένων επιλογών κόστους από τους κανόνες επιλεξιμότητας στο πλαίσιο επιμερισμένης διαχείρισης. Είναι επίσης σημαντικό να μεγιστοποιηθεί η ευρωπαϊκή προστιθέμενη αξία στους τομείς της παρέμβ</w:t>
      </w:r>
      <w:r>
        <w:rPr>
          <w:noProof/>
        </w:rPr>
        <w:t>ασης και να τεθεί σε εφαρμογή βελτιωμένο πλαίσιο παρακολούθησης και αξιολόγησης με σκοπό την ενίσχυση της διαχείρισης των κονδυλίων με βάση την επίδοση.</w:t>
      </w:r>
    </w:p>
    <w:p w:rsidR="00E506D3" w:rsidRDefault="00A1386A">
      <w:pPr>
        <w:pBdr>
          <w:top w:val="nil"/>
          <w:left w:val="nil"/>
          <w:bottom w:val="nil"/>
          <w:right w:val="nil"/>
          <w:between w:val="nil"/>
          <w:bar w:val="nil"/>
        </w:pBdr>
        <w:spacing w:before="0" w:after="240"/>
        <w:rPr>
          <w:noProof/>
        </w:rPr>
      </w:pPr>
      <w:r>
        <w:rPr>
          <w:noProof/>
          <w:color w:val="000000"/>
          <w:u w:color="000000"/>
          <w:bdr w:val="nil"/>
        </w:rPr>
        <w:t>Η παρούσα πρόταση προβλέπει ως ημερομηνία εφαρμογής την 1η Ιανουαρίου 2021 και υποβάλλεται για μια Ένωσ</w:t>
      </w:r>
      <w:r>
        <w:rPr>
          <w:noProof/>
          <w:color w:val="000000"/>
          <w:u w:color="000000"/>
          <w:bdr w:val="nil"/>
        </w:rPr>
        <w:t>η 27 κρατών μελών, σύμφωνα με την κοινοποίηση της πρόθεσης του Ηνωμένου Βασιλείου να αποχωρήσει από την Ευρωπαϊκή Ένωση και την Ευρατόμ, βάσει του άρθρου 50 της Συνθήκης για την Ευρωπαϊκή Ένωση, που ελήφθη από το Ευρωπαϊκό Συμβούλιο στις 29 Μαρτίου 2017.</w:t>
      </w:r>
    </w:p>
    <w:p w:rsidR="00E506D3" w:rsidRDefault="00A1386A">
      <w:pPr>
        <w:pStyle w:val="ManualHeading2"/>
        <w:rPr>
          <w:noProof/>
        </w:rPr>
      </w:pPr>
      <w:r>
        <w:rPr>
          <w:noProof/>
        </w:rPr>
        <w:t>•</w:t>
      </w:r>
      <w:r>
        <w:rPr>
          <w:noProof/>
        </w:rPr>
        <w:tab/>
        <w:t>Συνέπεια με τις ισχύουσες διατάξεις στον τομέα πολιτικής</w:t>
      </w:r>
    </w:p>
    <w:p w:rsidR="00E506D3" w:rsidRDefault="00A1386A">
      <w:pPr>
        <w:pBdr>
          <w:top w:val="nil"/>
          <w:left w:val="nil"/>
          <w:bottom w:val="nil"/>
          <w:right w:val="nil"/>
          <w:between w:val="nil"/>
          <w:bar w:val="nil"/>
        </w:pBdr>
        <w:spacing w:before="0"/>
        <w:rPr>
          <w:noProof/>
        </w:rPr>
      </w:pPr>
      <w:r>
        <w:rPr>
          <w:noProof/>
        </w:rPr>
        <w:t xml:space="preserve">Το Ταμείο Εσωτερικής Ασφάλειας βασίζεται στις επενδύσεις και τα επιτεύγματα των προηγούμενων μέσων: </w:t>
      </w:r>
    </w:p>
    <w:p w:rsidR="00E506D3" w:rsidRDefault="00A1386A">
      <w:pPr>
        <w:pStyle w:val="Point1"/>
        <w:rPr>
          <w:noProof/>
        </w:rPr>
      </w:pPr>
      <w:r>
        <w:rPr>
          <w:noProof/>
        </w:rPr>
        <w:t xml:space="preserve">i) </w:t>
      </w:r>
      <w:r>
        <w:rPr>
          <w:noProof/>
        </w:rPr>
        <w:tab/>
        <w:t>του προγράμματος «ασφάλεια και προστασία των ελευθεριών», που αποτελούταν από ειδικά προγράμμ</w:t>
      </w:r>
      <w:r>
        <w:rPr>
          <w:noProof/>
        </w:rPr>
        <w:t xml:space="preserve">ατα για την «πρόληψη και καταπολέμηση της εγκληματικότητας» (ISEC) και την «πρόληψη, την ετοιμότητα για αντιμετώπιση και τη διαχείριση των συνεπειών της τρομοκρατίας και άλλων κινδύνων σχετικών με την ασφάλεια» (CIPS) την περίοδο 2007-2013· </w:t>
      </w:r>
    </w:p>
    <w:p w:rsidR="00E506D3" w:rsidRDefault="00A1386A">
      <w:pPr>
        <w:pStyle w:val="Point1"/>
        <w:rPr>
          <w:noProof/>
        </w:rPr>
      </w:pPr>
      <w:r>
        <w:rPr>
          <w:noProof/>
        </w:rPr>
        <w:t xml:space="preserve">ii) </w:t>
      </w:r>
      <w:r>
        <w:rPr>
          <w:noProof/>
        </w:rPr>
        <w:tab/>
        <w:t>του μέσου</w:t>
      </w:r>
      <w:r>
        <w:rPr>
          <w:noProof/>
        </w:rPr>
        <w:t xml:space="preserve"> για την αστυνομική συνεργασία, την πρόληψη και καταστολή της εγκληματικότητας και τη διαχείριση των κρίσεων (ΤΕΑ Αστυνομική συνεργασία), που θεσπίστηκε με τον κανονισμό (ΕΕ) αριθ. 513/2014</w:t>
      </w:r>
      <w:r>
        <w:rPr>
          <w:rStyle w:val="FootnoteReference"/>
          <w:noProof/>
        </w:rPr>
        <w:footnoteReference w:id="3"/>
      </w:r>
      <w:r>
        <w:rPr>
          <w:noProof/>
        </w:rPr>
        <w:t xml:space="preserve"> και αποτέλεσε τμήμα του Ταμείου Εσωτερικής Ασφάλειας κατά την περ</w:t>
      </w:r>
      <w:r>
        <w:rPr>
          <w:noProof/>
        </w:rPr>
        <w:t>ίοδο 2014-2020· και</w:t>
      </w:r>
    </w:p>
    <w:p w:rsidR="00E506D3" w:rsidRDefault="00A1386A">
      <w:pPr>
        <w:pStyle w:val="Point1"/>
        <w:rPr>
          <w:noProof/>
        </w:rPr>
      </w:pPr>
      <w:r>
        <w:rPr>
          <w:noProof/>
        </w:rPr>
        <w:t>iii)</w:t>
      </w:r>
      <w:r>
        <w:rPr>
          <w:noProof/>
        </w:rPr>
        <w:tab/>
        <w:t>της πολιτικής για τα ναρκωτικά του Προγράμματος «Δικαιοσύνη» που θεσπίστηκε με τον κανονισμό (ΕΕ) αριθ. 1382/2013</w:t>
      </w:r>
      <w:r>
        <w:rPr>
          <w:rStyle w:val="FootnoteReference"/>
          <w:noProof/>
        </w:rPr>
        <w:footnoteReference w:id="4"/>
      </w:r>
      <w:r>
        <w:rPr>
          <w:noProof/>
        </w:rPr>
        <w:t xml:space="preserve"> για την περίοδο 2014-2020.</w:t>
      </w:r>
    </w:p>
    <w:p w:rsidR="00E506D3" w:rsidRDefault="00A1386A">
      <w:pPr>
        <w:rPr>
          <w:noProof/>
        </w:rPr>
      </w:pPr>
      <w:r>
        <w:rPr>
          <w:noProof/>
        </w:rPr>
        <w:t>Τα ως άνω μέσα παρείχαν στήριξη σε γενικές πολιτικές της ΕΕ στον τομέα της εσωτερικής ασφ</w:t>
      </w:r>
      <w:r>
        <w:rPr>
          <w:noProof/>
        </w:rPr>
        <w:t>άλειας, π.χ. σχετικά με την αστυνομική συνεργασία, την πρόληψη και καταστολή του εγκλήματος (μεταξύ άλλων, καταπολέμηση της τρομοκρατίας, ενίσχυση του συντονισμού και της συνεργασίας μεταξύ των αρχών επιβολής του νόμου των κρατών μελών και της Ευρωπόλ), κα</w:t>
      </w:r>
      <w:r>
        <w:rPr>
          <w:noProof/>
        </w:rPr>
        <w:t>θώς και τη διαχείριση των κρίσεων (προστασία των προσώπων και των ζωτικής σημασίας υποδομών) και το λαθρεμπόριο ναρκωτικών.</w:t>
      </w:r>
    </w:p>
    <w:p w:rsidR="00E506D3" w:rsidRDefault="00A1386A">
      <w:pPr>
        <w:rPr>
          <w:noProof/>
        </w:rPr>
      </w:pPr>
      <w:r>
        <w:rPr>
          <w:noProof/>
        </w:rPr>
        <w:t>Το έργο στο πλαίσιο του Ταμείο Εσωτερικής Ασφάλειας θα πρέπει να παρουσιάζει συνέπεια με το έργο του Οργανισμού της Ευρωπαϊκής Ένωση</w:t>
      </w:r>
      <w:r>
        <w:rPr>
          <w:noProof/>
        </w:rPr>
        <w:t>ς για τη Συνεργασία στον Τομέα της Επιβολής του Νόμου (Ευρωπόλ), του Οργανισμού της Ευρωπαϊκής Ένωσης για την Κατάρτιση στον Τομέα της Επιβολής του Νόμου (CEPOL) και του Ευρωπαϊκού Κέντρου Παρακολούθησης Ναρκωτικών και Τοξικομανίας (EMCDDA). Το Ταμείο λειτ</w:t>
      </w:r>
      <w:r>
        <w:rPr>
          <w:noProof/>
        </w:rPr>
        <w:t xml:space="preserve">ουργεί πλήρως συμπληρωματικά με τους εν λόγω οργανισμούς. Στην ανακοίνωσή της με τίτλο </w:t>
      </w:r>
      <w:r>
        <w:rPr>
          <w:i/>
          <w:noProof/>
        </w:rPr>
        <w:t>Ένας σύγχρονος προϋπολογισμός για μια Ένωση που προστατεύει, ενδυναμώνει και υπερασπίζεται τους πολίτες της</w:t>
      </w:r>
      <w:r>
        <w:rPr>
          <w:noProof/>
        </w:rPr>
        <w:t>, η Επιτροπή προτείνει τη διάθεση 1 128 000 000 EUR (σε τρέχου</w:t>
      </w:r>
      <w:r>
        <w:rPr>
          <w:noProof/>
        </w:rPr>
        <w:t>σες τιμές) σε οργανισμούς της Ένωσης στον τομέα της ασφάλειας.</w:t>
      </w:r>
      <w:r>
        <w:rPr>
          <w:rStyle w:val="FootnoteReference"/>
          <w:noProof/>
        </w:rPr>
        <w:footnoteReference w:id="5"/>
      </w:r>
      <w:r>
        <w:rPr>
          <w:noProof/>
        </w:rPr>
        <w:t>.</w:t>
      </w:r>
      <w:r>
        <w:rPr>
          <w:noProof/>
          <w:color w:val="C00000"/>
        </w:rPr>
        <w:t xml:space="preserve"> </w:t>
      </w:r>
      <w:r>
        <w:rPr>
          <w:noProof/>
        </w:rPr>
        <w:t>Ο παρών κανονισμός δεν καλύπτει τη χρηματοδότηση για τους εν λόγω οργανισμούς. Η χρηματοδότησή τους καθορίζεται στην συνήθη ετήσια διαδικασία προϋπολογισμού.</w:t>
      </w:r>
    </w:p>
    <w:p w:rsidR="00E506D3" w:rsidRDefault="00A1386A">
      <w:pPr>
        <w:pStyle w:val="ManualHeading2"/>
        <w:spacing w:before="0" w:after="240"/>
        <w:rPr>
          <w:rFonts w:eastAsia="Arial Unicode MS"/>
          <w:noProof/>
        </w:rPr>
      </w:pPr>
      <w:r>
        <w:rPr>
          <w:noProof/>
          <w:color w:val="000000"/>
          <w:u w:color="000000"/>
          <w:bdr w:val="nil"/>
        </w:rPr>
        <w:t>•</w:t>
      </w:r>
      <w:r>
        <w:rPr>
          <w:noProof/>
        </w:rPr>
        <w:tab/>
        <w:t>Συνέπεια με άλλες πολιτικές της</w:t>
      </w:r>
      <w:r>
        <w:rPr>
          <w:noProof/>
        </w:rPr>
        <w:t xml:space="preserve"> Ένωσης</w:t>
      </w:r>
    </w:p>
    <w:p w:rsidR="00E506D3" w:rsidRDefault="00A1386A">
      <w:pPr>
        <w:pBdr>
          <w:top w:val="nil"/>
          <w:left w:val="nil"/>
          <w:bottom w:val="nil"/>
          <w:right w:val="nil"/>
          <w:between w:val="nil"/>
          <w:bar w:val="nil"/>
        </w:pBdr>
        <w:spacing w:before="0" w:after="240"/>
        <w:rPr>
          <w:noProof/>
        </w:rPr>
      </w:pPr>
      <w:r>
        <w:rPr>
          <w:noProof/>
        </w:rPr>
        <w:t>Η έκταση και η σημασία, καθώς και ο εξελικτικός και εγκάρσιος χαρακτήρας των απειλών κατά της ασφάλειας απαιτούν συντονισμένη αντίδραση της ΕΕ και παρέμβαση όλων των μέσων της ΕΕ. Η ασφάλεια αποτελεί οριζόντιο ζήτημα και το Ταμείο Εσωτερικής Ασφάλε</w:t>
      </w:r>
      <w:r>
        <w:rPr>
          <w:noProof/>
        </w:rPr>
        <w:t>ιας μπορεί να παρέχει αποτελεσματική απάντηση της ΕΕ μόνο με συνέργειες με άλλα χρηματοδοτικά μέσα. Ως εκ τούτου, η ασφάλεια αποτελεί αντικείμενο πολλών προγραμμάτων της Ένωσης. Κατ’ αρχάς, η ασφάλεια θα αντιμετωπίζεται σε συνέργεια και συνέπεια με το Ταμε</w:t>
      </w:r>
      <w:r>
        <w:rPr>
          <w:noProof/>
        </w:rPr>
        <w:t>ίο Ασύλου και Μετανάστευσης και το Ταμείο για την Ολοκληρωμένη Διαχείριση των Συνόρων (που αποτελείται από το μέσο για τη διαχείριση των συνόρων και των θεωρήσεων και το μέσο για τον εξοπλισμό τελωνειακών ελέγχων). Η επιτήρηση, δηλαδή η ανίχνευση λαθρεμπορ</w:t>
      </w:r>
      <w:r>
        <w:rPr>
          <w:noProof/>
        </w:rPr>
        <w:t>ίου παράνομων εμπορευμάτων, εκρηκτικών, πρόδρομων ουσιών εκρηκτικών υλών, παράτυπης μετανάστευσης και ελέγχων ασφαλείας στα εξωτερικά σύνορα, είναι βασικής σημασίας για τη διατήρηση της συνολικής ασφάλειας της ΕΕ. Ένα άλλο βασικό στοιχεία συνέργειας με τις</w:t>
      </w:r>
      <w:r>
        <w:rPr>
          <w:noProof/>
        </w:rPr>
        <w:t xml:space="preserve"> πολιτικές για τη μετανάστευση και τα σύνορα θα επιτευχθεί χάρη στην αναβάθμιση του Ευρωπαϊκού Οργανισμού Συνοριοφυλακής και Ακτοφυλακής σε καθεστώς πλήρους λειτουργίας, με μόνιμο σώμα 10 000 συνοριοφυλάκων</w:t>
      </w:r>
      <w:r>
        <w:rPr>
          <w:rStyle w:val="FootnoteReference"/>
          <w:noProof/>
        </w:rPr>
        <w:footnoteReference w:id="6"/>
      </w:r>
      <w:r>
        <w:rPr>
          <w:noProof/>
        </w:rPr>
        <w:t>.</w:t>
      </w:r>
    </w:p>
    <w:p w:rsidR="00E506D3" w:rsidRDefault="00A1386A">
      <w:pPr>
        <w:pBdr>
          <w:top w:val="nil"/>
          <w:left w:val="nil"/>
          <w:bottom w:val="nil"/>
          <w:right w:val="nil"/>
          <w:between w:val="nil"/>
          <w:bar w:val="nil"/>
        </w:pBdr>
        <w:spacing w:before="0" w:after="240"/>
        <w:rPr>
          <w:noProof/>
        </w:rPr>
      </w:pPr>
      <w:r>
        <w:rPr>
          <w:noProof/>
        </w:rPr>
        <w:t xml:space="preserve">Επιπλέον, είναι σημαντική η συνέργεια και η </w:t>
      </w:r>
      <w:r>
        <w:rPr>
          <w:noProof/>
        </w:rPr>
        <w:t xml:space="preserve">συνέπεια με τα ταμεία της πολιτικής για τη συνοχή, με το σκέλος έρευνας για την ασφάλεια του προγράμματος «Ορίζων Ευρώπη», του προγράμματος «Ψηφιακή Ευρώπη», του προγράμματος «Δικαιοσύνη» και του προγράμματος «Δικαιώματα και αξίες». Δεδομένης της εγγενούς </w:t>
      </w:r>
      <w:r>
        <w:rPr>
          <w:noProof/>
        </w:rPr>
        <w:t>σχέσης στην πράξη μεταξύ ασφάλειας και δικαιοσύνης, συνέργειες θα επιτευχθούν ιδίως μεταξύ του Ταμείου Εσωτερικής Ασφάλειας και του προγράμματος Δικαιοσύνη ως προς την παροχή επαρκούς προστασίας στα θύματα εγκληματικών πράξεων, τη χρηματοδότηση κοινών ομάδ</w:t>
      </w:r>
      <w:r>
        <w:rPr>
          <w:noProof/>
        </w:rPr>
        <w:t xml:space="preserve">ων έρευνας και δράσεων κατάρτισης δικαστικών, τη διασφάλιση της διαλειτουργικότητας με το Ευρωπαϊκό Σύστημα Πληροφοριών Ποινικού Μητρώου, τη βελτίωση των συνθηκών κράτησης, και τη βελτίωση της διυπηρεσιακής συνεργασίας στους τομείς της δικαιοσύνης και της </w:t>
      </w:r>
      <w:r>
        <w:rPr>
          <w:noProof/>
        </w:rPr>
        <w:t>ασφάλειας, συμπεριλαμβανομένης της συνεργασίας μέσω οργανισμών με αρμοδιότητες συναφείς με τον τομέα της δικαιοσύνης, όπως η Eurojust και η Ευρωπαϊκή Εισαγγελία.</w:t>
      </w:r>
      <w:r>
        <w:rPr>
          <w:noProof/>
          <w:sz w:val="23"/>
        </w:rPr>
        <w:t xml:space="preserve"> </w:t>
      </w:r>
      <w:r>
        <w:rPr>
          <w:noProof/>
        </w:rPr>
        <w:t>Στον τομέα της πολιτικής για τα ναρκωτικά, υπάρχουν συνέργειες με το Ευρωπαϊκό Κοινωνικό Ταμεί</w:t>
      </w:r>
      <w:r>
        <w:rPr>
          <w:noProof/>
        </w:rPr>
        <w:t>ο+, ιδίως δε με το σκέλος που αφορά την υγεία. Θα πρέπει να επιδιωχθούν συνέργειες, επίσης, στον τομέα της ασφάλειας των υποδομών και των δημόσιων χώρων, της ασφάλειας στον κυβερνοχώρο και της πρόληψης της ριζοσπαστικοποίησης. Το ΕΚΤ+ μπορεί να διαδραματίσ</w:t>
      </w:r>
      <w:r>
        <w:rPr>
          <w:noProof/>
        </w:rPr>
        <w:t>ει σημαντικό ρόλο στην πρόληψη της ριζοσπαστικοποίησης με τη βελτίωση της ένταξη και το ΕΤΠΑ, όπως και το InvestEU, μπορούν να διαδραματίσουν καίριο ρόλο στην αύξηση της ασφάλειας των επενδύσεων σε υποδομές σε ολόκληρη την Ένωση, ενώ η ασφάλεια στον κυβερν</w:t>
      </w:r>
      <w:r>
        <w:rPr>
          <w:noProof/>
        </w:rPr>
        <w:t>οχώρο μπορεί να αντιμετωπιστεί με την αύξηση της ασφάλειας των συστημάτων ΤΠ. Αυτό το ζήτημα είναι, όπως και η ασφάλεια, διασυνοριακό και διατομεακό φαινόμενο και σημαντικό στοιχείο του προγράμματος «Ψηφιακή Ευρώπη» και, ως εκ τούτου, πρέπει να εξασφαλιστο</w:t>
      </w:r>
      <w:r>
        <w:rPr>
          <w:noProof/>
        </w:rPr>
        <w:t>ύν συνέργειες με το Ταμείο Εσωτερικής Ασφάλειας.</w:t>
      </w:r>
    </w:p>
    <w:p w:rsidR="00E506D3" w:rsidRDefault="00A1386A">
      <w:pPr>
        <w:rPr>
          <w:noProof/>
        </w:rPr>
      </w:pPr>
      <w:r>
        <w:rPr>
          <w:noProof/>
        </w:rPr>
        <w:t xml:space="preserve">Η ασφάλεια σε παγκόσμια θέματα και δράσεις, εκτός των συνόρων της Ένωσης, μπορεί να έχει σημαντικό αντίκτυπο στην εσωτερική ασφάλεια της Ένωσης. Επομένως, μέτρα που εφαρμόζονται σε τρίτες χώρες και σε σχέση </w:t>
      </w:r>
      <w:r>
        <w:rPr>
          <w:noProof/>
        </w:rPr>
        <w:t>με τρίτες χώρες θα συνεχίσουν να χρηματοδοτούνται από το Ταμείο, αλλά θα πρέπει να υλοποιούνται σε πλήρη συνέργεια και συνέπεια και να συμπληρώνουν τις άλλες δράσεις εκτός της Ένωσης που στηρίζονται μέσω των εξωτερικών χρηματοδοτικών μέσων της Ένωσης, συμπ</w:t>
      </w:r>
      <w:r>
        <w:rPr>
          <w:noProof/>
        </w:rPr>
        <w:t>εριλαμβανομένου του μηχανισμού προενταξιακής βοήθειας. Συγκεκριμένα, κατά την εφαρμογή των εν λόγω δράσεων, θα πρέπει να επιδιώκεται η απόλυτη συνοχή με τις αρχές και τους γενικούς στόχους της εξωτερικής δράσης και της εξωτερικής πολιτικής της Ένωσης σε σχ</w:t>
      </w:r>
      <w:r>
        <w:rPr>
          <w:noProof/>
        </w:rPr>
        <w:t>έση με την εκάστοτε χώρα ή περιφέρεια. Όσον αφορά την εξωτερική διάσταση, το Ταμείο θα πρέπει να ενισχύει τη συνεργασία με τρίτες χώρες σε τομείς που παρουσιάζουν ενδιαφέρον για την εσωτερική ασφάλεια της Ένωσης, όπως η καταπολέμηση της τρομοκρατίας και τη</w:t>
      </w:r>
      <w:r>
        <w:rPr>
          <w:noProof/>
        </w:rPr>
        <w:t>ς ριζοσπαστικοποίησης, η συνεργασία με αρχές επιβολής του νόμου τρίτων χωρών όσον αφορά την καταπολέμηση της τρομοκρατίας (συμπεριλαμβανομένων αποσπάσεων και κοινών ομάδων έρευνας), του σοβαρού και οργανωμένου εγκλήματος και της διαφθοράς, της εμπορίας ανθ</w:t>
      </w:r>
      <w:r>
        <w:rPr>
          <w:noProof/>
        </w:rPr>
        <w:t>ρώπων και της παράνομης διακίνησης μεταναστών. Η ασφάλεια συνδέεται επίσης στενά με την άμυνα και η Ένωση πρέπει να αναλάβει μεγαλύτερη ευθύνη στον τομέα της άμυνας, για την προστασία των συμφερόντων της, των αξιών της και του ευρωπαϊκού τρόπου ζωής.</w:t>
      </w:r>
    </w:p>
    <w:p w:rsidR="00E506D3" w:rsidRDefault="00A1386A">
      <w:pPr>
        <w:pStyle w:val="ManualHeading1"/>
        <w:spacing w:before="0" w:after="240"/>
        <w:rPr>
          <w:noProof/>
        </w:rPr>
      </w:pPr>
      <w:r>
        <w:rPr>
          <w:noProof/>
        </w:rPr>
        <w:t>2.</w:t>
      </w:r>
      <w:r>
        <w:rPr>
          <w:noProof/>
        </w:rPr>
        <w:tab/>
        <w:t>ΝΟ</w:t>
      </w:r>
      <w:r>
        <w:rPr>
          <w:noProof/>
        </w:rPr>
        <w:t>ΜΙΚΗ ΒΑΣΗ, ΕΠΙΚΟΥΡΙΚΟΤΗΤΑ ΚΑΙ ΑΝΑΛΟΓΙΚΟΤΗΤΑ</w:t>
      </w:r>
    </w:p>
    <w:p w:rsidR="00E506D3" w:rsidRDefault="00A1386A">
      <w:pPr>
        <w:pStyle w:val="ManualHeading2"/>
        <w:spacing w:before="0" w:after="240"/>
        <w:rPr>
          <w:rFonts w:eastAsia="Arial Unicode MS"/>
          <w:noProof/>
          <w:u w:color="000000"/>
          <w:bdr w:val="nil"/>
        </w:rPr>
      </w:pPr>
      <w:r>
        <w:rPr>
          <w:noProof/>
        </w:rPr>
        <w:t>•</w:t>
      </w:r>
      <w:r>
        <w:rPr>
          <w:noProof/>
        </w:rPr>
        <w:tab/>
        <w:t>Νομική βάση</w:t>
      </w:r>
    </w:p>
    <w:p w:rsidR="00E506D3" w:rsidRDefault="00A1386A">
      <w:pPr>
        <w:pBdr>
          <w:top w:val="nil"/>
          <w:left w:val="nil"/>
          <w:bottom w:val="nil"/>
          <w:right w:val="nil"/>
          <w:between w:val="nil"/>
          <w:bar w:val="nil"/>
        </w:pBdr>
        <w:spacing w:before="0" w:after="240"/>
        <w:rPr>
          <w:noProof/>
        </w:rPr>
      </w:pPr>
      <w:r>
        <w:rPr>
          <w:noProof/>
        </w:rPr>
        <w:t>Το δικαίωμα δράσης της ΕΕ στον τομέα των εσωτερικών υποθέσεων απορρέει ιδίως από το άρθρο 3 παράγραφος 2 της Συνθήκης για την Ευρωπαϊκή Ένωση (ΣΕΕ) το οποίο αναφέρει ότι «η Ένωση παρέχει στους πολίτ</w:t>
      </w:r>
      <w:r>
        <w:rPr>
          <w:noProof/>
        </w:rPr>
        <w:t>ες της χώρο ελευθερίας, ασφάλειας και δικαιοσύνης χωρίς εσωτερικά σύνορα, στον οποίο εξασφαλίζεται η ελεύθερη κυκλοφορία των προσώπων σε συνδυασμό με κατάλληλα μέτρα όσον αφορά τους ελέγχους στα εξωτερικά σύνορα, το άσυλο, τη μετανάστευση και την πρόληψη κ</w:t>
      </w:r>
      <w:r>
        <w:rPr>
          <w:noProof/>
        </w:rPr>
        <w:t>αι καταστολή της εγκληματικότητας».</w:t>
      </w:r>
    </w:p>
    <w:p w:rsidR="00E506D3" w:rsidRDefault="00A1386A">
      <w:pPr>
        <w:pBdr>
          <w:top w:val="nil"/>
          <w:left w:val="nil"/>
          <w:bottom w:val="nil"/>
          <w:right w:val="nil"/>
          <w:between w:val="nil"/>
          <w:bar w:val="nil"/>
        </w:pBdr>
        <w:spacing w:before="0" w:after="240"/>
        <w:rPr>
          <w:noProof/>
        </w:rPr>
      </w:pPr>
      <w:r>
        <w:rPr>
          <w:noProof/>
        </w:rPr>
        <w:t>Η δράση της ΕΕ αιτιολογείται με βάση τους στόχους που αναφέρονται στο άρθρο 67 της Συνθήκης για τη Λειτουργία της Ευρωπαϊκής Ένωσης (ΣΛΕΕ) που καθορίζει τα μέσα που συγκροτούν τον χώρο ελευθερίας, ασφάλειας και δικαιοσύν</w:t>
      </w:r>
      <w:r>
        <w:rPr>
          <w:noProof/>
        </w:rPr>
        <w:t xml:space="preserve">ης. Εφιστάται επίσης η προσοχή στο άρθρο 80 της ΣΛΕΕ το οποίο τονίζει ότι αυτές οι πολιτικές της Ένωσης και η εφαρμογή τους θα διέπονται από την αρχή της αλληλεγγύης και της δίκαιης κατανομής ευθυνών, συμπεριλαμβανομένων των δημοσιονομικών επιπτώσεών της, </w:t>
      </w:r>
      <w:r>
        <w:rPr>
          <w:noProof/>
        </w:rPr>
        <w:t>μεταξύ των κρατών μελών.</w:t>
      </w:r>
    </w:p>
    <w:p w:rsidR="00E506D3" w:rsidRDefault="00A1386A">
      <w:pPr>
        <w:pBdr>
          <w:top w:val="nil"/>
          <w:left w:val="nil"/>
          <w:bottom w:val="nil"/>
          <w:right w:val="nil"/>
          <w:between w:val="nil"/>
          <w:bar w:val="nil"/>
        </w:pBdr>
        <w:spacing w:before="0" w:after="240"/>
        <w:rPr>
          <w:noProof/>
        </w:rPr>
      </w:pPr>
      <w:r>
        <w:rPr>
          <w:noProof/>
        </w:rPr>
        <w:t xml:space="preserve">Ο παρών κανονισμός βασίζεται στο άρθρο 82 παράγραφος 1, το άρθρο 84 και το άρθρο 87 παράγραφος 2 της ΣΛΕΕ, τα οποία αποτελούν συμβατές νομικές βάσεις ενόψει των ειδικών νομικών περιστάσεων που ισχύουν για τη λήψη αποφάσεων δυνάμει </w:t>
      </w:r>
      <w:r>
        <w:rPr>
          <w:noProof/>
        </w:rPr>
        <w:t>του τίτλου V της ΣΛΕΕ.</w:t>
      </w:r>
    </w:p>
    <w:p w:rsidR="00E506D3" w:rsidRDefault="00A1386A">
      <w:pPr>
        <w:pBdr>
          <w:top w:val="nil"/>
          <w:left w:val="nil"/>
          <w:bottom w:val="nil"/>
          <w:right w:val="nil"/>
          <w:between w:val="nil"/>
          <w:bar w:val="nil"/>
        </w:pBdr>
        <w:spacing w:before="0" w:after="240"/>
        <w:rPr>
          <w:noProof/>
        </w:rPr>
      </w:pPr>
      <w:r>
        <w:rPr>
          <w:noProof/>
        </w:rPr>
        <w:t>Ο παρών κανονισμός θα παρέχει χρηματοδοτική στήριξη με βάση τις κοινές πολιτικές της Ένωσης (στρατηγικές, προγράμματα και σχέδια δράσης), τη νομοθεσία, την πρακτική συνεργασία και τις εκτιμήσεις απειλών και κινδύνων. Κατά συνέπεια, π</w:t>
      </w:r>
      <w:r>
        <w:rPr>
          <w:noProof/>
        </w:rPr>
        <w:t>ρέπει να καταργηθεί το πρόγραμμα που παρέχει σήμερα χρηματοδοτική στήριξη για αυτόν τον τομέα πολιτικής (ΤΕΑ Αστυνομική συνεργασία), με ισχύ από την 1η Ιανουαρίου 2021, με την προϋπόθεση μεταβατικών κανόνων.</w:t>
      </w:r>
    </w:p>
    <w:p w:rsidR="00E506D3" w:rsidRDefault="00A1386A">
      <w:pPr>
        <w:pBdr>
          <w:top w:val="nil"/>
          <w:left w:val="nil"/>
          <w:bottom w:val="nil"/>
          <w:right w:val="nil"/>
          <w:between w:val="nil"/>
          <w:bar w:val="nil"/>
        </w:pBdr>
        <w:spacing w:before="0" w:after="240"/>
        <w:rPr>
          <w:noProof/>
        </w:rPr>
      </w:pPr>
      <w:r>
        <w:rPr>
          <w:noProof/>
        </w:rPr>
        <w:t xml:space="preserve">Επιπλέον, στις 29 Μαΐου 2018 η Επιτροπή εξέδωσε </w:t>
      </w:r>
      <w:r>
        <w:rPr>
          <w:noProof/>
        </w:rPr>
        <w:t>πρόταση κανονισμού περί κοινών διατάξεων</w:t>
      </w:r>
      <w:r>
        <w:rPr>
          <w:rStyle w:val="FootnoteReference"/>
          <w:noProof/>
        </w:rPr>
        <w:footnoteReference w:id="7"/>
      </w:r>
      <w:r>
        <w:rPr>
          <w:noProof/>
        </w:rPr>
        <w:t xml:space="preserve"> με σκοπό τη βελτίωση του συντονισμού και την εναρμόνιση της παροχής στήριξης στο πλαίσιο επιμερισμένης διαχείρισης, με κύριο στόχο την απλούστευση της υλοποίησης της πολιτικής. Το τμήμα επιμερισμένης διαχείρισης το</w:t>
      </w:r>
      <w:r>
        <w:rPr>
          <w:noProof/>
        </w:rPr>
        <w:t>υ ΤΕΑ καλύπτεται από τις εν λόγω κοινές διατάξεις.</w:t>
      </w:r>
    </w:p>
    <w:p w:rsidR="00E506D3" w:rsidRDefault="00A1386A">
      <w:pPr>
        <w:pBdr>
          <w:top w:val="nil"/>
          <w:left w:val="nil"/>
          <w:bottom w:val="nil"/>
          <w:right w:val="nil"/>
          <w:between w:val="nil"/>
          <w:bar w:val="nil"/>
        </w:pBdr>
        <w:spacing w:before="0" w:after="240"/>
        <w:rPr>
          <w:noProof/>
        </w:rPr>
      </w:pPr>
      <w:r>
        <w:rPr>
          <w:noProof/>
        </w:rPr>
        <w:t>Τα διαφορετικά Ταμεία που εκτελούνται υπό καθεστώς επιμερισμένης διαχείρισης επιδιώκουν συμπληρωματικούς στόχους και μοιράζονται τον ίδιο τρόπο διαχείρισης, επομένως ο κανονισμός (ΕΕ) [κανονισμός περί κοιν</w:t>
      </w:r>
      <w:r>
        <w:rPr>
          <w:noProof/>
        </w:rPr>
        <w:t>ών διατάξεων] καθορίζει σειρά κοινών αρχών, όπως η εταιρική σχέση. Ο εν λόγω κανονισμός περιέχει επίσης τα κοινά στοιχεία του στρατηγικού σχεδιασμού και του προγραμματισμού, συμπεριλαμβανομένων διατάξεων σχετικά με τη συμφωνία εταιρικής σχέσης που θα συναφ</w:t>
      </w:r>
      <w:r>
        <w:rPr>
          <w:noProof/>
        </w:rPr>
        <w:t xml:space="preserve">θεί με κάθε κράτος μέλος και καθορίζει κοινή προσέγγιση όσον αφορά τον προσανατολισμό στις επιδόσεις των Ταμείων. Συνεπώς, περιλαμβάνει αναγκαίους πρόσφορους όρους και διατάξεις όσον αφορά την παρακολούθηση, την υποβολή εκθέσεων και την αξιολόγηση. Κοινές </w:t>
      </w:r>
      <w:r>
        <w:rPr>
          <w:noProof/>
        </w:rPr>
        <w:t xml:space="preserve">διατάξεις καθορίζονται επίσης όσον αφορά τους κανόνες επιλεξιµότητας, τη δημοσιονομική διαχείριση και τις διατάξεις περί διαχείρισης και ελέγχου. </w:t>
      </w:r>
    </w:p>
    <w:p w:rsidR="00E506D3" w:rsidRDefault="00A1386A">
      <w:pPr>
        <w:pStyle w:val="ManualHeading2"/>
        <w:spacing w:before="0" w:after="240"/>
        <w:rPr>
          <w:rFonts w:eastAsia="Arial Unicode MS"/>
          <w:noProof/>
          <w:u w:color="000000"/>
          <w:bdr w:val="nil"/>
        </w:rPr>
      </w:pPr>
      <w:r>
        <w:rPr>
          <w:noProof/>
        </w:rPr>
        <w:t>•</w:t>
      </w:r>
      <w:r>
        <w:rPr>
          <w:noProof/>
        </w:rPr>
        <w:tab/>
        <w:t>Επικουρικότητα (σε περίπτωση μη αποκλειστικής αρμοδιότητας)</w:t>
      </w:r>
    </w:p>
    <w:p w:rsidR="00E506D3" w:rsidRDefault="00A1386A">
      <w:pPr>
        <w:autoSpaceDE w:val="0"/>
        <w:autoSpaceDN w:val="0"/>
        <w:adjustRightInd w:val="0"/>
        <w:spacing w:before="0" w:after="240"/>
        <w:rPr>
          <w:noProof/>
        </w:rPr>
      </w:pPr>
      <w:r>
        <w:rPr>
          <w:noProof/>
        </w:rPr>
        <w:t>Για διαχείριση των απειλών κατά της ασφάλειας υ</w:t>
      </w:r>
      <w:r>
        <w:rPr>
          <w:noProof/>
        </w:rPr>
        <w:t>πάρχουν προκλήσεις που δεν είναι δυνατό να αντιμετωπιστούν με τη μεμονωμένη δράση του κάθε κράτους μέλους. Συνολικά, πρόκειται για έναν τομέα όπου υπάρχει σαφής προστιθέμενη αξία όσον αφορά την παρέμβαση της Ένωσης και την κινητοποίηση του προϋπολογισμού τ</w:t>
      </w:r>
      <w:r>
        <w:rPr>
          <w:noProof/>
        </w:rPr>
        <w:t>ης ΕΕ.</w:t>
      </w:r>
    </w:p>
    <w:p w:rsidR="00E506D3" w:rsidRDefault="00A1386A">
      <w:pPr>
        <w:autoSpaceDE w:val="0"/>
        <w:autoSpaceDN w:val="0"/>
        <w:adjustRightInd w:val="0"/>
        <w:spacing w:before="0" w:after="240"/>
        <w:rPr>
          <w:noProof/>
        </w:rPr>
      </w:pPr>
      <w:r>
        <w:rPr>
          <w:noProof/>
        </w:rPr>
        <w:t>Στον τομέα της ασφάλειας, το σοβαρό και οργανωμένο έγκλημα, η τρομοκρατία και άλλες απειλές κατά της ασφάλειας αποκτούν ολοένα και περισσότερο διασυνοριακό χαρακτήρα. Η διακρατική συνεργασία και ο συντονισμός μεταξύ των αρχών επιβολής του νόμου έχει</w:t>
      </w:r>
      <w:r>
        <w:rPr>
          <w:noProof/>
        </w:rPr>
        <w:t xml:space="preserve"> καθοριστική σημασία εφόσον έχει ως στόχο την πρόληψη και αντιμετώπιση των εν λόγω απειλών, παραδείγματος χάρη μέσω της ανταλλαγής πληροφοριών, κοινών ερευνών, διαλειτουργικών τεχνολογιών και κοινών εκτιμήσεων των απειλών και των κινδύνων. Η χρηματοδοτική </w:t>
      </w:r>
      <w:r>
        <w:rPr>
          <w:noProof/>
        </w:rPr>
        <w:t>στήριξη δυνάμει του παρόντος κανονισμού θα συμβάλλει στην ενίσχυση των εθνικών και ευρωπαϊκών ικανοτήτων σε αυτούς τους τομείς πολιτικής, καθώς θα διευκολύνει τη θέσπιση ενωσιακού πλαισίου για την εκδήλωση της αλληλεγγύης και πλατφόρμας για την ανάπτυξη κο</w:t>
      </w:r>
      <w:r>
        <w:rPr>
          <w:noProof/>
        </w:rPr>
        <w:t>ινών συστημάτων ΤΠ που θα στηρίζουν τις εν λόγω πολιτικές.</w:t>
      </w:r>
    </w:p>
    <w:p w:rsidR="00E506D3" w:rsidRDefault="00A1386A">
      <w:pPr>
        <w:autoSpaceDE w:val="0"/>
        <w:autoSpaceDN w:val="0"/>
        <w:adjustRightInd w:val="0"/>
        <w:spacing w:before="0" w:after="240"/>
        <w:rPr>
          <w:noProof/>
        </w:rPr>
      </w:pPr>
      <w:r>
        <w:rPr>
          <w:noProof/>
        </w:rPr>
        <w:t>Για τη διαχείριση της ασφάλειας της ΕΕ απαιτούνται σημαντικοί πόροι και ικανότητες από τα κράτη μέλη. Η βελτιωμένη επιχειρησιακή συνεργασία και ο συντονισμός, που συνεπάγεται τη συγκέντρωση πόρων τ</w:t>
      </w:r>
      <w:r>
        <w:rPr>
          <w:noProof/>
        </w:rPr>
        <w:t>ων κρατών μελών δημιουργούν οικονομίες κλίμακας και συνέργειες, διασφαλίζοντας με τον τρόπο αυτό την αποτελεσματικότερη χρήση των δημόσιων κεφαλαίων και την ενίσχυση της αλληλεγγύης, της αμοιβαίας εμπιστοσύνης και του επιμερισμού ευθυνών για τις κοινές πολ</w:t>
      </w:r>
      <w:r>
        <w:rPr>
          <w:noProof/>
        </w:rPr>
        <w:t>ιτικές της ΕΕ. Αυτό έχει ιδιαίτερη σημασία στον τομέα της ασφάλειας, όπου η χρηματοδοτική στήριξη για όλες τις μορφές κοινών διασυνοριακών επιχειρήσεων έχει καθοριστική σημασία για τη βελτίωση της συνεργασίας μεταξύ των αστυνομικών, τελωνειακών, συνοριακών</w:t>
      </w:r>
      <w:r>
        <w:rPr>
          <w:noProof/>
        </w:rPr>
        <w:t xml:space="preserve"> και δικαστικών αρχών.</w:t>
      </w:r>
    </w:p>
    <w:p w:rsidR="00E506D3" w:rsidRDefault="00A1386A">
      <w:pPr>
        <w:autoSpaceDE w:val="0"/>
        <w:autoSpaceDN w:val="0"/>
        <w:adjustRightInd w:val="0"/>
        <w:spacing w:before="0" w:after="240"/>
        <w:rPr>
          <w:noProof/>
        </w:rPr>
      </w:pPr>
      <w:r>
        <w:rPr>
          <w:noProof/>
        </w:rPr>
        <w:t>Σε σχέση με την εξωτερική διάσταση των εσωτερικών υποθέσεων, είναι σαφές ότι η λήψη μέτρων και η συγκέντρωση πόρων στο επίπεδο της ΕΕ θα αυξήσει σημαντικά τη μόχλευση που χρειάζεται η ΕΕ ώστε να πείσει άλλες χώρες να συνεργαστούν μαζ</w:t>
      </w:r>
      <w:r>
        <w:rPr>
          <w:noProof/>
        </w:rPr>
        <w:t>ί της για τα θέματα της ασφάλειας τα οποία είναι πρωτίστως προς το συμφέρον της ΕΕ και των κρατών μελών.</w:t>
      </w:r>
    </w:p>
    <w:p w:rsidR="00E506D3" w:rsidRDefault="00A1386A">
      <w:pPr>
        <w:autoSpaceDE w:val="0"/>
        <w:autoSpaceDN w:val="0"/>
        <w:adjustRightInd w:val="0"/>
        <w:spacing w:before="0" w:after="240"/>
        <w:rPr>
          <w:noProof/>
        </w:rPr>
      </w:pPr>
      <w:r>
        <w:rPr>
          <w:noProof/>
        </w:rPr>
        <w:t>Η παρούσα πρόταση τηρεί την αρχή της επικουρικότητας, καθώς η πλειονότητα της χρηματοδότησης θα εκτελεστεί δυνάμει επιμερισμένης διαχείρισης σύμφωνα με</w:t>
      </w:r>
      <w:r>
        <w:rPr>
          <w:noProof/>
        </w:rPr>
        <w:t xml:space="preserve"> τις θεσμικές αρμοδιότητες των κρατών μελών, ενώ παράλληλα αναγνωρίζεται πλήρως ότι η παρέμβαση θα πρέπει να πραγματοποιηθεί σε κατάλληλο επίπεδο και ο ρόλος της Ένωσης δεν θα πρέπει να εκτείνεται πέραν των απαιτούμενων.</w:t>
      </w:r>
    </w:p>
    <w:p w:rsidR="00E506D3" w:rsidRDefault="00A1386A">
      <w:pPr>
        <w:pStyle w:val="ManualHeading2"/>
        <w:spacing w:before="0" w:after="240"/>
        <w:rPr>
          <w:rFonts w:eastAsia="Arial Unicode MS"/>
          <w:noProof/>
          <w:u w:color="000000"/>
          <w:bdr w:val="nil"/>
        </w:rPr>
      </w:pPr>
      <w:r>
        <w:rPr>
          <w:noProof/>
        </w:rPr>
        <w:t>•</w:t>
      </w:r>
      <w:r>
        <w:rPr>
          <w:noProof/>
        </w:rPr>
        <w:tab/>
        <w:t>Αναλογικότητα</w:t>
      </w:r>
    </w:p>
    <w:p w:rsidR="00E506D3" w:rsidRDefault="00A1386A">
      <w:pPr>
        <w:pBdr>
          <w:top w:val="nil"/>
          <w:left w:val="nil"/>
          <w:bottom w:val="nil"/>
          <w:right w:val="nil"/>
          <w:between w:val="nil"/>
          <w:bar w:val="nil"/>
        </w:pBdr>
        <w:spacing w:before="0" w:after="240"/>
        <w:rPr>
          <w:rFonts w:eastAsia="Arial Unicode MS"/>
          <w:noProof/>
        </w:rPr>
      </w:pPr>
      <w:r>
        <w:rPr>
          <w:noProof/>
        </w:rPr>
        <w:t xml:space="preserve">Η πρόταση </w:t>
      </w:r>
      <w:r>
        <w:rPr>
          <w:noProof/>
        </w:rPr>
        <w:t>συμμορφώνεται με την αρχή της αναλογικότητας και εμπίπτει στο πεδίο δράσης στον χώρο ελευθερίας, ασφάλειας και δικαιοσύνης, όπως ορίζεται στον τίτλο V της ΣΛΕΕ. Οι στόχοι και τα αντίστοιχα επίπεδα χρηματοδότησης είναι αναλογικά προς τους στόχους του Ταμείο</w:t>
      </w:r>
      <w:r>
        <w:rPr>
          <w:noProof/>
        </w:rPr>
        <w:t>υ. Οι δράσεις που προβλέπονται στην παρούσα πρόταση αφορούν την ευρωπαϊκή διάσταση της αστυνομικής συνεργασίας.</w:t>
      </w:r>
    </w:p>
    <w:p w:rsidR="00E506D3" w:rsidRDefault="00A1386A">
      <w:pPr>
        <w:pStyle w:val="ManualHeading2"/>
        <w:spacing w:before="0" w:after="240"/>
        <w:rPr>
          <w:rFonts w:eastAsia="Arial Unicode MS"/>
          <w:noProof/>
          <w:u w:color="000000"/>
          <w:bdr w:val="nil"/>
        </w:rPr>
      </w:pPr>
      <w:r>
        <w:rPr>
          <w:noProof/>
        </w:rPr>
        <w:t>•</w:t>
      </w:r>
      <w:r>
        <w:rPr>
          <w:noProof/>
        </w:rPr>
        <w:tab/>
        <w:t>Επιλογή της νομικής πράξης</w:t>
      </w:r>
    </w:p>
    <w:p w:rsidR="00E506D3" w:rsidRDefault="00A1386A">
      <w:pPr>
        <w:pBdr>
          <w:top w:val="nil"/>
          <w:left w:val="nil"/>
          <w:bottom w:val="nil"/>
          <w:right w:val="nil"/>
          <w:between w:val="nil"/>
          <w:bar w:val="nil"/>
        </w:pBdr>
        <w:spacing w:before="0" w:after="240"/>
        <w:rPr>
          <w:noProof/>
        </w:rPr>
      </w:pPr>
      <w:r>
        <w:rPr>
          <w:noProof/>
        </w:rPr>
        <w:t>Κανονισμός του Ευρωπαϊκού Κοινοβουλίου και του Συμβουλίου για τη θέσπιση Ταμείου Εσωτερικής Ασφάλειας.</w:t>
      </w:r>
    </w:p>
    <w:p w:rsidR="00E506D3" w:rsidRDefault="00A1386A">
      <w:pPr>
        <w:pStyle w:val="ManualHeading1"/>
        <w:spacing w:before="0" w:after="240"/>
        <w:rPr>
          <w:noProof/>
        </w:rPr>
      </w:pPr>
      <w:r>
        <w:rPr>
          <w:noProof/>
        </w:rPr>
        <w:t>3.</w:t>
      </w:r>
      <w:r>
        <w:rPr>
          <w:noProof/>
        </w:rPr>
        <w:tab/>
      </w:r>
      <w:r>
        <w:rPr>
          <w:noProof/>
        </w:rPr>
        <w:t>ΑΠΟΤΕΛΕΣΜΑΤΑ ΤΩΝ ΕΚ ΤΩΝ ΥΣΤΕΡΩΝ ΑΞΙΟΛΟΓΗΣΕΩΝ, ΤΩΝ ΔΙΑΒΟΥΛΕΥΣΕΩΝ ΜΕ ΤΑ ΕΝΔΙΑΦΕΡΟΜΕΝΑ ΜΕΡΗ ΚΑΙ ΤΩΝ ΕΚΤΙΜΗΣΕΩΝ ΕΠΙΠΤΩΣΕΩΝ</w:t>
      </w:r>
    </w:p>
    <w:p w:rsidR="00E506D3" w:rsidRDefault="00A1386A">
      <w:pPr>
        <w:pStyle w:val="ManualHeading2"/>
        <w:spacing w:before="0" w:after="240"/>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rsidR="00E506D3" w:rsidRDefault="00A1386A">
      <w:pPr>
        <w:pBdr>
          <w:top w:val="nil"/>
          <w:left w:val="nil"/>
          <w:bottom w:val="nil"/>
          <w:right w:val="nil"/>
          <w:between w:val="nil"/>
          <w:bar w:val="nil"/>
        </w:pBdr>
        <w:spacing w:before="0" w:after="240"/>
        <w:rPr>
          <w:noProof/>
        </w:rPr>
      </w:pPr>
      <w:r>
        <w:rPr>
          <w:noProof/>
        </w:rPr>
        <w:t>Η πρόταση λαμβάνει υπόψη τα αποτελέσματα των αξιολογήσεων</w:t>
      </w:r>
      <w:r>
        <w:rPr>
          <w:noProof/>
        </w:rPr>
        <w:t xml:space="preserve"> των προηγούμενων χρηματοδοτικών μέσων για την αστυνομική συνεργασία. Βασίζεται στην εκ των υστέρων αξιολόγηση των CIPS και ISEC, που ήταν τα μέσα της περιόδου προγραμματισμού 2007-2013, και την ενδιάμεση αξιολόγηση του Ταμείου Εσωτερικής Ασφάλειας, του μέ</w:t>
      </w:r>
      <w:r>
        <w:rPr>
          <w:noProof/>
        </w:rPr>
        <w:t>σου για την αστυνομική συνεργασία, την πρόληψη και καταστολή της εγκληματικότητας και τη διαχείριση των κρίσεων, που είναι το Ταμείο της τρέχουσας περιόδου (2014-2020). Όσον αφορά τα διάφορα κριτήρια αξιολόγησης, τα πορίσματα είχαν ως εξής:</w:t>
      </w:r>
    </w:p>
    <w:p w:rsidR="00E506D3" w:rsidRDefault="00A1386A">
      <w:pPr>
        <w:pBdr>
          <w:top w:val="nil"/>
          <w:left w:val="nil"/>
          <w:bottom w:val="nil"/>
          <w:right w:val="nil"/>
          <w:between w:val="nil"/>
          <w:bar w:val="nil"/>
        </w:pBdr>
        <w:spacing w:before="0" w:after="240"/>
        <w:rPr>
          <w:noProof/>
        </w:rPr>
      </w:pPr>
      <w:r>
        <w:rPr>
          <w:noProof/>
        </w:rPr>
        <w:t>Το μέσο για την</w:t>
      </w:r>
      <w:r>
        <w:rPr>
          <w:noProof/>
        </w:rPr>
        <w:t xml:space="preserve"> αστυνομική συνεργασία (ΤΕΑ Αστυνομική συνεργασία) ήταν κατά κύριο λόγο </w:t>
      </w:r>
      <w:r>
        <w:rPr>
          <w:b/>
          <w:noProof/>
        </w:rPr>
        <w:t>αποτελεσματικό</w:t>
      </w:r>
      <w:r>
        <w:rPr>
          <w:noProof/>
        </w:rPr>
        <w:t xml:space="preserve"> και συνέβαλε σε υψηλό επίπεδο ασφάλειας στην Ένωση με την πρόληψη και καταπολέμηση του διασυνοριακού, σοβαρού και οργανωμένου εγκλήματος, συμπεριλαμβανομένης της τρομοκρ</w:t>
      </w:r>
      <w:r>
        <w:rPr>
          <w:noProof/>
        </w:rPr>
        <w:t>ατίας, και την ενίσχυση του συντονισμού και της συνεργασίας μεταξύ αρχών επιβολής του νόμου. Επίσης, βοήθησε στη βελτίωση της ικανότητας των κρατών μελών να διαχειρίζονται αποτελεσματικά κινδύνους που σχετίζονται με την ασφάλεια και με κρίσεις και, σε μικρ</w:t>
      </w:r>
      <w:r>
        <w:rPr>
          <w:noProof/>
        </w:rPr>
        <w:t>ότερο βαθμό, να προστατεύουν τους πολίτες και την υποδομή ζωτικής σημασίας από τρομοκρατικές επιθέσεις και άλλους κινδύνους που συνδέονται με την ασφάλεια. Τα στοιχεία καταδεικνύουν ότι συνέβαλε στην ενίσχυση της συνεργασίας και του συντονισμού μεταξύ κρατ</w:t>
      </w:r>
      <w:r>
        <w:rPr>
          <w:noProof/>
        </w:rPr>
        <w:t>ών μελών και ευρωπαϊκών οργανισμών και στη βελτίωση της ικανότητας των κρατών μελών να διεξάγουν ολοκληρωμένες εκτιμήσεις των απειλών και των κινδύνων, παρότι χρηματοδότησε σχετικά λίγα σχέδια σε εθνικό και ενωσιακό επίπεδο. Χρηματοδοτήθηκαν διάφορες δράσε</w:t>
      </w:r>
      <w:r>
        <w:rPr>
          <w:noProof/>
        </w:rPr>
        <w:t>ις της Ένωσης στον τομέα της έγκαιρης προειδοποίησης και συνεργασίας για την πρόληψη των κρίσεων (π.χ. το δίκτυο ATLAS).</w:t>
      </w:r>
    </w:p>
    <w:p w:rsidR="00E506D3" w:rsidRDefault="00A1386A">
      <w:pPr>
        <w:pBdr>
          <w:top w:val="nil"/>
          <w:left w:val="nil"/>
          <w:bottom w:val="nil"/>
          <w:right w:val="nil"/>
          <w:between w:val="nil"/>
          <w:bar w:val="nil"/>
        </w:pBdr>
        <w:spacing w:before="0" w:after="240"/>
        <w:rPr>
          <w:noProof/>
        </w:rPr>
      </w:pPr>
      <w:r>
        <w:rPr>
          <w:noProof/>
        </w:rPr>
        <w:t>Εντούτοις, μέχρι σήμερα, το ΤΕΑ Αστυνομική συνεργασία πραγματοποίησε περιορισμένη πρόοδο ως προς την ενίσχυση της διοικητικής και επιχε</w:t>
      </w:r>
      <w:r>
        <w:rPr>
          <w:noProof/>
        </w:rPr>
        <w:t>ιρησιακής ικανότητας των κρατών μελών να προστατεύουν την υποδομή ζωτικής σημασίας, να προστατεύουν τα θύματα, να αναπτύσσουν προγράμματα κατάρτισης και προγράμματα ανταλλαγών, καθώς και να αναλαμβάνουν δράση από κοινού με τρίτες χώρες και διεθνείς οργανισ</w:t>
      </w:r>
      <w:r>
        <w:rPr>
          <w:noProof/>
        </w:rPr>
        <w:t>μούς, παρότι η πλειονότητα των σχεδίων που σχετίζονται με τους εν λόγω επιχειρησιακούς στόχους βρίσκονται ακόμη σε εξέλιξη.</w:t>
      </w:r>
    </w:p>
    <w:p w:rsidR="00E506D3" w:rsidRDefault="00A1386A">
      <w:pPr>
        <w:pBdr>
          <w:top w:val="nil"/>
          <w:left w:val="nil"/>
          <w:bottom w:val="nil"/>
          <w:right w:val="nil"/>
          <w:between w:val="nil"/>
          <w:bar w:val="nil"/>
        </w:pBdr>
        <w:spacing w:before="0" w:after="240"/>
        <w:rPr>
          <w:noProof/>
        </w:rPr>
      </w:pPr>
      <w:r>
        <w:rPr>
          <w:noProof/>
        </w:rPr>
        <w:t xml:space="preserve">Όσον αφορά την </w:t>
      </w:r>
      <w:r>
        <w:rPr>
          <w:rFonts w:cstheme="minorBidi"/>
          <w:b/>
          <w:noProof/>
        </w:rPr>
        <w:t>αποδοτικότητα</w:t>
      </w:r>
      <w:r>
        <w:rPr>
          <w:noProof/>
        </w:rPr>
        <w:t>, από την αξιολόγηση, εντός των ορίων των διαθέσιμων στοιχείων, προκύπτει συνολικά ότι τα αποτελέσματα τ</w:t>
      </w:r>
      <w:r>
        <w:rPr>
          <w:noProof/>
        </w:rPr>
        <w:t>ου μέσου επιτεύχθηκαν με εύλογο κόστος όσον αφορά τους ανθρώπινους και δημοσιονομικούς πόρους. Ορισμένα κράτη μέλη θέσπισαν εθνικά μέτρα αποδοτικότητας. Ωστόσο, τα περισσότερα κράτη μέλη αντιμετωπίζουν προβλήματα με την καθοδήγηση της ΕΕ, τους κοινούς δείκ</w:t>
      </w:r>
      <w:r>
        <w:rPr>
          <w:noProof/>
        </w:rPr>
        <w:t>τες και το χρονοδιάγραμμα υποβολής εκθέσεων / παρακολούθησης. Παρά τις βελτιώσεις ως προς την απλούστευση, η εκλαμβανόμενη διοικητική επιβάρυνση μπορεί να θεωρηθεί ότι έχει υπονομεύσει την αποδοτικότητα.</w:t>
      </w:r>
    </w:p>
    <w:p w:rsidR="00E506D3" w:rsidRDefault="00A1386A">
      <w:pPr>
        <w:pBdr>
          <w:top w:val="nil"/>
          <w:left w:val="nil"/>
          <w:bottom w:val="nil"/>
          <w:right w:val="nil"/>
          <w:between w:val="nil"/>
          <w:bar w:val="nil"/>
        </w:pBdr>
        <w:spacing w:before="0" w:after="240"/>
        <w:rPr>
          <w:noProof/>
        </w:rPr>
      </w:pPr>
      <w:r>
        <w:rPr>
          <w:noProof/>
        </w:rPr>
        <w:t>Η ενιαία δέσμη διαδικασιών για τα τρία ταμεία (Ταμεί</w:t>
      </w:r>
      <w:r>
        <w:rPr>
          <w:noProof/>
        </w:rPr>
        <w:t>ο Εσωτερικής Ασφάλειας – Αστυνομική συνεργασία, Ταμείο Εσωτερικής Ασφάλειας – Μέσο για τη διαχείριση των συνόρων και των θεωρήσεων (ΤΕΑ – Σύνορα και Θεωρήσεις) και Ταμείο Ασύλου, Μετανάστευσης και Ένταξης (ΤΑΜΕ)) διαπιστώθηκε ότι οδηγεί στην απλούστευση.</w:t>
      </w:r>
      <w:r>
        <w:rPr>
          <w:noProof/>
        </w:rPr>
        <w:noBreakHyphen/>
        <w:t xml:space="preserve"> </w:t>
      </w:r>
      <w:r>
        <w:rPr>
          <w:noProof/>
        </w:rPr>
        <w:t>Τα ελάχιστα κράτη μέλη που έκαναν χρήση της απλουστευμένης επιλογής κόστους αναγνώρισαν την αποτελεσματικότητά της ως προς τη μείωση της διοικητικής επιβάρυνσης. Εντούτοις, τα μέτρα απλούστευσης και τα μέτρα για τη μείωση της διοικητικής επιβάρυνσης πέτυχα</w:t>
      </w:r>
      <w:r>
        <w:rPr>
          <w:noProof/>
        </w:rPr>
        <w:t>ν εν μέρει τους επιδιωκόμενους στόχους τους. Παρά τις βελτιώσεις ως προς την απλούστευση, υπάρχουν ελάχιστα αποδεικτικά στοιχεία, στο παρόν στάδιο, για σημαντική μείωση της διοικητικής επιβάρυνσης. Τα μέτρα παρακολούθησης, υποβολής εκθέσεων και ελέγχου εκλ</w:t>
      </w:r>
      <w:r>
        <w:rPr>
          <w:noProof/>
        </w:rPr>
        <w:t>αμβάνονται ακόμη ως επαχθή και τα κράτη μέλη ζήτησαν περαιτέρω καθοδήγηση ώστε να συμμορφώνονται με τις απαιτήσεις της ΕΕ. Επίσης, αναφέρθηκε ότι οι απαιτήσεις υποβολής εκθέσεων και η έλλειψη συνάφειας ορισμένων δεικτών επιφέρουν μεγαλύτερη διοικητική επιβ</w:t>
      </w:r>
      <w:r>
        <w:rPr>
          <w:noProof/>
        </w:rPr>
        <w:t>άρυνση.</w:t>
      </w:r>
    </w:p>
    <w:p w:rsidR="00E506D3" w:rsidRDefault="00A1386A">
      <w:pPr>
        <w:pBdr>
          <w:top w:val="nil"/>
          <w:left w:val="nil"/>
          <w:bottom w:val="nil"/>
          <w:right w:val="nil"/>
          <w:between w:val="nil"/>
          <w:bar w:val="nil"/>
        </w:pBdr>
        <w:spacing w:before="0" w:after="240"/>
        <w:rPr>
          <w:noProof/>
        </w:rPr>
      </w:pPr>
      <w:r>
        <w:rPr>
          <w:noProof/>
        </w:rPr>
        <w:t xml:space="preserve">Το αρχικό σκεπτικό και στόχοι του μέσου εξακολουθούν να είναι </w:t>
      </w:r>
      <w:r>
        <w:rPr>
          <w:b/>
          <w:noProof/>
        </w:rPr>
        <w:t>συναφή</w:t>
      </w:r>
      <w:r>
        <w:rPr>
          <w:noProof/>
        </w:rPr>
        <w:t xml:space="preserve"> την επαύριο της κρίσης στον τομέα της μετανάστευσης και της ασφάλειας. Θεσπίστηκαν κατάλληλα μέσα για την εκπλήρωση των μεταβαλλόμενων αναγκών τόσο στο στάδιο προγραμματισμού όσο </w:t>
      </w:r>
      <w:r>
        <w:rPr>
          <w:noProof/>
        </w:rPr>
        <w:t>και στο στάδιο εκτέλεσης. Η ευελιξία που παρέχει το μέσο (δυνατότητα μεταφοράς χρηματοδότησης μεταξύ στόχων) συνέβαλε στην εκπλήρωση των μεταβαλλόμενων αναγκών· ωστόσο, τα κράτη μέλη θα εκτιμούσαν την ακόμη μεγαλύτερη ευελιξία που θα παρείχε η μείωση του α</w:t>
      </w:r>
      <w:r>
        <w:rPr>
          <w:noProof/>
        </w:rPr>
        <w:t>ριθμού εθνικών στόχων και η κατάργηση των ελάχιστων επιπέδων πιστώσεων ανά στόχο.</w:t>
      </w:r>
    </w:p>
    <w:p w:rsidR="00E506D3" w:rsidRDefault="00A1386A">
      <w:pPr>
        <w:pBdr>
          <w:top w:val="nil"/>
          <w:left w:val="nil"/>
          <w:bottom w:val="nil"/>
          <w:right w:val="nil"/>
          <w:between w:val="nil"/>
          <w:bar w:val="nil"/>
        </w:pBdr>
        <w:spacing w:before="0" w:after="240"/>
        <w:rPr>
          <w:noProof/>
        </w:rPr>
      </w:pPr>
      <w:r>
        <w:rPr>
          <w:noProof/>
        </w:rPr>
        <w:t xml:space="preserve">Το μέσο θεωρείται ότι χαρακτηρίζεται από </w:t>
      </w:r>
      <w:r>
        <w:rPr>
          <w:b/>
          <w:noProof/>
        </w:rPr>
        <w:t>συνοχή</w:t>
      </w:r>
      <w:r>
        <w:rPr>
          <w:noProof/>
        </w:rPr>
        <w:t xml:space="preserve"> και ότι οι στόχοι του είναι </w:t>
      </w:r>
      <w:r>
        <w:rPr>
          <w:b/>
          <w:noProof/>
        </w:rPr>
        <w:t>συμπληρωματικοί</w:t>
      </w:r>
      <w:r>
        <w:rPr>
          <w:noProof/>
        </w:rPr>
        <w:t xml:space="preserve"> προς τους στόχους άλλων εθνικών πολιτικών. Η συνοχή και η συμπληρωματικότητα με άλ</w:t>
      </w:r>
      <w:r>
        <w:rPr>
          <w:noProof/>
        </w:rPr>
        <w:t>λα χρηματοδοτικά μέσα της ΕΕ διασφαλίστηκαν κατά τα στάδια σχεδιασμού, προγραμματισμού και εκτέλεσης. Θεσπίστηκαν μηχανισμοί συντονισμού ώστε να διασφαλίζεται η συνοχή και η συμπληρωματικότητα κατά το στάδιο εκτέλεσης. Η επιτροπή παρακολούθησης και οι αρμό</w:t>
      </w:r>
      <w:r>
        <w:rPr>
          <w:noProof/>
        </w:rPr>
        <w:t xml:space="preserve">διες αρχές παίζουν βασικό ρόλο στη διασφάλιση της συνοχής. Οι διάφορες μέθοδοι εκτέλεσης είναι αλληλοσυμπληρωματικές. Ωστόσο, φαίνεται να υπάρχει κάποιο περιθώριο βελτίωσης σε σχέση με τους οργανισμούς της ΕΕ και τη συνοχή, καθώς ο βαθμός ευαισθητοποίησης </w:t>
      </w:r>
      <w:r>
        <w:rPr>
          <w:noProof/>
        </w:rPr>
        <w:t>των δικαιούχων σχετικά με τις δράσεις και τα σχέδια στο πλαίσιο του ΤΕΑ είναι πολύ μικρός.</w:t>
      </w:r>
    </w:p>
    <w:p w:rsidR="00E506D3" w:rsidRDefault="00A1386A">
      <w:pPr>
        <w:pBdr>
          <w:top w:val="nil"/>
          <w:left w:val="nil"/>
          <w:bottom w:val="nil"/>
          <w:right w:val="nil"/>
          <w:between w:val="nil"/>
          <w:bar w:val="nil"/>
        </w:pBdr>
        <w:spacing w:before="0" w:after="240"/>
        <w:rPr>
          <w:noProof/>
        </w:rPr>
      </w:pPr>
      <w:r>
        <w:rPr>
          <w:noProof/>
        </w:rPr>
        <w:t xml:space="preserve">Συνολικά, το μέσο διασφάλισε </w:t>
      </w:r>
      <w:r>
        <w:rPr>
          <w:b/>
          <w:noProof/>
        </w:rPr>
        <w:t>ευρωπαϊκή προστιθέμενη αξία</w:t>
      </w:r>
      <w:r>
        <w:rPr>
          <w:noProof/>
        </w:rPr>
        <w:t xml:space="preserve"> όσον αφορά τη βελτίωση της διασυνοριακής συνεργασίας, την ανταλλαγή γνώσεων και ορθών πρακτικών, της εμπιστο</w:t>
      </w:r>
      <w:r>
        <w:rPr>
          <w:noProof/>
        </w:rPr>
        <w:t>σύνης μεταξύ των αρχών επιβολής του νόμου των κρατών μελών και της εφαρμογής και υλοποίησης βασικών πολιτικών της ΕΕ (επιδράσεις διαδικασιών). Επίσης, συνέβαλε στη διεύρυνση του πεδίου εφαρμογής και τη βελτίωση της ποιότητας των δράσεων όσον αφορά τις επεν</w:t>
      </w:r>
      <w:r>
        <w:rPr>
          <w:noProof/>
        </w:rPr>
        <w:t>δύσεις σε τομείς στους οποίους δεν δίνεται η δέουσα προτεραιότητα ή οι οποίοι είναι πολύ εξειδικευμένοι. Η αγορά υπερσύγχρονου εξοπλισμού ενίσχυσε την ικανότητα των εθνικών αρχών να διενεργούν εξειδικευμένες παρεμβάσεις με ευρύτερο πεδίο εφαρμογής. Το μέσο</w:t>
      </w:r>
      <w:r>
        <w:rPr>
          <w:noProof/>
        </w:rPr>
        <w:t xml:space="preserve"> οδήγησε επίσης σε διεύρυνση των τύπων ανταλλαγής γνώσεων και κατάρτισης σχετικά με την επιβολή του νόμου (επιδράσεις πεδίου εφαρμογής). Συνέβαλε στην εναρμόνιση της έρευνας σε επίπεδο ΕΕ σχετικά με την πρόληψη του εγκλήματος, διευκόλυνε την αύξηση των επε</w:t>
      </w:r>
      <w:r>
        <w:rPr>
          <w:noProof/>
        </w:rPr>
        <w:t>νδύσεων και επικεντρώθηκε σε μακροπρόθεσμα μέτρα σε αυτόν τον τομέα. Επίσης, έδωσε τη δυνατότητα για μεγάλο όγκο επενδύσεων, ιδίως σε συστήματα ΤΠ κατάρτιση και εξειδικευμένο εξοπλισμό (επιδράσεις μεγέθους). Η απουσία χρηματοδότησης του ΤΕΑ Αστυνομική συνε</w:t>
      </w:r>
      <w:r>
        <w:rPr>
          <w:noProof/>
        </w:rPr>
        <w:t>ργασία θα μπορούσε να αποβεί επιζήμια για την ποιότητα της ανταπόκρισης της ΕΕ στη διασυνοριακή συνεργασία και για την ικανότητα των κρατών μελών να εφαρμόζουν καινοτόμες λύσεις (επιδράσεις προτύπου).</w:t>
      </w:r>
    </w:p>
    <w:p w:rsidR="00E506D3" w:rsidRDefault="00A1386A">
      <w:pPr>
        <w:pBdr>
          <w:top w:val="nil"/>
          <w:left w:val="nil"/>
          <w:bottom w:val="nil"/>
          <w:right w:val="nil"/>
          <w:between w:val="nil"/>
          <w:bar w:val="nil"/>
        </w:pBdr>
        <w:spacing w:before="0" w:after="240"/>
        <w:rPr>
          <w:noProof/>
        </w:rPr>
      </w:pPr>
      <w:r>
        <w:rPr>
          <w:noProof/>
        </w:rPr>
        <w:t>Η βιωσιμότητα του μέσου διασφαλίστηκε μέσω ευθυγράμμιση</w:t>
      </w:r>
      <w:r>
        <w:rPr>
          <w:noProof/>
        </w:rPr>
        <w:t>ς και συμπληρωματικότητας των δράσεών του με δράσεις που αναπτύχθηκαν προς ανταπόκριση σε εθνικές προτεραιότητες ή απαιτήσεις της ΕΕ. Θεσπίστηκαν ολοκληρωμένα μέτρα και μέσα που διασφαλίζουν τη βιωσιμότητα κατά τα στάδια προγραμματισμού και εκτέλεσης, τόσο</w:t>
      </w:r>
      <w:r>
        <w:rPr>
          <w:noProof/>
        </w:rPr>
        <w:t xml:space="preserve"> στο πλαίσιο της επιμερισμένης όσο και στο πλαίσιο της άμεσης διαχείρισης. Εντούτοις, η εν εξελίξει υλοποίησης της πλειονότητας των σχεδίων καθιστά δύσκολο τον καθορισμό του κατά πόσο τα αποτελέσματα στις ομάδες-στόχους και σε συγκεκριμένους τομείς θα εξακ</w:t>
      </w:r>
      <w:r>
        <w:rPr>
          <w:noProof/>
        </w:rPr>
        <w:t>ολουθήσουν να διαρκούν.</w:t>
      </w:r>
    </w:p>
    <w:p w:rsidR="00E506D3" w:rsidRDefault="00A1386A">
      <w:pPr>
        <w:pStyle w:val="ManualHeading2"/>
        <w:spacing w:before="0" w:after="240"/>
        <w:rPr>
          <w:rFonts w:eastAsia="Arial Unicode MS"/>
          <w:noProof/>
          <w:u w:color="000000"/>
          <w:bdr w:val="nil"/>
        </w:rPr>
      </w:pPr>
      <w:r>
        <w:rPr>
          <w:noProof/>
        </w:rPr>
        <w:t>•</w:t>
      </w:r>
      <w:r>
        <w:rPr>
          <w:noProof/>
        </w:rPr>
        <w:tab/>
        <w:t>Διαβουλεύσεις με τα ενδιαφερόμενα μέρη</w:t>
      </w:r>
    </w:p>
    <w:p w:rsidR="00E506D3" w:rsidRDefault="00A1386A">
      <w:pPr>
        <w:pBdr>
          <w:top w:val="nil"/>
          <w:left w:val="nil"/>
          <w:bottom w:val="nil"/>
          <w:right w:val="nil"/>
          <w:between w:val="nil"/>
          <w:bar w:val="nil"/>
        </w:pBdr>
        <w:spacing w:before="0" w:after="240"/>
        <w:rPr>
          <w:noProof/>
        </w:rPr>
      </w:pPr>
      <w:r>
        <w:rPr>
          <w:noProof/>
        </w:rPr>
        <w:t>Μεταξύ 10ης Ιανουαρίου και 9ης Μαρτίου 2018 πραγματοποιήθηκαν δύο ειδικές ανοικτές δημόσιες διαβουλεύσεις σχετικά με τα κεφάλαια της ΕΕ στους τομείς της μετανάστευσης και της ασφάλειας. Συνολ</w:t>
      </w:r>
      <w:r>
        <w:rPr>
          <w:noProof/>
        </w:rPr>
        <w:t>ικά, οι ερωτηθέντες τόνισαν ιδιαίτερα την ανάγκη για απλούστευση της υλοποίησης χρηματοδοτικών μέσων για τις εσωτερικές υποθέσεις, για μεγαλύτερη ευελιξία (ιδίως σε σχέση με την ικανότητα ανταπόκρισης σε κρίσεις σε σχέση µε τη μετανάστευση και την ασφάλεια</w:t>
      </w:r>
      <w:r>
        <w:rPr>
          <w:noProof/>
        </w:rPr>
        <w:noBreakHyphen/>
        <w:t>) και για αυξημένη χρηματοδότηση και στήριξη σε τομείς με υψηλά επίπεδα επιμερισμού των ευθυνών (άσυλο και διαχείριση των συνόρων) και/ή για συνεργασία μεταξύ των κρατών μελών και με τους οργανισμούς του τομέα των εσωτερικών υποθέσεων. Οι απαντήσεις δείχν</w:t>
      </w:r>
      <w:r>
        <w:rPr>
          <w:noProof/>
        </w:rPr>
        <w:t>ουν ότι τα εν λόγω μέτρα μπορούν να βελτιώσουν την αποτελεσματικότητα και την αποδοτικότητα των μέσων και την ευρωπαϊκή προστιθέμενη αξία. Οι ενδιαφερόμενοι επισήμαναν επίσης την ανάγκη για μεγαλύτερη πολιτική μόχλευση στον τομέα της εσωτερικής πολιτικής σ</w:t>
      </w:r>
      <w:r>
        <w:rPr>
          <w:noProof/>
        </w:rPr>
        <w:t>τις τρίτες χώρες.</w:t>
      </w:r>
    </w:p>
    <w:p w:rsidR="00E506D3" w:rsidRDefault="00A1386A">
      <w:pPr>
        <w:pBdr>
          <w:top w:val="nil"/>
          <w:left w:val="nil"/>
          <w:bottom w:val="nil"/>
          <w:right w:val="nil"/>
          <w:between w:val="nil"/>
          <w:bar w:val="nil"/>
        </w:pBdr>
        <w:spacing w:before="0" w:after="240"/>
        <w:rPr>
          <w:noProof/>
        </w:rPr>
      </w:pPr>
      <w:r>
        <w:rPr>
          <w:noProof/>
        </w:rPr>
        <w:t>Ζητήθηκε η γνώμη των αρμόδιων αρχών των κρατών μελών στο πλαίσιο της επιτροπής ΤΑΜΕ-ΤΕΑ. Τα κράτη μέλη παρείχαν στοιχεία σχετικά με τις κύριες προτεραιότητες χρηματοδότησης, τα προβλήματα, την αρχιτεκτονική των ταμείων και τους τρόπους υλ</w:t>
      </w:r>
      <w:r>
        <w:rPr>
          <w:noProof/>
        </w:rPr>
        <w:t>οποίησης. Ζητήθηκε και η γνώμη βασικών ενδιαφερόμενων μερών και δικαιούχων χρηματοδότησης από το ΤΑΜΕ και το ΤΕΑ υπό άμεση και έμμεση διαχείριση, όπως διεθνείς οργανισμοί και οργανώσεις της κοινωνίας των πολιτών, καθώς και των οργανισμών του τομέα των εσωτ</w:t>
      </w:r>
      <w:r>
        <w:rPr>
          <w:noProof/>
        </w:rPr>
        <w:t>ερικών υποθέσεων.</w:t>
      </w:r>
    </w:p>
    <w:p w:rsidR="00E506D3" w:rsidRDefault="00A1386A">
      <w:pPr>
        <w:pBdr>
          <w:top w:val="nil"/>
          <w:left w:val="nil"/>
          <w:bottom w:val="nil"/>
          <w:right w:val="nil"/>
          <w:between w:val="nil"/>
          <w:bar w:val="nil"/>
        </w:pBdr>
        <w:spacing w:before="0" w:after="240"/>
        <w:rPr>
          <w:noProof/>
        </w:rPr>
      </w:pPr>
      <w:r>
        <w:rPr>
          <w:noProof/>
        </w:rPr>
        <w:t>Τα ενδιαφερόμενα μέρη συμφώνησαν ότι προκειμένου να μεγιστοποιηθεί η ευρωπαϊκή προστιθέμενη αξία, οι δαπάνες της ΕΕ θα πρέπει να αντανακλούν προτεραιότητες σε επίπεδο ΕΕ και δεσμεύσεις πολιτικής, καθώς και να στηρίζουν την εφαρμογή του κε</w:t>
      </w:r>
      <w:r>
        <w:rPr>
          <w:noProof/>
        </w:rPr>
        <w:t>κτημένου των εσωτερικών υποθέσεων της ΕΕ. Ζήτησαν την παροχή επαρκούς χρηματοδότησης για την αντιμετώπιση υφιστάμενων και αναδυόμενων προκλήσεων. Επαρκής χρηματοδότηση θα πρέπει να διατεθεί και για τους οργανισμούς του τομέα των εσωτερικών υποθέσεων, σύμφω</w:t>
      </w:r>
      <w:r>
        <w:rPr>
          <w:noProof/>
        </w:rPr>
        <w:t>να με τις αυξανόμενες δραστηριότητές τους. Τα ενδιαφερόμενα μέρη συμφώνησαν ότι υπάρχει ανάγκη να ενσωματωθεί μεγαλύτερη ευελιξία στη διάρθρωση των ταμείων. Διαπίστωσαν ότι, προκειμένου να υπάρξει επαρκής ευελιξία ώστε να υπάρχει δυνατότητα ανταπόκρισης στ</w:t>
      </w:r>
      <w:r>
        <w:rPr>
          <w:noProof/>
        </w:rPr>
        <w:t>ις μεταβαλλόμενες περιστάσεις, θα πρέπει να διατηρηθούν πολυετή εθνικά προγράμματα. Οι μη κυβερνητικές οργανώσεις ήταν της άποψης ότι θα πρέπει να συνεχιστεί και η άμεση διαχείριση.</w:t>
      </w:r>
    </w:p>
    <w:p w:rsidR="00E506D3" w:rsidRDefault="00A1386A">
      <w:pPr>
        <w:pBdr>
          <w:top w:val="nil"/>
          <w:left w:val="nil"/>
          <w:bottom w:val="nil"/>
          <w:right w:val="nil"/>
          <w:between w:val="nil"/>
          <w:bar w:val="nil"/>
        </w:pBdr>
        <w:spacing w:before="0" w:after="240"/>
        <w:rPr>
          <w:rFonts w:eastAsia="Arial Unicode MS"/>
          <w:noProof/>
        </w:rPr>
      </w:pPr>
      <w:r>
        <w:rPr>
          <w:noProof/>
        </w:rPr>
        <w:t>Από τις διαβουλεύσεις αυτές επιβεβαιώθηκε η ύπαρξη γενικής συναίνεσης μετα</w:t>
      </w:r>
      <w:r>
        <w:rPr>
          <w:noProof/>
        </w:rPr>
        <w:t>ξύ των βασικών ενδιαφερόμενων μερών σχετικά με την ανάγκη διατήρησης ευρέος πεδίου δράσης για χρηματοδότηση της ΕΕ, μεταξύ άλλων όσον αφορά την εξωτερική του διάσταση, το οποίο ενισχύει τον αντίκτυπο των πολιτικών στον τομέα των εσωτερικών υποθέσεων, την α</w:t>
      </w:r>
      <w:r>
        <w:rPr>
          <w:noProof/>
        </w:rPr>
        <w:t>ύξηση της απλούστευσης στους μηχανισμούς υλοποίησης και τη μεγαλύτερη ευελιξία, ιδίως για την ανταπόκριση σε έκτακτες καταστάσεις.</w:t>
      </w:r>
    </w:p>
    <w:p w:rsidR="00E506D3" w:rsidRDefault="00A1386A">
      <w:pPr>
        <w:pStyle w:val="ManualHeading2"/>
        <w:spacing w:before="0" w:after="240"/>
        <w:rPr>
          <w:rFonts w:eastAsia="Arial Unicode MS"/>
          <w:noProof/>
          <w:u w:color="000000"/>
          <w:bdr w:val="nil"/>
        </w:rPr>
      </w:pPr>
      <w:r>
        <w:rPr>
          <w:noProof/>
        </w:rPr>
        <w:t>•</w:t>
      </w:r>
      <w:r>
        <w:rPr>
          <w:noProof/>
        </w:rPr>
        <w:tab/>
        <w:t>Συλλογή και χρήση εμπειρογνωσίας</w:t>
      </w:r>
    </w:p>
    <w:p w:rsidR="00E506D3" w:rsidRDefault="00A1386A">
      <w:pPr>
        <w:pBdr>
          <w:top w:val="nil"/>
          <w:left w:val="nil"/>
          <w:bottom w:val="nil"/>
          <w:right w:val="nil"/>
          <w:between w:val="nil"/>
          <w:bar w:val="nil"/>
        </w:pBdr>
        <w:spacing w:before="0" w:after="240"/>
        <w:rPr>
          <w:rFonts w:eastAsia="Arial Unicode MS"/>
          <w:noProof/>
        </w:rPr>
      </w:pPr>
      <w:r>
        <w:rPr>
          <w:noProof/>
        </w:rPr>
        <w:t>Οι εργασίες της προετοιμασίας των μελλοντικών χρηματοδοτικών μέσων για τις εσωτερικές υποθ</w:t>
      </w:r>
      <w:r>
        <w:rPr>
          <w:noProof/>
        </w:rPr>
        <w:t>έσεις άρχισαν το 2016 και συνεχίστηκαν το 2017 και το 2018. Στο πλαίσιο των εργασιών αυτών, το 2017 εκπονήθηκαν μελέτες ΠΔΠ προς στήριξη της εκτίμησης επιπτώσεων που δρομολογήθηκε τον Σεπτέμβριο του 2017. Οι εν λόγω μελέτες συνένωσαν τα διαθέσιμα αποτελέσμ</w:t>
      </w:r>
      <w:r>
        <w:rPr>
          <w:noProof/>
        </w:rPr>
        <w:t xml:space="preserve">ατα από αξιολογήσεις των υφιστάμενων χρηματοδοτικών μέσων και από διαβουλεύσεις με τα ενδιαφερόμενα μέρη, και διερεύνησαν τα προβλήματα, τους στόχους και τις επιλογές πολιτικής, συμπεριλαμβανομένου του πιθανού αντίκτυπού τους, όπως μελετάται στην εκτίμηση </w:t>
      </w:r>
      <w:r>
        <w:rPr>
          <w:noProof/>
        </w:rPr>
        <w:t>επιπτώσεων.</w:t>
      </w:r>
    </w:p>
    <w:p w:rsidR="00E506D3" w:rsidRDefault="00A1386A">
      <w:pPr>
        <w:pStyle w:val="ManualHeading2"/>
        <w:spacing w:before="0" w:after="240"/>
        <w:rPr>
          <w:rFonts w:eastAsia="Arial Unicode MS"/>
          <w:noProof/>
          <w:u w:color="000000"/>
          <w:bdr w:val="nil"/>
        </w:rPr>
      </w:pPr>
      <w:r>
        <w:rPr>
          <w:noProof/>
        </w:rPr>
        <w:t>•</w:t>
      </w:r>
      <w:r>
        <w:rPr>
          <w:noProof/>
        </w:rPr>
        <w:tab/>
        <w:t>Εκτίμηση επιπτώσεων</w:t>
      </w:r>
    </w:p>
    <w:p w:rsidR="00E506D3" w:rsidRDefault="00A1386A">
      <w:pPr>
        <w:pBdr>
          <w:top w:val="nil"/>
          <w:left w:val="nil"/>
          <w:bottom w:val="nil"/>
          <w:right w:val="nil"/>
          <w:between w:val="nil"/>
          <w:bar w:val="nil"/>
        </w:pBdr>
        <w:spacing w:before="0" w:after="240"/>
        <w:rPr>
          <w:noProof/>
        </w:rPr>
      </w:pPr>
      <w:r>
        <w:rPr>
          <w:noProof/>
        </w:rPr>
        <w:t xml:space="preserve">Για την πρόταση πραγματοποιήθηκε εκτίμηση επιπτώσεων. Η εκτίμηση επιπτώσεων κάλυψε τα εξής: το Ταμείο Ασύλου και Μετανάστευσης, το Ταμείο Εσωτερικής Ασφάλειας και το Ταμείο για την Ολοκληρωμένη Διαχείριση των Συνόρων, που </w:t>
      </w:r>
      <w:r>
        <w:rPr>
          <w:noProof/>
        </w:rPr>
        <w:t>αποτελείται από το μέσο για τη διαχείριση των συνόρων και των θεωρήσεων και το μέσο για τον εξοπλισμό τελωνειακών ελέγχων. Το συνοπτικό δελτίο της εκτίμησης επιπτώσεων και η θετική γνώμη της επιτροπής ρυθμιστικού ελέγχου διατίθενται μέσω του ακόλουθου δικτ</w:t>
      </w:r>
      <w:r>
        <w:rPr>
          <w:noProof/>
        </w:rPr>
        <w:t xml:space="preserve">υακού τόπου: </w:t>
      </w:r>
      <w:hyperlink r:id="rId16">
        <w:r>
          <w:rPr>
            <w:rStyle w:val="Hyperlink"/>
            <w:noProof/>
          </w:rPr>
          <w:t>http://ec.europa.eu/transparency/regdoc/?fuseaction=ia</w:t>
        </w:r>
      </w:hyperlink>
      <w:r>
        <w:rPr>
          <w:noProof/>
        </w:rPr>
        <w:t>.</w:t>
      </w:r>
    </w:p>
    <w:p w:rsidR="00E506D3" w:rsidRDefault="00A1386A">
      <w:pPr>
        <w:pBdr>
          <w:top w:val="nil"/>
          <w:left w:val="nil"/>
          <w:bottom w:val="nil"/>
          <w:right w:val="nil"/>
          <w:between w:val="nil"/>
          <w:bar w:val="nil"/>
        </w:pBdr>
        <w:spacing w:before="0" w:after="240"/>
        <w:rPr>
          <w:rFonts w:eastAsia="Arial Unicode MS"/>
          <w:noProof/>
        </w:rPr>
      </w:pPr>
      <w:r>
        <w:rPr>
          <w:noProof/>
        </w:rPr>
        <w:t>Η έκθεση της εκτίμησης επιπτώσεων αναλύει διάφορες επιλογές πολιτικής σε σχέση με τον τρόπο παροχής της χρηματοδό</w:t>
      </w:r>
      <w:r>
        <w:rPr>
          <w:noProof/>
        </w:rPr>
        <w:t>τησης, και αντιμετωπίζει τη συνοχή και τη συμπληρωματικότητα με άλλα χρηματοδοτικά μέσα της ΕΕ, την εξωτερική διάσταση της μετανάστευσης και της χρηματοδότησης της ασφάλειας, την ευελιξία σε ένα σταθερό χρηματοοικονομικό περιβάλλον (συμπεριλαμβανομένου του</w:t>
      </w:r>
      <w:r>
        <w:rPr>
          <w:noProof/>
        </w:rPr>
        <w:t xml:space="preserve"> θεματικού μέσου), τους όρους εκτέλεσης (επιμερισμένη, άμεση και έμμεση διαχείριση), τη δυνατότητα παροχής βοήθειας έκτακτης ανάγκης, καθώς και τον μηχανισμό ενδιάμεσης επανεξέτασης. Η προτιμώμενη επιλογή είναι συνδυασμός επιλογών που βασίζονται στα αποτελ</w:t>
      </w:r>
      <w:r>
        <w:rPr>
          <w:noProof/>
        </w:rPr>
        <w:t>έσματα και τις συστάσεις της εκ των υστέρων αξιολόγησης προηγούμενων Ταμείων (περίοδος προγραμματισμού 2007-2013) και τις ενδιάμεσες αξιολογήσεις των υφιστάμενων Ταμείων (περίοδος προγραμματισμού 2014-2020).</w:t>
      </w:r>
    </w:p>
    <w:p w:rsidR="00E506D3" w:rsidRDefault="00A1386A">
      <w:pPr>
        <w:pBdr>
          <w:top w:val="nil"/>
          <w:left w:val="nil"/>
          <w:bottom w:val="nil"/>
          <w:right w:val="nil"/>
          <w:between w:val="nil"/>
          <w:bar w:val="nil"/>
        </w:pBdr>
        <w:spacing w:before="0" w:after="240"/>
        <w:rPr>
          <w:noProof/>
        </w:rPr>
      </w:pPr>
      <w:r>
        <w:rPr>
          <w:noProof/>
        </w:rPr>
        <w:t>Η εκτίμηση επιπτώσεων εξετάζει τις συστάσεις της</w:t>
      </w:r>
      <w:r>
        <w:rPr>
          <w:noProof/>
        </w:rPr>
        <w:t xml:space="preserve"> επιτροπής ρυθμιστικού ελέγχου. Ο παρακάτω πίνακας περιγράφει τις βασικές παρατηρήσεις και συστάσεις για βελτίωση που ελήφθησαν για το Ταμείο Ασύλου και Μετανάστευσης, το μέσο για τη διαχείριση των συνόρων και των θεωρήσεων (στο πλαίσιο του Ταμείου για την</w:t>
      </w:r>
      <w:r>
        <w:rPr>
          <w:noProof/>
        </w:rPr>
        <w:t xml:space="preserve"> Ολοκληρωμένη Διαχείριση των Συνόρων) και το Ταμείο Εσωτερικής Ασφάλειας και τον τρόπο τροποποίησης της έκθεσης εκτίμησης επιπτώσεων ώστε να αποτυπώνει τις εν λόγω παρατηρήσεις και συστάσεις.</w:t>
      </w:r>
    </w:p>
    <w:tbl>
      <w:tblPr>
        <w:tblStyle w:val="CV11"/>
        <w:tblW w:w="0" w:type="auto"/>
        <w:tblLook w:val="04A0" w:firstRow="1" w:lastRow="0" w:firstColumn="1" w:lastColumn="0" w:noHBand="0" w:noVBand="1"/>
      </w:tblPr>
      <w:tblGrid>
        <w:gridCol w:w="4614"/>
        <w:gridCol w:w="4614"/>
      </w:tblGrid>
      <w:tr w:rsidR="00E506D3">
        <w:tc>
          <w:tcPr>
            <w:tcW w:w="4614" w:type="dxa"/>
          </w:tcPr>
          <w:p w:rsidR="00E506D3" w:rsidRDefault="00A1386A">
            <w:pPr>
              <w:spacing w:before="360"/>
              <w:jc w:val="center"/>
              <w:rPr>
                <w:rFonts w:eastAsiaTheme="minorHAnsi"/>
                <w:b/>
                <w:noProof/>
                <w:sz w:val="20"/>
              </w:rPr>
            </w:pPr>
            <w:r>
              <w:rPr>
                <w:rFonts w:eastAsiaTheme="minorHAnsi"/>
                <w:b/>
                <w:noProof/>
                <w:sz w:val="20"/>
              </w:rPr>
              <w:t xml:space="preserve">Βασικές παρατηρήσεις – Επιτροπή ρυθμιστικού ελέγχου </w:t>
            </w:r>
          </w:p>
        </w:tc>
        <w:tc>
          <w:tcPr>
            <w:tcW w:w="4614" w:type="dxa"/>
          </w:tcPr>
          <w:p w:rsidR="00E506D3" w:rsidRDefault="00A1386A">
            <w:pPr>
              <w:spacing w:before="360"/>
              <w:jc w:val="center"/>
              <w:rPr>
                <w:rFonts w:eastAsiaTheme="minorHAnsi"/>
                <w:b/>
                <w:noProof/>
                <w:sz w:val="20"/>
              </w:rPr>
            </w:pPr>
            <w:r>
              <w:rPr>
                <w:rFonts w:eastAsiaTheme="minorHAnsi"/>
                <w:b/>
                <w:noProof/>
                <w:sz w:val="20"/>
              </w:rPr>
              <w:t>Τροποποίηση</w:t>
            </w:r>
            <w:r>
              <w:rPr>
                <w:rFonts w:eastAsiaTheme="minorHAnsi"/>
                <w:b/>
                <w:noProof/>
                <w:sz w:val="20"/>
              </w:rPr>
              <w:t xml:space="preserve"> της έκθεσης εκτίμησης επιπτώσεων</w:t>
            </w:r>
          </w:p>
        </w:tc>
      </w:tr>
      <w:tr w:rsidR="00E506D3">
        <w:tc>
          <w:tcPr>
            <w:tcW w:w="4614" w:type="dxa"/>
          </w:tcPr>
          <w:p w:rsidR="00E506D3" w:rsidRDefault="00A1386A">
            <w:pPr>
              <w:spacing w:before="360"/>
              <w:rPr>
                <w:rFonts w:eastAsiaTheme="minorHAnsi"/>
                <w:noProof/>
                <w:sz w:val="20"/>
              </w:rPr>
            </w:pPr>
            <w:r>
              <w:rPr>
                <w:rFonts w:eastAsiaTheme="minorHAnsi"/>
                <w:noProof/>
                <w:sz w:val="20"/>
              </w:rPr>
              <w:t xml:space="preserve">Η έκθεση δεν εξηγεί πώς η αύξηση των αρμοδιοτήτων της ΕΕ στους εν λόγω τομείς [των εσωτερικών υποθέσεων] και ο διευρυμένος ρόλος των οργανισμών θα επηρεάσει το συνολικό σύστημα. </w:t>
            </w:r>
          </w:p>
        </w:tc>
        <w:tc>
          <w:tcPr>
            <w:tcW w:w="4614" w:type="dxa"/>
          </w:tcPr>
          <w:p w:rsidR="00E506D3" w:rsidRDefault="00A1386A">
            <w:pPr>
              <w:spacing w:before="360"/>
              <w:rPr>
                <w:rFonts w:eastAsiaTheme="minorHAnsi"/>
                <w:noProof/>
                <w:sz w:val="20"/>
              </w:rPr>
            </w:pPr>
            <w:r>
              <w:rPr>
                <w:rFonts w:eastAsiaTheme="minorHAnsi"/>
                <w:noProof/>
                <w:sz w:val="20"/>
              </w:rPr>
              <w:t>Όσον αφορά το Ταμείο για το Άσυλο και τη Μ</w:t>
            </w:r>
            <w:r>
              <w:rPr>
                <w:rFonts w:eastAsiaTheme="minorHAnsi"/>
                <w:noProof/>
                <w:sz w:val="20"/>
              </w:rPr>
              <w:t>ετανάστευση, το μέσο για τη διαχείριση των συνόρων και των θεωρήσεων (στο πλαίσιο του Ταμείου για την Ολοκληρωμένη Διαχείριση των Συνόρων) και το Ταμείο Εσωτερικής Ασφάλειας, η έκθεση αναθεωρήθηκε ώστε να εξηγεί τον τρόπο με τον οποίο η διεύρυνση των αρμοδ</w:t>
            </w:r>
            <w:r>
              <w:rPr>
                <w:rFonts w:eastAsiaTheme="minorHAnsi"/>
                <w:noProof/>
                <w:sz w:val="20"/>
              </w:rPr>
              <w:t>ιοτήτων της ΕΕ και η μεγέθυνση του ρόλου των οργανισμών επηρεάζει τους ρόλους των αντίστοιχων Ταμείων (τμήμα 3.2). Με κεντρικό ρόλο στην υλοποίηση των πολιτικών της Ένωσης για τη μετανάστευση και την ασφάλεια, οι οργανισμοί του τομέα των εσωτερικών υποθέσε</w:t>
            </w:r>
            <w:r>
              <w:rPr>
                <w:rFonts w:eastAsiaTheme="minorHAnsi"/>
                <w:noProof/>
                <w:sz w:val="20"/>
              </w:rPr>
              <w:t>ων θα έχουν σημαντικό ρόλο κατά το στάδιο προγραμματισμού των εθνικών προγραμμάτων, ενώ οι δραστηριότητες παρακολούθησης θα τροφοδοτήσουν την ενδιάμεση επανεξέταση. Τυχόν διεύρυνση της εντολής των οργανισμών δεν θα είχε ως στόχο την αντικατάσταση των τρεχό</w:t>
            </w:r>
            <w:r>
              <w:rPr>
                <w:rFonts w:eastAsiaTheme="minorHAnsi"/>
                <w:noProof/>
                <w:sz w:val="20"/>
              </w:rPr>
              <w:t>ντων καθηκόντων που επιτελούν τα κράτη μέλη, αλλά μάλλον την ενίσχυση και αναβάθμιση των δράσεων της Ένωσης και των κρατών μελών της στον τομέα της μετανάστευσης, της διαχείρισης των συνόρων και της ασφάλειας</w:t>
            </w:r>
          </w:p>
        </w:tc>
      </w:tr>
      <w:tr w:rsidR="00E506D3">
        <w:tc>
          <w:tcPr>
            <w:tcW w:w="4614" w:type="dxa"/>
          </w:tcPr>
          <w:p w:rsidR="00E506D3" w:rsidRDefault="00A1386A">
            <w:pPr>
              <w:spacing w:before="360"/>
              <w:jc w:val="center"/>
              <w:rPr>
                <w:rFonts w:eastAsiaTheme="minorHAnsi"/>
                <w:b/>
                <w:noProof/>
                <w:sz w:val="20"/>
              </w:rPr>
            </w:pPr>
            <w:r>
              <w:rPr>
                <w:rFonts w:eastAsiaTheme="minorHAnsi"/>
                <w:b/>
                <w:noProof/>
                <w:sz w:val="20"/>
              </w:rPr>
              <w:t>Περαιτέρω παρατηρήσεις και συστάσεις για βελτί</w:t>
            </w:r>
            <w:r>
              <w:rPr>
                <w:rFonts w:eastAsiaTheme="minorHAnsi"/>
                <w:b/>
                <w:noProof/>
                <w:sz w:val="20"/>
              </w:rPr>
              <w:t>ωση</w:t>
            </w:r>
          </w:p>
        </w:tc>
        <w:tc>
          <w:tcPr>
            <w:tcW w:w="4614" w:type="dxa"/>
          </w:tcPr>
          <w:p w:rsidR="00E506D3" w:rsidRDefault="00A1386A">
            <w:pPr>
              <w:spacing w:before="360"/>
              <w:jc w:val="center"/>
              <w:rPr>
                <w:rFonts w:eastAsiaTheme="minorHAnsi"/>
                <w:b/>
                <w:noProof/>
                <w:sz w:val="20"/>
              </w:rPr>
            </w:pPr>
            <w:r>
              <w:rPr>
                <w:rFonts w:eastAsiaTheme="minorHAnsi"/>
                <w:b/>
                <w:noProof/>
                <w:sz w:val="20"/>
              </w:rPr>
              <w:t>Τροποποιήσεις της έκθεσης εκτίμησης επιπτώσεων</w:t>
            </w:r>
          </w:p>
        </w:tc>
      </w:tr>
      <w:tr w:rsidR="00E506D3">
        <w:tc>
          <w:tcPr>
            <w:tcW w:w="4614" w:type="dxa"/>
          </w:tcPr>
          <w:p w:rsidR="00E506D3" w:rsidRDefault="00A1386A">
            <w:pPr>
              <w:spacing w:before="0"/>
              <w:rPr>
                <w:rFonts w:eastAsiaTheme="minorHAnsi"/>
                <w:noProof/>
                <w:sz w:val="20"/>
              </w:rPr>
            </w:pPr>
            <w:r>
              <w:rPr>
                <w:rFonts w:eastAsiaTheme="minorHAnsi"/>
                <w:noProof/>
                <w:sz w:val="20"/>
              </w:rPr>
              <w:t xml:space="preserve">1) Η έκθεση θα πρέπει να παρουσιάζει τις βασικές προκλήσεις στη δομή του προγράμματος και τις προτεραιότητες σε σχέση με την τρέχουσα περίοδο προγραμματισμού. Επιπλέον, η έκθεση θα πρέπει να διευκρινίζει </w:t>
            </w:r>
            <w:r>
              <w:rPr>
                <w:rFonts w:eastAsiaTheme="minorHAnsi"/>
                <w:noProof/>
                <w:sz w:val="20"/>
              </w:rPr>
              <w:t>το πεδίο της εξωτερικής συνιστώσας του προγράμματος, δηλαδή τη συμπληρωματικότητά του με τα εξωτερικά μέσα.</w:t>
            </w:r>
          </w:p>
        </w:tc>
        <w:tc>
          <w:tcPr>
            <w:tcW w:w="4614" w:type="dxa"/>
          </w:tcPr>
          <w:p w:rsidR="00E506D3" w:rsidRDefault="00A1386A">
            <w:pPr>
              <w:spacing w:before="0"/>
              <w:rPr>
                <w:rFonts w:eastAsiaTheme="minorHAnsi"/>
                <w:noProof/>
                <w:sz w:val="20"/>
              </w:rPr>
            </w:pPr>
            <w:r>
              <w:rPr>
                <w:rFonts w:eastAsiaTheme="minorHAnsi"/>
                <w:noProof/>
                <w:sz w:val="20"/>
              </w:rPr>
              <w:t>Η έκθεση πρέπει να αναθεωρηθεί ώστε να παρουσιάζει τις βασικές αλλαγές στη δομή του προγράμματος σε σχέση με την τρέχουσα περίοδο προγραμματισμού (τ</w:t>
            </w:r>
            <w:r>
              <w:rPr>
                <w:rFonts w:eastAsiaTheme="minorHAnsi"/>
                <w:noProof/>
                <w:sz w:val="20"/>
              </w:rPr>
              <w:t>μήμα 3.2) και να διευκρινίζει το πεδίο της εξωτερικής συνιστώσας και τη συμπληρωματικότητά του με τα εξωτερικά μέσα (τμήμα 3.3). Οι στόχοι των Ταμείων βασίζονται στο πεδίο των προηγούμενων μέσων που, εν γένει, θεωρούνταν αρκετά ευρεία ώστε να στηρίζουν την</w:t>
            </w:r>
            <w:r>
              <w:rPr>
                <w:rFonts w:eastAsiaTheme="minorHAnsi"/>
                <w:noProof/>
                <w:sz w:val="20"/>
              </w:rPr>
              <w:t xml:space="preserve"> υλοποίηση των προτεραιοτήτων πολιτικής της ΕΕ, παρέχοντας ευρωπαϊκή προστιθέμενη αξία. Οι προσαρμογές των προτεραιοτήτων και των δράσεων αντικατοπτρίζουν τις εξελίξεις πολιτικής και την ανάγκη για συνέργειες με άλλα Ταμεία της ΕΕ. Οι παρεμβάσεις στην εξωτ</w:t>
            </w:r>
            <w:r>
              <w:rPr>
                <w:rFonts w:eastAsiaTheme="minorHAnsi"/>
                <w:noProof/>
                <w:sz w:val="20"/>
              </w:rPr>
              <w:t>ερική διάσταση θα σχεδιαστούν και θα υλοποιηθούν σύμφωνα με την εξωτερική δράση και την εξωτερική πολιτική της ΕΕ, ιδίως με το εξωτερικό μέσο της ΕΕ.</w:t>
            </w:r>
          </w:p>
        </w:tc>
      </w:tr>
      <w:tr w:rsidR="00E506D3">
        <w:tc>
          <w:tcPr>
            <w:tcW w:w="4614" w:type="dxa"/>
          </w:tcPr>
          <w:p w:rsidR="00E506D3" w:rsidRDefault="00A1386A">
            <w:pPr>
              <w:spacing w:before="0"/>
              <w:rPr>
                <w:rFonts w:eastAsiaTheme="minorHAnsi"/>
                <w:noProof/>
                <w:sz w:val="20"/>
              </w:rPr>
            </w:pPr>
            <w:r>
              <w:rPr>
                <w:rFonts w:eastAsiaTheme="minorHAnsi"/>
                <w:noProof/>
                <w:sz w:val="20"/>
              </w:rPr>
              <w:t>2) Η έκθεση θα πρέπει επίσης να εξηγεί πώς η επέκταση των αρμοδιοτήτων της ΕΕ και η διεύρυνση του ρόλου τ</w:t>
            </w:r>
            <w:r>
              <w:rPr>
                <w:rFonts w:eastAsiaTheme="minorHAnsi"/>
                <w:noProof/>
                <w:sz w:val="20"/>
              </w:rPr>
              <w:t>ων οργανισμών επηρεάζει τους ρόλους των αντίστοιχων προγραμμάτων. Αυξάνει την ανάγκη για δράσεις σε εθνικό επίπεδο, για ανάθεση στους οργανισμούς ή μειώνει την προτεραιότητα ορισμένων παρεμβάσεων;</w:t>
            </w:r>
          </w:p>
        </w:tc>
        <w:tc>
          <w:tcPr>
            <w:tcW w:w="4614" w:type="dxa"/>
          </w:tcPr>
          <w:p w:rsidR="00E506D3" w:rsidRDefault="00A1386A">
            <w:pPr>
              <w:spacing w:before="0"/>
              <w:rPr>
                <w:rFonts w:eastAsiaTheme="minorHAnsi"/>
                <w:noProof/>
                <w:sz w:val="20"/>
              </w:rPr>
            </w:pPr>
            <w:r>
              <w:rPr>
                <w:noProof/>
                <w:sz w:val="20"/>
              </w:rPr>
              <w:t xml:space="preserve">Ανατρέξτε στις τροποποιήσεις που έγιναν στην έκθεση, στην </w:t>
            </w:r>
            <w:r>
              <w:rPr>
                <w:noProof/>
                <w:sz w:val="20"/>
              </w:rPr>
              <w:t>οποία ελήφθησαν υπόψη οι βασικές παρατηρήσεις της επιτροπής ρυθμιστικού ελέγχου που παρουσιάζονται παραπάνω.</w:t>
            </w:r>
          </w:p>
        </w:tc>
      </w:tr>
      <w:tr w:rsidR="00E506D3">
        <w:tc>
          <w:tcPr>
            <w:tcW w:w="4614" w:type="dxa"/>
          </w:tcPr>
          <w:p w:rsidR="00E506D3" w:rsidRDefault="00A1386A">
            <w:pPr>
              <w:spacing w:before="0"/>
              <w:rPr>
                <w:rFonts w:eastAsiaTheme="minorHAnsi"/>
                <w:noProof/>
                <w:sz w:val="20"/>
              </w:rPr>
            </w:pPr>
            <w:r>
              <w:rPr>
                <w:rFonts w:eastAsiaTheme="minorHAnsi"/>
                <w:noProof/>
                <w:sz w:val="20"/>
              </w:rPr>
              <w:t xml:space="preserve">3) Η επιτροπή κατανοεί ότι το νέο μέσο για αποθεματικά επίδοσης βρισκόταν ήδη υπό εξέλιξη κατά τον χρόνο κατάρτισης της έκθεσης. Ωστόσο, η τελική </w:t>
            </w:r>
            <w:r>
              <w:rPr>
                <w:rFonts w:eastAsiaTheme="minorHAnsi"/>
                <w:noProof/>
                <w:sz w:val="20"/>
              </w:rPr>
              <w:t>της έκδοση θα πρέπει να επικαιροποιεί και να διευκρινίζει το επιλεγέν μέσο και να το δικαιολογεί βάσει της πείρας που αποκτήθηκε από άλλα Ταμεία της ΕΕ (όπως εξηγήθηκε προφορικά στην επιτροπή).</w:t>
            </w:r>
          </w:p>
        </w:tc>
        <w:tc>
          <w:tcPr>
            <w:tcW w:w="4614" w:type="dxa"/>
          </w:tcPr>
          <w:p w:rsidR="00E506D3" w:rsidRDefault="00A1386A">
            <w:pPr>
              <w:spacing w:before="0"/>
              <w:rPr>
                <w:rFonts w:eastAsiaTheme="minorHAnsi"/>
                <w:noProof/>
                <w:sz w:val="20"/>
              </w:rPr>
            </w:pPr>
            <w:r>
              <w:rPr>
                <w:rFonts w:eastAsiaTheme="minorHAnsi"/>
                <w:noProof/>
                <w:sz w:val="20"/>
              </w:rPr>
              <w:t>Η έκθεση αναθεωρήθηκε με σκοπό την επικαιροποίηση και τη διασα</w:t>
            </w:r>
            <w:r>
              <w:rPr>
                <w:rFonts w:eastAsiaTheme="minorHAnsi"/>
                <w:noProof/>
                <w:sz w:val="20"/>
              </w:rPr>
              <w:t>φήνιση του προτιμώμενου μέσου, λαμβανομένης υπόψη της πείρας από άλλα Ταμεία της ΕΕ και των εξελίξεων στο πλαίσιο της προετοιμασίας του μελλοντικού κανονισμού περί κοινών διατάξεων για την επιμερισμένη διαχείριση (τμήμα 4.1.4). Δεν παρουσιάζεται ειδικό απο</w:t>
            </w:r>
            <w:r>
              <w:rPr>
                <w:rFonts w:eastAsiaTheme="minorHAnsi"/>
                <w:noProof/>
                <w:sz w:val="20"/>
              </w:rPr>
              <w:t>θεματικό επίδοσης στην προτιμώμενο επιλογή. Περιλαμβάνεται ελάχιστο επίπεδο δημοσιονομικής εκτέλεσης για την κατανομή συμπληρωματικής χρηματοδότησης στην τεχνική προσαρμογή κατά την ενδιάμεση περίοδο ενώ στοιχεία επίδοσης θα λαμβάνονται υπόψη κατά την παρο</w:t>
            </w:r>
            <w:r>
              <w:rPr>
                <w:rFonts w:eastAsiaTheme="minorHAnsi"/>
                <w:noProof/>
                <w:sz w:val="20"/>
              </w:rPr>
              <w:t>χή επιπλέον κεφαλαίων μέσω του θεματικού μέσου.</w:t>
            </w:r>
          </w:p>
        </w:tc>
      </w:tr>
      <w:tr w:rsidR="00E506D3">
        <w:tc>
          <w:tcPr>
            <w:tcW w:w="4614" w:type="dxa"/>
          </w:tcPr>
          <w:p w:rsidR="00E506D3" w:rsidRDefault="00A1386A">
            <w:pPr>
              <w:spacing w:before="0"/>
              <w:rPr>
                <w:rFonts w:eastAsiaTheme="minorHAnsi"/>
                <w:noProof/>
                <w:sz w:val="20"/>
              </w:rPr>
            </w:pPr>
            <w:r>
              <w:rPr>
                <w:rFonts w:eastAsiaTheme="minorHAnsi"/>
                <w:noProof/>
                <w:sz w:val="20"/>
              </w:rPr>
              <w:t>4) Η έκθεση θα πρέπει να διευκρινίζει τον τρόπο λειτουργίας του νέου μέσου έκτακτης ανάγκης στο πλαίσιο των κονδυλίων καθενός από τα τρία ταμεία για τη μετανάστευση και την ασφάλεια, καθώς και ότι η χρήση τη</w:t>
            </w:r>
            <w:r>
              <w:rPr>
                <w:rFonts w:eastAsiaTheme="minorHAnsi"/>
                <w:noProof/>
                <w:sz w:val="20"/>
              </w:rPr>
              <w:t>ς βοήθειας έκτακτης ανάγκης θα πρέπει να είναι περιορισμένη λόγω της νέας ευελιξίας που παρέχει το θεματικό μέσο. Θα πρέπει να εξηγεί το πλεονέκτημα του εν λόγω μέσου έναντι της χρηματοδότησης έκτακτης ανάγκης στην προηγούμενη περίοδο προγραμματισμού.</w:t>
            </w:r>
          </w:p>
        </w:tc>
        <w:tc>
          <w:tcPr>
            <w:tcW w:w="4614" w:type="dxa"/>
          </w:tcPr>
          <w:p w:rsidR="00E506D3" w:rsidRDefault="00A1386A">
            <w:pPr>
              <w:spacing w:before="0"/>
              <w:rPr>
                <w:rFonts w:eastAsiaTheme="minorHAnsi"/>
                <w:noProof/>
                <w:sz w:val="20"/>
              </w:rPr>
            </w:pPr>
            <w:r>
              <w:rPr>
                <w:rFonts w:eastAsiaTheme="minorHAnsi"/>
                <w:noProof/>
                <w:sz w:val="20"/>
              </w:rPr>
              <w:t>Η έκ</w:t>
            </w:r>
            <w:r>
              <w:rPr>
                <w:rFonts w:eastAsiaTheme="minorHAnsi"/>
                <w:noProof/>
                <w:sz w:val="20"/>
              </w:rPr>
              <w:t>θεση αναθεωρήθηκε ώστε να περιέχει διευκρινίσεις για τον τρόπο λειτουργίας του νέου μέσου έκτακτης ανάγκης. Η βοήθεια έκτακτης ανάγκης που παρέχεται μέσω των Ταμείων θα πρέπει να είναι συμπληρωματική προς το αποθεματικό επείγουσας βοήθειας (σε επίπεδο προϋ</w:t>
            </w:r>
            <w:r>
              <w:rPr>
                <w:rFonts w:eastAsiaTheme="minorHAnsi"/>
                <w:noProof/>
                <w:sz w:val="20"/>
              </w:rPr>
              <w:t>πολογισμού ΕΕ) και να χρησιμοποιείται σε σαφώς καθορισμένες περιπτώσεις. Λόγω της ευελιξίας που έχει αποκτήσει το θεματικό μέσο, η χρήση βοήθειας έκτακτης ανάγκης αναμένεται να είναι πιο περιορισμένη από ό,τι κατά την τρέχουσα περίοδο προγραμματισμού. Η βο</w:t>
            </w:r>
            <w:r>
              <w:rPr>
                <w:rFonts w:eastAsiaTheme="minorHAnsi"/>
                <w:noProof/>
                <w:sz w:val="20"/>
              </w:rPr>
              <w:t>ήθεια έκτακτης ανάγκης μπορεί να εκτελείται μέσω επιμερισμένης, άμεσης ή έμμεσης διαχείρισης.</w:t>
            </w:r>
          </w:p>
        </w:tc>
      </w:tr>
      <w:tr w:rsidR="00E506D3">
        <w:tc>
          <w:tcPr>
            <w:tcW w:w="4614" w:type="dxa"/>
          </w:tcPr>
          <w:p w:rsidR="00E506D3" w:rsidRDefault="00A1386A">
            <w:pPr>
              <w:spacing w:before="0"/>
              <w:rPr>
                <w:rFonts w:eastAsiaTheme="minorHAnsi"/>
                <w:noProof/>
                <w:sz w:val="20"/>
              </w:rPr>
            </w:pPr>
            <w:r>
              <w:rPr>
                <w:rFonts w:eastAsiaTheme="minorHAnsi"/>
                <w:noProof/>
                <w:sz w:val="20"/>
              </w:rPr>
              <w:t>5) Οι διαδικασίες παρακολούθησης δεν είναι καλά αναπτυγμένες. Η έκθεση θα πρέπει να διευκρινίζει τον τρόπο καθορισμού και υπολογισμού της επιτυχίας των προγραμμά</w:t>
            </w:r>
            <w:r>
              <w:rPr>
                <w:rFonts w:eastAsiaTheme="minorHAnsi"/>
                <w:noProof/>
                <w:sz w:val="20"/>
              </w:rPr>
              <w:t>των.</w:t>
            </w:r>
          </w:p>
        </w:tc>
        <w:tc>
          <w:tcPr>
            <w:tcW w:w="4614" w:type="dxa"/>
          </w:tcPr>
          <w:p w:rsidR="00E506D3" w:rsidRDefault="00A1386A">
            <w:pPr>
              <w:spacing w:before="0"/>
              <w:rPr>
                <w:rFonts w:eastAsiaTheme="minorHAnsi"/>
                <w:noProof/>
                <w:sz w:val="20"/>
              </w:rPr>
            </w:pPr>
            <w:r>
              <w:rPr>
                <w:rFonts w:eastAsiaTheme="minorHAnsi"/>
                <w:noProof/>
                <w:sz w:val="20"/>
              </w:rPr>
              <w:t>Η έκθεση αναθεωρήθηκε (τμήμα 5.1) ώστε να παρουσιάζει τη μέτρηση της επιτυχίας των προγραμμάτων. Αυτό θα βασίζεται σε στόχους που καθορίζονται μεταξύ της Επιτροπής και των κρατών μελών, οι οποίοι θα συμφωνούνται δυνάμει των εθνικών προγραμμάτων, και σ</w:t>
            </w:r>
            <w:r>
              <w:rPr>
                <w:rFonts w:eastAsiaTheme="minorHAnsi"/>
                <w:noProof/>
                <w:sz w:val="20"/>
              </w:rPr>
              <w:t>τον μετέπειτα υπολογισμό των επιτευγμάτων προς την κατεύθυνση των εν λόγω στόχων, μέσω δεικτών εκροών και αποτελεσμάτων που περιλαμβάνονται στις νομοθετικές προτάσεις. Οι απαιτήσεις υποβολής εκθέσεων σχετικά με την επιμερισμένη διαχείριση καθορίζονται στον</w:t>
            </w:r>
            <w:r>
              <w:rPr>
                <w:rFonts w:eastAsiaTheme="minorHAnsi"/>
                <w:noProof/>
                <w:sz w:val="20"/>
              </w:rPr>
              <w:t xml:space="preserve"> κανονισμό περί κοινών διατάξεων.</w:t>
            </w:r>
          </w:p>
        </w:tc>
      </w:tr>
    </w:tbl>
    <w:p w:rsidR="00E506D3" w:rsidRDefault="00A1386A">
      <w:pPr>
        <w:pStyle w:val="ManualHeading2"/>
        <w:spacing w:before="0" w:after="240"/>
        <w:rPr>
          <w:rFonts w:eastAsia="Arial Unicode MS"/>
          <w:noProof/>
          <w:u w:color="000000"/>
          <w:bdr w:val="nil"/>
        </w:rPr>
      </w:pPr>
      <w:r>
        <w:rPr>
          <w:noProof/>
        </w:rPr>
        <w:t>•</w:t>
      </w:r>
      <w:r>
        <w:rPr>
          <w:noProof/>
        </w:rPr>
        <w:tab/>
        <w:t>Καταλληλότητα και απλούστευση του κανονιστικού πλαισίου</w:t>
      </w:r>
    </w:p>
    <w:p w:rsidR="00E506D3" w:rsidRDefault="00A1386A">
      <w:pPr>
        <w:pBdr>
          <w:top w:val="nil"/>
          <w:left w:val="nil"/>
          <w:bottom w:val="nil"/>
          <w:right w:val="nil"/>
          <w:between w:val="nil"/>
          <w:bar w:val="nil"/>
        </w:pBdr>
        <w:spacing w:before="0" w:after="240"/>
        <w:rPr>
          <w:noProof/>
        </w:rPr>
      </w:pPr>
      <w:r>
        <w:rPr>
          <w:noProof/>
        </w:rPr>
        <w:t>Ο κανονισμός περί κοινών διατάξεων</w:t>
      </w:r>
      <w:r>
        <w:rPr>
          <w:rStyle w:val="FootnoteReference"/>
          <w:noProof/>
        </w:rPr>
        <w:footnoteReference w:id="8"/>
      </w:r>
      <w:r>
        <w:rPr>
          <w:noProof/>
        </w:rPr>
        <w:t xml:space="preserve"> (που είναι κοινός για όλους τους τομείς πολιτικής επιμερισμένης διαχείρισης) θα διασφαλίσει την απλούστευση του Ταμείου μέσω τη</w:t>
      </w:r>
      <w:r>
        <w:rPr>
          <w:noProof/>
        </w:rPr>
        <w:t xml:space="preserve">ς χρήσης, στο μέτρο του δυνατού, κοινών κανόνων για την υλοποίηση των προγραμμάτων. Επιπλέον, τα κράτη μέλη θα ενθαρρύνονται να αυξάνουν τη χρήση απλουστευμένων επιλογών κόστους. Η προσέγγιση λογιστικού ελέγχου θα απλουστευθεί ώστε να εστιάζει περισσότερο </w:t>
      </w:r>
      <w:r>
        <w:rPr>
          <w:noProof/>
        </w:rPr>
        <w:t>σε δειγματοληπτικό έλεγχο βάσει κινδύνου και να ακολουθεί την αρχή του «ενιαίου λογιστικού ελέγχου» με σκοπό τη μείωση της διοικητικής επιβάρυνσης.</w:t>
      </w:r>
    </w:p>
    <w:p w:rsidR="00E506D3" w:rsidRDefault="00A1386A">
      <w:pPr>
        <w:pBdr>
          <w:top w:val="nil"/>
          <w:left w:val="nil"/>
          <w:bottom w:val="nil"/>
          <w:right w:val="nil"/>
          <w:between w:val="nil"/>
          <w:bar w:val="nil"/>
        </w:pBdr>
        <w:spacing w:before="0" w:after="240"/>
        <w:rPr>
          <w:rFonts w:eastAsia="Arial Unicode MS"/>
          <w:noProof/>
        </w:rPr>
      </w:pPr>
      <w:r>
        <w:rPr>
          <w:noProof/>
        </w:rPr>
        <w:t>Περαιτέρω απλούστευση υπό άμεση διαχείριση θα επιτευχθεί μέσω της χρήσης κοινών εργαλείων ΤΠ σε επίπεδο Επιτ</w:t>
      </w:r>
      <w:r>
        <w:rPr>
          <w:noProof/>
        </w:rPr>
        <w:t>ροπής (σύστημα διαχείρισης ηλεκτρονικών επιχορηγήσεων).</w:t>
      </w:r>
    </w:p>
    <w:p w:rsidR="00E506D3" w:rsidRDefault="00A1386A">
      <w:pPr>
        <w:pStyle w:val="ManualHeading2"/>
        <w:spacing w:before="0" w:after="240"/>
        <w:rPr>
          <w:rFonts w:eastAsia="Arial Unicode MS"/>
          <w:noProof/>
          <w:u w:color="000000"/>
          <w:bdr w:val="nil"/>
        </w:rPr>
      </w:pPr>
      <w:r>
        <w:rPr>
          <w:noProof/>
        </w:rPr>
        <w:t>•</w:t>
      </w:r>
      <w:r>
        <w:rPr>
          <w:noProof/>
        </w:rPr>
        <w:tab/>
        <w:t>Θεμελιώδη δικαιώματα</w:t>
      </w:r>
    </w:p>
    <w:p w:rsidR="00E506D3" w:rsidRDefault="00A1386A">
      <w:pPr>
        <w:pBdr>
          <w:top w:val="nil"/>
          <w:left w:val="nil"/>
          <w:bottom w:val="nil"/>
          <w:right w:val="nil"/>
          <w:between w:val="nil"/>
          <w:bar w:val="nil"/>
        </w:pBdr>
        <w:spacing w:before="0" w:after="240"/>
        <w:rPr>
          <w:rFonts w:eastAsia="Arial Unicode MS"/>
          <w:noProof/>
        </w:rPr>
      </w:pPr>
      <w:r>
        <w:rPr>
          <w:noProof/>
        </w:rPr>
        <w:t>Η χρηματοδοτική στήριξη από τον προϋπολογισμό της Ένωσης είναι αναγκαία για την εκτέλεση του ΤΕΑ με σκοπό τη στήριξη των κρατών μελών στην προσπάθειά τους να διασφαλίζουν υψηλότ</w:t>
      </w:r>
      <w:r>
        <w:rPr>
          <w:noProof/>
        </w:rPr>
        <w:t>ερο επίπεδο ασφάλειας στην Ένωση, ιδίως με την καταπολέμηση την τρομοκρατίας και της ριζοσπαστικοποίησης, του σοβαρού και οργανωμένου εγκλήματος και του ηλεκτρονικού εγκλήματος και με την παροχή βοήθειας και την προστασία των θυμάτων εγκλημάτων, ενώ παράλλ</w:t>
      </w:r>
      <w:r>
        <w:rPr>
          <w:noProof/>
        </w:rPr>
        <w:t>ηλα θα τηρούνται πλήρως τα θεμελιώδη δικαιώματα. Οι στόχοι αυτοί θα επιδιωχθούν σε πλήρη συμμόρφωση με τις δεσμεύσεις της Ένωσης για τα θεμελιώδη δικαιώματα. Η συμμόρφωση αυτή θα παρακολουθείται στενά κατά την εκτέλεση του Ταμείου.</w:t>
      </w:r>
    </w:p>
    <w:p w:rsidR="00E506D3" w:rsidRDefault="00A1386A">
      <w:pPr>
        <w:pStyle w:val="ManualHeading1"/>
        <w:spacing w:before="0" w:after="240"/>
        <w:rPr>
          <w:noProof/>
        </w:rPr>
      </w:pPr>
      <w:r>
        <w:rPr>
          <w:noProof/>
        </w:rPr>
        <w:t>4.</w:t>
      </w:r>
      <w:r>
        <w:rPr>
          <w:noProof/>
        </w:rPr>
        <w:tab/>
        <w:t xml:space="preserve">ΔΗΜΟΣΙΟΝΟΜΙΚΕΣ </w:t>
      </w:r>
      <w:r>
        <w:rPr>
          <w:noProof/>
        </w:rPr>
        <w:t>ΕΠΙΠΤΩΣΕΙΣ</w:t>
      </w:r>
    </w:p>
    <w:p w:rsidR="00E506D3" w:rsidRDefault="00A1386A">
      <w:pPr>
        <w:pBdr>
          <w:top w:val="nil"/>
          <w:left w:val="nil"/>
          <w:bottom w:val="nil"/>
          <w:right w:val="nil"/>
          <w:between w:val="nil"/>
          <w:bar w:val="nil"/>
        </w:pBdr>
        <w:spacing w:before="0" w:after="240"/>
        <w:rPr>
          <w:noProof/>
        </w:rPr>
      </w:pPr>
      <w:r>
        <w:rPr>
          <w:noProof/>
        </w:rPr>
        <w:t>Η πρόταση της Επιτροπής για πολυετές δημοσιονομικό πλαίσιο περιλαμβάνει 2 500 000 000 EUR (σε τρέχουσες τιμές) για το Ταμείο Εσωτερικής Ασφάλειας για την περίοδο 2021-2027.</w:t>
      </w:r>
    </w:p>
    <w:p w:rsidR="00E506D3" w:rsidRDefault="00A1386A">
      <w:pPr>
        <w:pBdr>
          <w:top w:val="nil"/>
          <w:left w:val="nil"/>
          <w:bottom w:val="nil"/>
          <w:right w:val="nil"/>
          <w:between w:val="nil"/>
          <w:bar w:val="nil"/>
        </w:pBdr>
        <w:spacing w:before="0"/>
        <w:rPr>
          <w:rFonts w:eastAsia="Arial Unicode MS"/>
          <w:noProof/>
          <w:szCs w:val="24"/>
        </w:rPr>
      </w:pPr>
      <w:r>
        <w:rPr>
          <w:noProof/>
        </w:rPr>
        <w:t xml:space="preserve">Η εκτέλεση θα γίνει μέσω επιμερισμένης ή άμεσης/έμμεσης διαχείρισης. Το </w:t>
      </w:r>
      <w:r>
        <w:rPr>
          <w:noProof/>
        </w:rPr>
        <w:t>χρηματοδοτικό κονδύλιο θα αξιοποιηθεί ως εξής: το 60 % θα κατανεμηθεί στα προγράμματα των κρατών μελών που θα υλοποιηθούν στο πλαίσιο επιμερισμένης διαχείρισης, ενώ το 40 % θα κατανεμηθεί στο θεματικό μέσο και θα χρησιμοποιηθεί για ειδικές δράσεις σε εθνικ</w:t>
      </w:r>
      <w:r>
        <w:rPr>
          <w:noProof/>
        </w:rPr>
        <w:t>ό ή διακρατικό επίπεδο, δράσεις της Ένωσης και βοήθεια έκτακτης ανάγκης. Το κονδύλιο του θεματικού μέσου θα χρησιμοποιηθεί επίσης για την παροχή τεχνικής βοήθειας κατόπιν πρωτοβουλίας της Επιτροπής.</w:t>
      </w:r>
    </w:p>
    <w:p w:rsidR="00E506D3" w:rsidRDefault="00A1386A">
      <w:pPr>
        <w:pStyle w:val="ManualHeading1"/>
        <w:spacing w:before="0" w:after="240"/>
        <w:rPr>
          <w:noProof/>
        </w:rPr>
      </w:pPr>
      <w:r>
        <w:rPr>
          <w:noProof/>
        </w:rPr>
        <w:t>5.</w:t>
      </w:r>
      <w:r>
        <w:rPr>
          <w:noProof/>
        </w:rPr>
        <w:tab/>
        <w:t>ΛΟΙΠΑ ΣΤΟΙΧΕΙΑ</w:t>
      </w:r>
    </w:p>
    <w:p w:rsidR="00E506D3" w:rsidRDefault="00A1386A">
      <w:pPr>
        <w:pStyle w:val="ManualHeading2"/>
        <w:spacing w:before="0" w:after="240"/>
        <w:rPr>
          <w:rFonts w:eastAsia="Arial Unicode MS"/>
          <w:noProof/>
          <w:u w:color="000000"/>
          <w:bdr w:val="nil"/>
        </w:rPr>
      </w:pPr>
      <w:r>
        <w:rPr>
          <w:noProof/>
        </w:rPr>
        <w:t>•</w:t>
      </w:r>
      <w:r>
        <w:rPr>
          <w:noProof/>
        </w:rPr>
        <w:tab/>
        <w:t xml:space="preserve">Σχέδια εφαρμογής και ρυθμίσεις </w:t>
      </w:r>
      <w:r>
        <w:rPr>
          <w:noProof/>
        </w:rPr>
        <w:t>παρακολούθησης, αξιολόγησης και υποβολής εκθέσεων</w:t>
      </w:r>
    </w:p>
    <w:p w:rsidR="00E506D3" w:rsidRDefault="00A1386A">
      <w:pPr>
        <w:pBdr>
          <w:top w:val="nil"/>
          <w:left w:val="nil"/>
          <w:bottom w:val="nil"/>
          <w:right w:val="nil"/>
          <w:between w:val="nil"/>
          <w:bar w:val="nil"/>
        </w:pBdr>
        <w:spacing w:before="0" w:after="240"/>
        <w:rPr>
          <w:rFonts w:eastAsia="Arial Unicode MS"/>
          <w:noProof/>
        </w:rPr>
      </w:pPr>
      <w:r>
        <w:rPr>
          <w:noProof/>
        </w:rPr>
        <w:t>Το πλαίσιο παρακολούθησης και αξιολόγησης θα βελτιωθεί, συμπεριλαμβανομένης της βελτίωσης της μεθοδολογίας για την παρακολούθηση των επενδύσεων στα σχετικά κονδύλια της ΕΕ, για να ενθαρρύνεται η έγκαιρη εκτ</w:t>
      </w:r>
      <w:r>
        <w:rPr>
          <w:noProof/>
        </w:rPr>
        <w:t>έλεση και να εξασφαλίζεται ότι οι αξιολογήσεις μπορούν να παρέχουν εύστοχες παρατηρήσεις για τυχόν μελλοντικές αναθεωρήσεις των παρεμβάσεων πολιτικής. Αυτό θα επιτευχθεί μέσω καλύτερων δεικτών, στενότερης συνεργασίας με τους σχετικούς εταίρους και μηχανισμ</w:t>
      </w:r>
      <w:r>
        <w:rPr>
          <w:noProof/>
        </w:rPr>
        <w:t>ών που παρέχουν κίνητρα για καλύτερη επίδοση. Η Επιτροπή θα διενεργήσει ενδιάμεση αξιολόγηση και εκ των υστέρων αξιολόγηση. Οι εν λόγω αξιολογήσεις θα διενεργηθούν σύμφωνα με τα σημεία 22 και 23 της διοργανικής συμφωνίας της 13ης Απριλίου 2016, στα οποία τ</w:t>
      </w:r>
      <w:r>
        <w:rPr>
          <w:noProof/>
        </w:rPr>
        <w:t>α τρία θεσμικά όργανα επιβεβαίωσαν ότι οι αξιολογήσεις της ισχύουσας νομοθεσίας και πολιτικής θα πρέπει να αποτελούν τη βάση της εκτίμησης επιπτώσεων των επιλογών περαιτέρω δράσης. Στις αξιολογήσεις θα εκτιμηθούν τα αποτελέσματα του Ταμείου επί τόπου με βά</w:t>
      </w:r>
      <w:r>
        <w:rPr>
          <w:noProof/>
        </w:rPr>
        <w:t>ση τους δείκτες και τους στόχους και μια λεπτομερή ανάλυση του βαθμού στον οποίο το ταμείο μπορεί να θεωρηθεί συναφές, αποτελεσματικό και αποδοτικό, ότι προσφέρει αρκετή ευρωπαϊκή προστιθέμενη αξία και είναι συνεκτικό με άλλες πολιτικές της ΕΕ. Αυτό θα περ</w:t>
      </w:r>
      <w:r>
        <w:rPr>
          <w:noProof/>
        </w:rPr>
        <w:t>ιλαμβάνει διδάγματα για τον εντοπισμό τυχόν ελλείψεων/προβλημάτων ή τυχόν δυνατοτήτων για περαιτέρω βελτίωση των δράσεων και των αποτελεσμάτων τους και για τη συμβολή στη μεγιστοποίηση του αντικτύπου τους.</w:t>
      </w:r>
    </w:p>
    <w:p w:rsidR="00E506D3" w:rsidRDefault="00A1386A">
      <w:pPr>
        <w:pBdr>
          <w:top w:val="nil"/>
          <w:left w:val="nil"/>
          <w:bottom w:val="nil"/>
          <w:right w:val="nil"/>
          <w:between w:val="nil"/>
          <w:bar w:val="nil"/>
        </w:pBdr>
        <w:spacing w:before="0" w:after="240"/>
        <w:rPr>
          <w:rFonts w:eastAsia="Arial Unicode MS"/>
          <w:noProof/>
        </w:rPr>
      </w:pPr>
      <w:r>
        <w:rPr>
          <w:noProof/>
        </w:rPr>
        <w:t>Όσον αφορά την υποβολή εκθέσεων, τα κράτη μέλη ανα</w:t>
      </w:r>
      <w:r>
        <w:rPr>
          <w:noProof/>
        </w:rPr>
        <w:t>μένεται να υποβάλουν έκθεση σχετικά με την υλοποίηση των προγραμμάτων τους σύμφωνα με τις λεπτομέρειες που καθορίζονται στον παρόντα κανονισμό και τον κανονισμό περί κοινών διατάξεων.</w:t>
      </w:r>
    </w:p>
    <w:p w:rsidR="00E506D3" w:rsidRDefault="00A1386A">
      <w:pPr>
        <w:pStyle w:val="ManualHeading2"/>
        <w:spacing w:before="0" w:after="240"/>
        <w:rPr>
          <w:rFonts w:eastAsia="Arial Unicode MS"/>
          <w:noProof/>
          <w:u w:color="000000"/>
          <w:bdr w:val="nil"/>
        </w:rPr>
      </w:pPr>
      <w:r>
        <w:rPr>
          <w:noProof/>
        </w:rPr>
        <w:t>•</w:t>
      </w:r>
      <w:r>
        <w:rPr>
          <w:noProof/>
        </w:rPr>
        <w:tab/>
        <w:t>Αναλυτική επεξήγηση των επιμέρους διατάξεων της πρότασης</w:t>
      </w:r>
    </w:p>
    <w:p w:rsidR="00E506D3" w:rsidRDefault="00A1386A">
      <w:pPr>
        <w:spacing w:before="0" w:after="240"/>
        <w:rPr>
          <w:rFonts w:eastAsia="Arial Unicode MS"/>
          <w:noProof/>
        </w:rPr>
      </w:pPr>
      <w:r>
        <w:rPr>
          <w:noProof/>
        </w:rPr>
        <w:t xml:space="preserve">Το </w:t>
      </w:r>
      <w:r>
        <w:rPr>
          <w:i/>
          <w:noProof/>
        </w:rPr>
        <w:t>Κεφάλαιο I</w:t>
      </w:r>
      <w:r>
        <w:rPr>
          <w:i/>
          <w:noProof/>
        </w:rPr>
        <w:t xml:space="preserve"> — Γενικές διατάξεις</w:t>
      </w:r>
      <w:r>
        <w:rPr>
          <w:noProof/>
        </w:rPr>
        <w:t xml:space="preserve"> του προτεινόμενου κανονισμού καθορίζει τον σκοπό, το πεδίο εφαρμογής και τους βασικούς ορισμούς. Καθορίζει επίσης τους στόχους του κανονισμού και το πεδίο εφαρμογής της στήριξης που θα παρέχεται. Το προτεινόμενο πεδίο εφαρμογής των εν </w:t>
      </w:r>
      <w:r>
        <w:rPr>
          <w:noProof/>
        </w:rPr>
        <w:t>λόγω άρθρων βασίζεται σε μεγάλο βαθμό στον υφιστάμενο κανονισμό για το Ταμείο Εσωτερικής Ασφάλειας – Αστυνομική συνεργασία, λαμβανομένων υπόψη των νέων εξελίξεων πολιτικής, όπως το νέο ευρωπαϊκό θεματολόγιο για την ασφάλεια, την καταπολέμηση της τρομοκρατί</w:t>
      </w:r>
      <w:r>
        <w:rPr>
          <w:noProof/>
        </w:rPr>
        <w:t>ας, του σοβαρού και οργανωμένου εγκλήματος και του ηλεκτρονικού εγκλήματος, καθώς και το νέο θεματολόγιο για τη διαλειτουργικότητα.</w:t>
      </w:r>
    </w:p>
    <w:p w:rsidR="00E506D3" w:rsidRDefault="00A1386A">
      <w:pPr>
        <w:spacing w:before="0" w:after="240"/>
        <w:rPr>
          <w:rFonts w:eastAsia="Arial Unicode MS"/>
          <w:noProof/>
        </w:rPr>
      </w:pPr>
      <w:r>
        <w:rPr>
          <w:noProof/>
        </w:rPr>
        <w:t xml:space="preserve">Το </w:t>
      </w:r>
      <w:r>
        <w:rPr>
          <w:i/>
          <w:noProof/>
        </w:rPr>
        <w:t>Κεφάλαιο II — Χρηματοδοτικό πλαίσιο και πλαίσιο εκτέλεσης</w:t>
      </w:r>
      <w:r>
        <w:rPr>
          <w:noProof/>
        </w:rPr>
        <w:t xml:space="preserve"> καθορίζει γενικές αρχές για τη στήριξη που παρέχεται στο πλαίσι</w:t>
      </w:r>
      <w:r>
        <w:rPr>
          <w:noProof/>
        </w:rPr>
        <w:t>ο του κανονισμού και υπογραμμίζει τη σημασία της συνεκτικότητας και της συμπληρωματικότητας με τα σχετικά χρηματοδοτικά μέσα της ΕΕ. Επιπλέον, το κεφάλαιο καθορίζει τους τρόπους υλοποίησης για τις δράσεις που στηρίζονται στο πλαίσιο του κανονισμού: επιμερι</w:t>
      </w:r>
      <w:r>
        <w:rPr>
          <w:noProof/>
        </w:rPr>
        <w:t>σμένη, άμεση και έμμεση διαχείριση. Ο προτεινόμενος συνδυασμός τρόπων υλοποίησης βασίζεται στη θετική εμπειρία από τον εν λόγω συνδυασμό κατά την εκτέλεση του υφιστάμενου χρηματοδοτικού μέσου.</w:t>
      </w:r>
    </w:p>
    <w:p w:rsidR="00E506D3" w:rsidRDefault="00A1386A">
      <w:pPr>
        <w:spacing w:before="0" w:after="240"/>
        <w:rPr>
          <w:rFonts w:eastAsia="Arial Unicode MS"/>
          <w:noProof/>
        </w:rPr>
      </w:pPr>
      <w:r>
        <w:rPr>
          <w:noProof/>
        </w:rPr>
        <w:t>Το πρώτο τμήμα του κεφαλαίου καθορίζει το δημοσιονομικό πλαίσιο</w:t>
      </w:r>
      <w:r>
        <w:rPr>
          <w:noProof/>
        </w:rPr>
        <w:t>. Η πρόταση προβλέπει ορισμένο ποσό για το χρηματοδοτικό κονδύλιο για το Ταμείο και τη χρήση του μέσω διαφόρων ρυθμίσεων εκτέλεσης.</w:t>
      </w:r>
    </w:p>
    <w:p w:rsidR="00E506D3" w:rsidRDefault="00A1386A">
      <w:pPr>
        <w:spacing w:before="0" w:after="240"/>
        <w:rPr>
          <w:rFonts w:eastAsia="Arial Unicode MS"/>
          <w:noProof/>
        </w:rPr>
      </w:pPr>
      <w:r>
        <w:rPr>
          <w:noProof/>
        </w:rPr>
        <w:t>Το δεύτερο, τρίτο και τέταρτο τμήμα περιγράφουν το πλαίσιο εκτέλεσης για το Ταμείο, όπως προγράμματα της Επιτροπής και των κ</w:t>
      </w:r>
      <w:r>
        <w:rPr>
          <w:noProof/>
        </w:rPr>
        <w:t>ρατών μελών. Καθορίζονται επίσης οι όροι που ισχύουν για τις δράσεις που στηρίζονται στο πλαίσιο του κανονισμού, όπως αυτοί που αφορούν την αγορά εξοπλισμού και δραστηριότητες κατάρτισης. Στο εν λόγω τμήμα καθορίζονται λεπτομερείς ρυθμίσεις για την ενδιάμε</w:t>
      </w:r>
      <w:r>
        <w:rPr>
          <w:noProof/>
        </w:rPr>
        <w:t>ση επανεξέταση των προγραμμάτων των κρατών μελών και για την υλοποίηση συγκεκριμένων δράσεων, δράσεων της Ένωσης, βοήθειας έκτακτης ανάγκης, τεχνικής βοήθειας, συνδυαστικών πράξεων και λειτουργικής ενίσχυσης.</w:t>
      </w:r>
    </w:p>
    <w:p w:rsidR="00E506D3" w:rsidRDefault="00A1386A">
      <w:pPr>
        <w:spacing w:before="0" w:after="240"/>
        <w:rPr>
          <w:rFonts w:eastAsia="Arial Unicode MS"/>
          <w:noProof/>
        </w:rPr>
      </w:pPr>
      <w:r>
        <w:rPr>
          <w:noProof/>
        </w:rPr>
        <w:t xml:space="preserve">Στο πέμπτο και τελευταίο τμήμα καθορίζονται οι </w:t>
      </w:r>
      <w:r>
        <w:rPr>
          <w:noProof/>
        </w:rPr>
        <w:t>απαραίτητες διατάξεις σχετικά με τις ετήσιες εκθέσεις επιδόσεων που υποβάλλουν τα κράτη μέλη, την παρακολούθηση και την αξιολόγηση.</w:t>
      </w:r>
    </w:p>
    <w:p w:rsidR="00E506D3" w:rsidRDefault="00A1386A">
      <w:pPr>
        <w:spacing w:before="0" w:after="240"/>
        <w:rPr>
          <w:rFonts w:eastAsia="Arial Unicode MS"/>
          <w:noProof/>
        </w:rPr>
      </w:pPr>
      <w:r>
        <w:rPr>
          <w:noProof/>
        </w:rPr>
        <w:t xml:space="preserve">Το </w:t>
      </w:r>
      <w:r>
        <w:rPr>
          <w:i/>
          <w:noProof/>
        </w:rPr>
        <w:t>Κεφάλαιο III — Μεταβατικές και τελικές διατάξεις</w:t>
      </w:r>
      <w:r>
        <w:rPr>
          <w:noProof/>
        </w:rPr>
        <w:t xml:space="preserve"> περιέχει διατάξεις σχετικά με την εκχώρηση εξουσίας στην Επιτροπή για τη</w:t>
      </w:r>
      <w:r>
        <w:rPr>
          <w:noProof/>
        </w:rPr>
        <w:t xml:space="preserve">ν έκδοση κατ’ εξουσιοδότηση πράξεων και με τη διαδικασία επιτροπής. Καθορίζεται η ημερομηνία έναρξης ισχύος του προτεινόμενου κανονισμού και ορίζεται ότι ο κανονισμός είναι δεσμευτικός ως προς όλα τα μέρη του και ισχύει σε κάθε κράτος μέλος σύμφωνα με τις </w:t>
      </w:r>
      <w:r>
        <w:rPr>
          <w:noProof/>
        </w:rPr>
        <w:t>Συνθήκες από την 1η Ιανουαρίου 2021.</w:t>
      </w:r>
    </w:p>
    <w:p w:rsidR="00E506D3" w:rsidRDefault="00E506D3">
      <w:pPr>
        <w:rPr>
          <w:noProof/>
        </w:rPr>
        <w:sectPr w:rsidR="00E506D3" w:rsidSect="00A1386A">
          <w:footerReference w:type="default" r:id="rId17"/>
          <w:footerReference w:type="first" r:id="rId18"/>
          <w:pgSz w:w="11907" w:h="16839"/>
          <w:pgMar w:top="1134" w:right="1417" w:bottom="1134" w:left="1417" w:header="709" w:footer="709" w:gutter="0"/>
          <w:cols w:space="708"/>
          <w:docGrid w:linePitch="360"/>
        </w:sectPr>
      </w:pPr>
    </w:p>
    <w:p w:rsidR="00E506D3" w:rsidRDefault="00A1386A" w:rsidP="00A1386A">
      <w:pPr>
        <w:pStyle w:val="Rfrenceinterinstitutionnelle"/>
        <w:rPr>
          <w:noProof/>
        </w:rPr>
      </w:pPr>
      <w:r w:rsidRPr="00A1386A">
        <w:t>2018/0250 (COD)</w:t>
      </w:r>
    </w:p>
    <w:p w:rsidR="00E506D3" w:rsidRDefault="00A1386A" w:rsidP="00A1386A">
      <w:pPr>
        <w:pStyle w:val="Statut"/>
        <w:rPr>
          <w:noProof/>
        </w:rPr>
      </w:pPr>
      <w:r w:rsidRPr="00A1386A">
        <w:t>Πρόταση</w:t>
      </w:r>
    </w:p>
    <w:p w:rsidR="00E506D3" w:rsidRDefault="00A1386A" w:rsidP="00A1386A">
      <w:pPr>
        <w:pStyle w:val="Typedudocument"/>
        <w:rPr>
          <w:noProof/>
        </w:rPr>
      </w:pPr>
      <w:r w:rsidRPr="00A1386A">
        <w:t>ΚΑΝΟΝΙΣΜΟΣ ΤΟΥ ΕΥΡΩΠΑΪΚΟΥ ΚΟΙΝΟΒΟΥΛΙΟΥ ΚΑΙ ΤΟΥ ΣΥΜΒΟΥΛΙΟΥ</w:t>
      </w:r>
    </w:p>
    <w:p w:rsidR="00E506D3" w:rsidRDefault="00A1386A" w:rsidP="00A1386A">
      <w:pPr>
        <w:pStyle w:val="Titreobjet"/>
        <w:rPr>
          <w:noProof/>
        </w:rPr>
      </w:pPr>
      <w:r w:rsidRPr="00A1386A">
        <w:t>για τη θέσπιση του Ταμείου Εσωτερικής Ασφάλειας</w:t>
      </w:r>
    </w:p>
    <w:p w:rsidR="00E506D3" w:rsidRDefault="00A1386A">
      <w:pPr>
        <w:pStyle w:val="Institutionquiagit"/>
        <w:rPr>
          <w:noProof/>
        </w:rPr>
      </w:pPr>
      <w:r>
        <w:rPr>
          <w:noProof/>
        </w:rPr>
        <w:t xml:space="preserve">ΤΟ ΕΥΡΩΠΑΪΚΟ ΚΟΙΝΟΒΟΥΛΙΟ ΚΑΙ ΤΟ </w:t>
      </w:r>
      <w:r>
        <w:rPr>
          <w:noProof/>
        </w:rPr>
        <w:t>ΣΥΜΒΟΥΛΙΟ ΤΗΣ ΕΥΡΩΠΑΪΚΗΣ ΕΝΩΣΗΣ,</w:t>
      </w:r>
    </w:p>
    <w:p w:rsidR="00E506D3" w:rsidRDefault="00A1386A">
      <w:pPr>
        <w:rPr>
          <w:noProof/>
        </w:rPr>
      </w:pPr>
      <w:r>
        <w:rPr>
          <w:noProof/>
        </w:rPr>
        <w:t>Έχοντας υπόψη τη Συνθήκη για τη λειτουργία της Ευρωπαϊκής Ένωσης, και ιδίως τα άρθρα 82 παράγραφος 1, 84 και 87 παράγραφος 2,</w:t>
      </w:r>
    </w:p>
    <w:p w:rsidR="00E506D3" w:rsidRDefault="00A1386A">
      <w:pPr>
        <w:rPr>
          <w:noProof/>
        </w:rPr>
      </w:pPr>
      <w:r>
        <w:rPr>
          <w:noProof/>
        </w:rPr>
        <w:t>Έχοντας υπόψη την πρόταση της Ευρωπαϊκής Επιτροπής,</w:t>
      </w:r>
    </w:p>
    <w:p w:rsidR="00E506D3" w:rsidRDefault="00A1386A">
      <w:pPr>
        <w:rPr>
          <w:noProof/>
        </w:rPr>
      </w:pPr>
      <w:r>
        <w:rPr>
          <w:noProof/>
        </w:rPr>
        <w:t>Κατόπιν διαβίβασης του σχεδίου νομοθετικής πρ</w:t>
      </w:r>
      <w:r>
        <w:rPr>
          <w:noProof/>
        </w:rPr>
        <w:t>άξης στα εθνικά κοινοβούλια,</w:t>
      </w:r>
    </w:p>
    <w:p w:rsidR="00E506D3" w:rsidRDefault="00A1386A">
      <w:pPr>
        <w:rPr>
          <w:noProof/>
        </w:rPr>
      </w:pPr>
      <w:r>
        <w:rPr>
          <w:noProof/>
        </w:rPr>
        <w:t>Έχοντας υπόψη τη γνώμη της Ευρωπαϊκής Οικονομικής και Κοινωνικής Επιτροπής</w:t>
      </w:r>
      <w:r>
        <w:rPr>
          <w:rStyle w:val="FootnoteReference"/>
          <w:noProof/>
        </w:rPr>
        <w:footnoteReference w:id="9"/>
      </w:r>
      <w:r>
        <w:rPr>
          <w:noProof/>
        </w:rPr>
        <w:t>,</w:t>
      </w:r>
    </w:p>
    <w:p w:rsidR="00E506D3" w:rsidRDefault="00A1386A">
      <w:pPr>
        <w:rPr>
          <w:noProof/>
        </w:rPr>
      </w:pPr>
      <w:r>
        <w:rPr>
          <w:noProof/>
        </w:rPr>
        <w:t>Έχοντας υπόψη τη γνώμη της Επιτροπής των Περιφερειών</w:t>
      </w:r>
      <w:r>
        <w:rPr>
          <w:rStyle w:val="FootnoteReference"/>
          <w:noProof/>
        </w:rPr>
        <w:footnoteReference w:id="10"/>
      </w:r>
      <w:r>
        <w:rPr>
          <w:noProof/>
        </w:rPr>
        <w:t>,</w:t>
      </w:r>
    </w:p>
    <w:p w:rsidR="00E506D3" w:rsidRDefault="00A1386A">
      <w:pPr>
        <w:rPr>
          <w:noProof/>
        </w:rPr>
      </w:pPr>
      <w:r>
        <w:rPr>
          <w:noProof/>
        </w:rPr>
        <w:t xml:space="preserve">Αποφασίζοντας σύμφωνα με τη συνήθη νομοθετική διαδικασία, </w:t>
      </w:r>
    </w:p>
    <w:p w:rsidR="00E506D3" w:rsidRDefault="00A1386A">
      <w:pPr>
        <w:rPr>
          <w:noProof/>
        </w:rPr>
      </w:pPr>
      <w:r>
        <w:rPr>
          <w:noProof/>
        </w:rPr>
        <w:t>Εκτιμώντας τα ακόλουθα:</w:t>
      </w:r>
    </w:p>
    <w:p w:rsidR="00E506D3" w:rsidRDefault="00A1386A">
      <w:pPr>
        <w:pStyle w:val="ManualConsidrant"/>
        <w:rPr>
          <w:noProof/>
        </w:rPr>
      </w:pPr>
      <w:r>
        <w:t>(1)</w:t>
      </w:r>
      <w:r>
        <w:tab/>
      </w:r>
      <w:r>
        <w:rPr>
          <w:noProof/>
        </w:rPr>
        <w:t xml:space="preserve">Η </w:t>
      </w:r>
      <w:r>
        <w:rPr>
          <w:noProof/>
        </w:rPr>
        <w:t>εξασφάλιση της εσωτερικής ασφάλειας, η οποία εμπίπτει στην αρμοδιότητα των κρατών μελών, αποτελεί κοινή προσπάθεια στην οποία θα πρέπει να συμβάλλουν από κοινού τα θεσμικά όργανα της ΕΕ, οι σχετικοί οργανισμοί της Ένωσης και τα κράτη μέλη. Κατά την περίοδο</w:t>
      </w:r>
      <w:r>
        <w:rPr>
          <w:noProof/>
        </w:rPr>
        <w:t xml:space="preserve"> 2015 έως 2020, η Επιτροπή, το Συμβούλιο της Ευρωπαϊκής Ένωσης και το Ευρωπαϊκό Κοινοβούλιο έχουν ορίσει κοινές προτεραιότητες που ορίζονται στο ευρωπαϊκό θεματολόγιο για την ασφάλεια του Απριλίου 2015</w:t>
      </w:r>
      <w:r>
        <w:rPr>
          <w:rStyle w:val="FootnoteReference"/>
          <w:noProof/>
        </w:rPr>
        <w:footnoteReference w:id="11"/>
      </w:r>
      <w:r>
        <w:rPr>
          <w:noProof/>
        </w:rPr>
        <w:t>, οι οποίες επιβεβαιώθηκαν από το Συμβούλιο με την ανα</w:t>
      </w:r>
      <w:r>
        <w:rPr>
          <w:noProof/>
        </w:rPr>
        <w:t>νεωμένη στρατηγική εσωτερικής ασφάλειας του Ιουνίου 2015</w:t>
      </w:r>
      <w:r>
        <w:rPr>
          <w:rStyle w:val="FootnoteReference"/>
          <w:noProof/>
        </w:rPr>
        <w:footnoteReference w:id="12"/>
      </w:r>
      <w:r>
        <w:rPr>
          <w:noProof/>
        </w:rPr>
        <w:t xml:space="preserve"> και από το Ευρωπαϊκό Κοινοβούλιο στο ψήφισμά του τού Ιουλίου 2015</w:t>
      </w:r>
      <w:r>
        <w:rPr>
          <w:rStyle w:val="FootnoteReference"/>
          <w:noProof/>
        </w:rPr>
        <w:footnoteReference w:id="13"/>
      </w:r>
      <w:r>
        <w:rPr>
          <w:noProof/>
        </w:rPr>
        <w:t>. Αυτή η κοινή στρατηγική αποσκοπούσε στο να παρέχει το στρατηγικό πλαίσιο για τις εργασίες σε επίπεδο Ένωσης στον τομέα της εσωτερι</w:t>
      </w:r>
      <w:r>
        <w:rPr>
          <w:noProof/>
        </w:rPr>
        <w:t>κής ασφάλειας, και καθόρισε τις κύριες προτεραιότητες για την ανάληψη δράσης κατά την περίοδο 2015-2020, δηλαδή την αντιμετώπιση της τρομοκρατίας και την πρόληψη της ριζοσπαστικοποίησης, την πάταξη του οργανωμένου εγκλήματος και την καταπολέμηση του εγκλήμ</w:t>
      </w:r>
      <w:r>
        <w:rPr>
          <w:noProof/>
        </w:rPr>
        <w:t>ατος στον κυβερνοχώρο, ώστε να υπάρξει αποτελεσματική απόκριση της Ένωσης στις απειλές κατά της ασφάλειας,.</w:t>
      </w:r>
    </w:p>
    <w:p w:rsidR="00E506D3" w:rsidRDefault="00A1386A">
      <w:pPr>
        <w:pStyle w:val="ManualConsidrant"/>
        <w:rPr>
          <w:noProof/>
        </w:rPr>
      </w:pPr>
      <w:r>
        <w:t>(2)</w:t>
      </w:r>
      <w:r>
        <w:tab/>
      </w:r>
      <w:r>
        <w:rPr>
          <w:noProof/>
        </w:rPr>
        <w:t>Στη Διακήρυξη της Ρώμης που υπεγράφη στις 25 Σεπτεμβρίου 2017, οι ηγέτες των 27 κρατών μελών επιβεβαίωσαν την αποφασιστικότητά τους για μια Ευρώ</w:t>
      </w:r>
      <w:r>
        <w:rPr>
          <w:noProof/>
        </w:rPr>
        <w:t>πη ασφαλή σε όλα τα επίπεδα, και να οικοδομήσουν μια Ένωση όπου όλοι οι πολίτες θα αισθάνονται ασφαλείς και θα μπορούν να κυκλοφορούν ελεύθερα, όπου τα εξωτερικά σύνορα θα είναι ασφαλή, εφαρμόζοντας μια αποτελεσματική, υπεύθυνη και βιώσιμη μεταναστευτική π</w:t>
      </w:r>
      <w:r>
        <w:rPr>
          <w:noProof/>
        </w:rPr>
        <w:t>ολιτική που θα τηρεί τα διεθνή πρότυπα, καθώς και μια Ευρώπη αποφασισμένη να καταπολεμήσει την τρομοκρατία και το οργανωμένο έγκλημα.</w:t>
      </w:r>
    </w:p>
    <w:p w:rsidR="00E506D3" w:rsidRDefault="00A1386A">
      <w:pPr>
        <w:pStyle w:val="ManualConsidrant"/>
        <w:rPr>
          <w:noProof/>
        </w:rPr>
      </w:pPr>
      <w:r>
        <w:t>(3)</w:t>
      </w:r>
      <w:r>
        <w:tab/>
      </w:r>
      <w:r>
        <w:rPr>
          <w:noProof/>
        </w:rPr>
        <w:t>Το Ευρωπαϊκό Συμβούλιο της 15ης Δεκεμβρίου 2016 ζήτησε να συνεχιστεί η παροχή αποτελεσμάτων σχετικά με τη διαλειτουργι</w:t>
      </w:r>
      <w:r>
        <w:rPr>
          <w:noProof/>
        </w:rPr>
        <w:t>κότητα των συστημάτων πληροφοριών και των βάσεων δεδομένων της ΕΕ. Το Ευρωπαϊκό Συμβούλιο της 23ης Ιουνίου 2017 τόνισε την ανάγκη βελτίωσης της διαλειτουργικότητας μεταξύ των βάσεων δεδομένων και, στις 12 Δεκεμβρίου 2017, η Επιτροπή εξέδωσε πρόταση κανονισ</w:t>
      </w:r>
      <w:r>
        <w:rPr>
          <w:noProof/>
        </w:rPr>
        <w:t>μού σχετικά με τη θέσπιση πλαισίου για τη διαλειτουργικότητα μεταξύ των συστημάτων πληροφοριών της ΕΕ (αστυνομική και δικαστική συνεργασία, άσυλο και μετανάστευση)</w:t>
      </w:r>
      <w:r>
        <w:rPr>
          <w:rStyle w:val="FootnoteReference"/>
          <w:noProof/>
        </w:rPr>
        <w:footnoteReference w:id="14"/>
      </w:r>
      <w:r>
        <w:rPr>
          <w:noProof/>
        </w:rPr>
        <w:t>.</w:t>
      </w:r>
    </w:p>
    <w:p w:rsidR="00E506D3" w:rsidRDefault="00A1386A">
      <w:pPr>
        <w:pStyle w:val="ManualConsidrant"/>
        <w:rPr>
          <w:noProof/>
        </w:rPr>
      </w:pPr>
      <w:r>
        <w:t>(4)</w:t>
      </w:r>
      <w:r>
        <w:tab/>
      </w:r>
      <w:r>
        <w:rPr>
          <w:noProof/>
        </w:rPr>
        <w:t>Ο στόχος της Ένωσης που συνίσταται στην εξασφάλιση υψηλού επιπέδου ασφάλειας σε έναν χ</w:t>
      </w:r>
      <w:r>
        <w:rPr>
          <w:noProof/>
        </w:rPr>
        <w:t>ώρο ελευθερίας, ασφάλειας και δικαιοσύνης σύμφωνα με το άρθρο 67 παράγραφος 3 της Συνθήκης για τη λειτουργία της Ευρωπαϊκής Ένωσης (ΣΛΕΕ) θα πρέπει να επιτευχθεί, μεταξύ άλλων, με μέτρα για την πρόληψη και καταστολή της εγκληματικότητας, καθώς και με μέτρα</w:t>
      </w:r>
      <w:r>
        <w:rPr>
          <w:noProof/>
        </w:rPr>
        <w:t xml:space="preserve"> για τον συντονισμό και τη συνεργασία μεταξύ των αρχών επιβολής του νόμου και άλλων εθνικών αρχών των κρατών μελών, καθώς και με τους σχετικούς οργανισμούς της Ένωσης και άλλους σχετικούς φορείς της Ένωσης, όπως επίσης με τις ενδιαφερόμενες τρίτες χώρες κα</w:t>
      </w:r>
      <w:r>
        <w:rPr>
          <w:noProof/>
        </w:rPr>
        <w:t xml:space="preserve">ι τους σχετικούς διεθνείς οργανισμούς. </w:t>
      </w:r>
    </w:p>
    <w:p w:rsidR="00E506D3" w:rsidRDefault="00A1386A">
      <w:pPr>
        <w:pStyle w:val="ManualConsidrant"/>
        <w:rPr>
          <w:noProof/>
        </w:rPr>
      </w:pPr>
      <w:r>
        <w:t>(5)</w:t>
      </w:r>
      <w:r>
        <w:tab/>
      </w:r>
      <w:r>
        <w:rPr>
          <w:noProof/>
        </w:rPr>
        <w:t>Για την επίτευξη του στόχου αυτού, πρέπει να αναληφθεί δράση σε επίπεδο Ένωσης για την προστασία των προσώπων και των προϊόντων από απειλές που έχουν διαρκώς περισσότερο διακρατικό χαρακτήρα, και να στηριχθούν οι</w:t>
      </w:r>
      <w:r>
        <w:rPr>
          <w:noProof/>
        </w:rPr>
        <w:t xml:space="preserve"> προσπάθειες που καταβάλλουν οι αρμόδιες αρχές των κρατών μελών. Η τρομοκρατία, το σοβαρό και οργανωμένο έγκλημα, το πλανόδιο έγκλημα, η παράνομη εμπορία ναρκωτικών, η διαφθορά, το έγκλημα στον κυβερνοχώρο, η εμπορία ανθρώπων και όπλων, μεταξύ άλλων, εξακο</w:t>
      </w:r>
      <w:r>
        <w:rPr>
          <w:noProof/>
        </w:rPr>
        <w:t>λουθούν να αποτελούν πρόκληση για την εσωτερική ασφάλεια της Ένωσης.</w:t>
      </w:r>
    </w:p>
    <w:p w:rsidR="00E506D3" w:rsidRDefault="00A1386A">
      <w:pPr>
        <w:pStyle w:val="ManualConsidrant"/>
        <w:rPr>
          <w:noProof/>
        </w:rPr>
      </w:pPr>
      <w:r>
        <w:t>(6)</w:t>
      </w:r>
      <w:r>
        <w:tab/>
      </w:r>
      <w:r>
        <w:rPr>
          <w:noProof/>
        </w:rPr>
        <w:t>Η χρηματοδότηση από τον προϋπολογισμό της Ένωσης θα πρέπει να εστιάζεται σε δραστηριότητες στις οποίες η παρέμβαση της Ένωσης μπορεί να προσδώσει πρόσθετη αξία σε σύγκριση με τη δράση</w:t>
      </w:r>
      <w:r>
        <w:rPr>
          <w:noProof/>
        </w:rPr>
        <w:t xml:space="preserve"> του κάθε κράτους μέλους χωριστά. Σύμφωνα με τα άρθρα 84 και 87 παράγραφος 2 της ΣΛΕΕ, η χρηματοδότηση θα πρέπει να στηρίζει μέτρα που ενθαρρύνουν και στηρίζουν τη δράση των κρατών μελών στον τομέα της πρόληψης του εγκλήματος και την αστυνομική συνεργασία </w:t>
      </w:r>
      <w:r>
        <w:rPr>
          <w:noProof/>
        </w:rPr>
        <w:t>στην οποία συμμετέχουν όλες οι αρμόδιες αρχές των κρατών μελών, ιδίως όσον αφορά την ανταλλαγή πληροφοριών, την ενίσχυση της επιχειρησιακής συνεργασίας και τη στήριξη των προσπαθειών ενίσχυσης των ικανοτήτων για την καταπολέμηση και την πρόληψη του εγκλήμα</w:t>
      </w:r>
      <w:r>
        <w:rPr>
          <w:noProof/>
        </w:rPr>
        <w:t>τος. Το Ταμείο δεν θα πρέπει να στηρίζει τις λειτουργικές δαπάνες και τις δραστηριότητες που σχετίζονται με τα βασικά καθήκοντα των κρατών μελών όσον αφορά την τήρηση του νόμου και της τάξης και τη διασφάλιση της εσωτερικής και εθνικής ασφάλειας, όπως αναφ</w:t>
      </w:r>
      <w:r>
        <w:rPr>
          <w:noProof/>
        </w:rPr>
        <w:t>έρεται στο άρθρο 72 της ΣΛΕΕ.</w:t>
      </w:r>
    </w:p>
    <w:p w:rsidR="00E506D3" w:rsidRDefault="00A1386A">
      <w:pPr>
        <w:pStyle w:val="ManualConsidrant"/>
        <w:rPr>
          <w:noProof/>
        </w:rPr>
      </w:pPr>
      <w:r>
        <w:t>(7)</w:t>
      </w:r>
      <w:r>
        <w:tab/>
      </w:r>
      <w:r>
        <w:rPr>
          <w:noProof/>
        </w:rPr>
        <w:t xml:space="preserve">Για τη διαφύλαξη της ακεραιότητας του χώρου Σένγκεν και την ενίσχυση της λειτουργίας του, τα κράτη μέλη είναι υποχρεωμένα να εκτελούν, από τις 6 Απριλίου 2017, συστηματικούς ελέγχους στις οικείες βάσεις δεδομένων για τους </w:t>
      </w:r>
      <w:r>
        <w:rPr>
          <w:noProof/>
        </w:rPr>
        <w:t>πολίτες της ΕΕ οι οποίοι διέρχονται από τα εξωτερικά σύνορα της ΕΕ. Επιπλέον, η Επιτροπή εξέδωσε σύσταση προς τα κράτη μέλη να κάνουν καλύτερη χρήση των αστυνομικών ελέγχων και της διασυνοριακής συνεργασίας. Η αλληλεγγύη μεταξύ των κρατών μελών, η σαφής κα</w:t>
      </w:r>
      <w:r>
        <w:rPr>
          <w:noProof/>
        </w:rPr>
        <w:t>τανομή των καθηκόντων, ο σεβασμός των θεμελιωδών δικαιωμάτων και ελευθεριών και του κράτους δικαίου, η ισχυρή παγκόσμια προοπτική και η αναγκαία συνέπεια με την εξωτερική διάσταση της ασφάλειας θα πρέπει να αποτελούν τις βασικές αρχές που καθοδηγούν τη δρά</w:t>
      </w:r>
      <w:r>
        <w:rPr>
          <w:noProof/>
        </w:rPr>
        <w:t>ση της ΕΕ και των κρατών μελών προς την ανάπτυξη μιας αποτελεσματικής και πραγματικής ένωσης ασφάλειας.</w:t>
      </w:r>
    </w:p>
    <w:p w:rsidR="00E506D3" w:rsidRDefault="00A1386A">
      <w:pPr>
        <w:pStyle w:val="ManualConsidrant"/>
        <w:rPr>
          <w:noProof/>
        </w:rPr>
      </w:pPr>
      <w:r>
        <w:t>(8)</w:t>
      </w:r>
      <w:r>
        <w:tab/>
      </w:r>
      <w:r>
        <w:rPr>
          <w:noProof/>
        </w:rPr>
        <w:t>Για να συμβάλουν στην ανάπτυξη και υλοποίηση μιας αποτελεσματικής και πραγματικής ένωσης ασφάλειας, με στόχο την εξασφάλιση υψηλού επιπέδου εσωτερικ</w:t>
      </w:r>
      <w:r>
        <w:rPr>
          <w:noProof/>
        </w:rPr>
        <w:t>ής ασφάλειας σε ολόκληρη την Ευρωπαϊκή Ένωση, θα πρέπει να δοθεί στα κράτη μέλη επαρκής χρηματοδοτική στήριξη από την Ένωση μέσω της δημιουργίας και διαχείρισης ενός Ταμείου Εσωτερικής Ασφάλειας (εφεξής «το Ταμείο»).</w:t>
      </w:r>
    </w:p>
    <w:p w:rsidR="00E506D3" w:rsidRDefault="00A1386A">
      <w:pPr>
        <w:pStyle w:val="ManualConsidrant"/>
        <w:rPr>
          <w:noProof/>
        </w:rPr>
      </w:pPr>
      <w:r>
        <w:t>(9)</w:t>
      </w:r>
      <w:r>
        <w:tab/>
      </w:r>
      <w:r>
        <w:rPr>
          <w:noProof/>
        </w:rPr>
        <w:t xml:space="preserve">Το Ταμείο θα πρέπει να εφαρμόζεται </w:t>
      </w:r>
      <w:r>
        <w:rPr>
          <w:noProof/>
        </w:rPr>
        <w:t>σύμφωνα με τα δικαιώματα και τις αρχές που ορίζονται στον Χάρτη των Θεμελιωδών Δικαιωμάτων της Ευρωπαϊκής Ένωσης και τις διεθνείς υποχρεώσεις της Ένωσης όσον αφορά τα θεμελιώδη δικαιώματα.</w:t>
      </w:r>
    </w:p>
    <w:p w:rsidR="00E506D3" w:rsidRDefault="00A1386A">
      <w:pPr>
        <w:pStyle w:val="ManualConsidrant"/>
        <w:rPr>
          <w:noProof/>
        </w:rPr>
      </w:pPr>
      <w:r>
        <w:t>(10)</w:t>
      </w:r>
      <w:r>
        <w:tab/>
      </w:r>
      <w:r>
        <w:rPr>
          <w:noProof/>
        </w:rPr>
        <w:t>Δυνάμει του άρθρου 3 της Συνθήκης για την Ευρωπαϊκή Ένωση (ΣΕΕ</w:t>
      </w:r>
      <w:r>
        <w:rPr>
          <w:noProof/>
        </w:rPr>
        <w:t>), το Ταμείο θα πρέπει να στηρίζει δραστηριότητες οι οποίες διασφαλίζουν την προστασία των παιδιών από τη βία, την κακοποίηση, την εκμετάλλευση και την εγκατάλειψη. Το Ταμείο θα πρέπει επίσης να στηρίζει την παροχή διασφαλίσεων και βοήθειας σε παιδιά μάρτυ</w:t>
      </w:r>
      <w:r>
        <w:rPr>
          <w:noProof/>
        </w:rPr>
        <w:t>ρες και θύματα, ιδιαίτερα αν είναι ασυνόδευτα ή έχουν για άλλο λόγο ανάγκη επιτροπείας.</w:t>
      </w:r>
    </w:p>
    <w:p w:rsidR="00E506D3" w:rsidRDefault="00A1386A">
      <w:pPr>
        <w:pStyle w:val="ManualConsidrant"/>
        <w:rPr>
          <w:noProof/>
        </w:rPr>
      </w:pPr>
      <w:r>
        <w:t>(11)</w:t>
      </w:r>
      <w:r>
        <w:tab/>
      </w:r>
      <w:r>
        <w:rPr>
          <w:noProof/>
        </w:rPr>
        <w:t>Σύμφωνα με τις κοινές προτεραιότητες που προσδιορίστηκαν σε επίπεδο της Ένωσης για να εξασφαλιστεί ένα υψηλό επίπεδο ασφάλειας στην Ένωση, το Ταμείο θα στηρίζει δρ</w:t>
      </w:r>
      <w:r>
        <w:rPr>
          <w:noProof/>
        </w:rPr>
        <w:t xml:space="preserve">άσεις που αποσκοπούν στην αντιμετώπιση των κυριότερων απειλών για την ασφάλεια, και ιδίως την αντιμετώπιση της τρομοκρατίας και της ριζοσπαστικοποίησης, του σοβαρού και οργανωμένου εγκλήματος, του εγκλήματος στον κυβερνοχώρο, καθώς και την παροχή βοήθειας </w:t>
      </w:r>
      <w:r>
        <w:rPr>
          <w:noProof/>
        </w:rPr>
        <w:t>και την προστασία των θυμάτων εγκληματικών πράξεων. Το Ταμείο θα διασφαλίσει ότι η Ένωση και τα κράτη μέλη της είναι καλά εξοπλισμένα επίσης για την αντιμετώπιση των εξελισσόμενων και των νεοεμφανιζόμενων απειλών προκειμένου να τεθεί σε εφαρμογή μια πραγμα</w:t>
      </w:r>
      <w:r>
        <w:rPr>
          <w:noProof/>
        </w:rPr>
        <w:t xml:space="preserve">τική ένωση ασφάλειας. Ο στόχος αυτός θα πρέπει να επιδιωχθεί μέσω χρηματοδοτικής συνδρομής για τη στήριξη καλύτερης ανταλλαγής πληροφοριών, την αύξηση της επιχειρησιακής συνεργασίας και τη βελτίωση των εθνικών και συλλογικών ικανοτήτων. </w:t>
      </w:r>
    </w:p>
    <w:p w:rsidR="00E506D3" w:rsidRDefault="00A1386A">
      <w:pPr>
        <w:pStyle w:val="ManualConsidrant"/>
        <w:rPr>
          <w:noProof/>
        </w:rPr>
      </w:pPr>
      <w:r>
        <w:t>(12)</w:t>
      </w:r>
      <w:r>
        <w:tab/>
      </w:r>
      <w:r>
        <w:rPr>
          <w:noProof/>
        </w:rPr>
        <w:t xml:space="preserve">Στο συνολικό </w:t>
      </w:r>
      <w:r>
        <w:rPr>
          <w:noProof/>
        </w:rPr>
        <w:t>πλαίσιο του Ταμείου, η χρηματοδοτική βοήθεια που παρέχεται μέσω του Ταμείου θα πρέπει ιδίως να στηρίζει την αστυνομική και δικαστική συνεργασία και πρόληψη στον τομέα του σοβαρού και του οργανωμένου εγκλήματος, του λαθρεμπορίου όπλων, της διαφθοράς, της νο</w:t>
      </w:r>
      <w:r>
        <w:rPr>
          <w:noProof/>
        </w:rPr>
        <w:t>μιμοποίησης εσόδων από παράνομες δραστηριότητες, της διακίνησης ναρκωτικών, των εγκλημάτων κατά του περιβάλλοντος, της ανταλλαγής πληροφοριών και της πρόσβασης σε αυτές, της τρομοκρατίας, της εμπορίας ανθρώπων, της εκμετάλλευσης της παράνομης μετανάστευσης</w:t>
      </w:r>
      <w:r>
        <w:rPr>
          <w:noProof/>
        </w:rPr>
        <w:t>, της σεξουαλικής εκμετάλλευσης παιδιών, της διανομής εικόνων σεξουαλικής κακοποίησης παιδιών και της παιδικής πορνογραφίας και του εγκλήματος στον κυβερνοχώρο. Το Ταμείο θα πρέπει επίσης να στηρίζει την προστασία των ανθρώπων, των δημόσιων χώρων και των υ</w:t>
      </w:r>
      <w:r>
        <w:rPr>
          <w:noProof/>
        </w:rPr>
        <w:t>ποδομών ζωτικής σημασίας από περιστατικά που άπτονται της ασφάλειας, καθώς και την αποτελεσματική διαχείριση των κινδύνων και κρίσεων που συνδέονται με την ασφάλεια, μεταξύ άλλων, μέσω της ανάπτυξης κοινών πολιτικών (όπως στρατηγικές, κύκλοι πολιτικής, προ</w:t>
      </w:r>
      <w:r>
        <w:rPr>
          <w:noProof/>
        </w:rPr>
        <w:t>γράμματα και σχέδια δράσης), νομοθεσίας και έμπρακτης συνεργασίας.</w:t>
      </w:r>
    </w:p>
    <w:p w:rsidR="00E506D3" w:rsidRDefault="00A1386A">
      <w:pPr>
        <w:pStyle w:val="ManualConsidrant"/>
        <w:rPr>
          <w:noProof/>
        </w:rPr>
      </w:pPr>
      <w:r>
        <w:t>(13)</w:t>
      </w:r>
      <w:r>
        <w:tab/>
      </w:r>
      <w:r>
        <w:rPr>
          <w:noProof/>
        </w:rPr>
        <w:t xml:space="preserve">Το Ταμείο θα πρέπει να βασίζεται στα αποτελέσματα και τις επενδύσεις των προηγούμενων μέσων: το πρόγραμμα «Πρόληψη και καταπολέμηση της εγκληματικότητας» (ISEC) και το πρόγραμμα </w:t>
      </w:r>
      <w:r>
        <w:rPr>
          <w:noProof/>
        </w:rPr>
        <w:t xml:space="preserve">«Πρόληψη, ετοιμότητα και διαχείριση των συνεπειών της τρομοκρατίας και άλλων κινδύνων που συνδέονται με την ασφάλεια» (CIPS) για την περίοδο 2007-2013, το μέσο αστυνομικής συνεργασίας, πρόληψης και καταπολέμησης του εγκλήματος και διαχείρισης κρίσεων, στο </w:t>
      </w:r>
      <w:r>
        <w:rPr>
          <w:noProof/>
        </w:rPr>
        <w:t>πλαίσιο του Ταμείου Εσωτερικής Ασφάλειας για την περίοδο 2014-2020, που θεσπίστηκε με τον κανονισμό (ΕΕ) αριθ. 513/2014 του Ευρωπαϊκού Κοινοβουλίου και του Συμβουλίου</w:t>
      </w:r>
      <w:r>
        <w:rPr>
          <w:rStyle w:val="FootnoteReference"/>
          <w:noProof/>
        </w:rPr>
        <w:footnoteReference w:id="15"/>
      </w:r>
      <w:r>
        <w:rPr>
          <w:noProof/>
        </w:rPr>
        <w:t>, και θα πρέπει να επεκταθεί για να ληφθούν υπόψη νέες εξελίξεις.</w:t>
      </w:r>
    </w:p>
    <w:p w:rsidR="00E506D3" w:rsidRDefault="00A1386A">
      <w:pPr>
        <w:pStyle w:val="ManualConsidrant"/>
        <w:rPr>
          <w:noProof/>
        </w:rPr>
      </w:pPr>
      <w:r>
        <w:t>(14)</w:t>
      </w:r>
      <w:r>
        <w:tab/>
      </w:r>
      <w:r>
        <w:rPr>
          <w:noProof/>
        </w:rPr>
        <w:t>Είναι αναγκαία η μ</w:t>
      </w:r>
      <w:r>
        <w:rPr>
          <w:noProof/>
        </w:rPr>
        <w:t>εγιστοποίηση του αντίκτυπου της χρηματοδότησης από την Ένωση με την κινητοποίηση, τη συγκέντρωση και τη μόχλευση δημόσιων και ιδιωτικών χρηματοδοτικών πόρων. Το Ταμείο θα πρέπει να προωθεί και να ενθαρρύνει την ενεργό και ουσιαστική συμμετοχή και εμπλοκή τ</w:t>
      </w:r>
      <w:r>
        <w:rPr>
          <w:noProof/>
        </w:rPr>
        <w:t>ης κοινωνίας των πολιτών, περιλαμβανομένων των μη κυβερνητικών οργανώσεων, καθώς και του βιομηχανικού τομέα στην ανάπτυξη και εφαρμογή της πολιτικής για την ασφάλεια, καθώς και, κατά περίπτωση, με τη συμμετοχή άλλων σχετικών παραγόντων, οργανισμών της Ένωσ</w:t>
      </w:r>
      <w:r>
        <w:rPr>
          <w:noProof/>
        </w:rPr>
        <w:t>ης και άλλων φορέων της Ένωσης, τρίτων χωρών και διεθνών οργανισμών σε σχέση με τον στόχο του Ταμείου.</w:t>
      </w:r>
    </w:p>
    <w:p w:rsidR="00E506D3" w:rsidRDefault="00A1386A">
      <w:pPr>
        <w:pStyle w:val="ManualConsidrant"/>
        <w:rPr>
          <w:noProof/>
        </w:rPr>
      </w:pPr>
      <w:r>
        <w:t>(15)</w:t>
      </w:r>
      <w:r>
        <w:tab/>
      </w:r>
      <w:r>
        <w:rPr>
          <w:noProof/>
        </w:rPr>
        <w:t>Στο συνολικό πλαίσιο της στρατηγικής της Ένωσης κατά των ναρκωτικών, που υιοθετεί μια ισορροπημένη προσέγγιση με βάση την ταυτόχρονη μείωση της προσ</w:t>
      </w:r>
      <w:r>
        <w:rPr>
          <w:noProof/>
        </w:rPr>
        <w:t xml:space="preserve">φοράς και της ζήτησης, η χρηματοδοτική στήριξη που παρέχεται δυνάμει του παρόντος Ταμείου θα πρέπει να ενισχύει όλες τις ενέργειες που αποσκοπούν στην πρόληψη και την καταπολέμηση της διακίνησης ναρκωτικών (μείωση της προσφοράς και της ζήτησης), και ιδίως </w:t>
      </w:r>
      <w:r>
        <w:rPr>
          <w:noProof/>
        </w:rPr>
        <w:t>τα μέτρα που πλήττουν την παραγωγή, την επεξεργασία, την πώληση, τη μεταφορά, την εισαγωγή και την εξαγωγή ναρκωτικών, συμπεριλαμβανομένων της κατοχής και της αγοράς με στόχο την ανάληψη δραστηριοτήτων διακίνησης ναρκωτικών. Το Ταμείο θα πρέπει να καλύπτει</w:t>
      </w:r>
      <w:r>
        <w:rPr>
          <w:noProof/>
        </w:rPr>
        <w:t xml:space="preserve"> ιδίως τις πτυχές της πολιτικής για τα ναρκωτικά που αφορούν την πρόληψη. Για την επίτευξη περαιτέρω συνεργειών και σαφήνειας στους τομείς που αφορούν τα ναρκωτικά, τα στοιχεία αυτά των σχετικών με τα ναρκωτικά στόχων — τα οποία, κατά την περίοδο 2014-2020</w:t>
      </w:r>
      <w:r>
        <w:rPr>
          <w:noProof/>
        </w:rPr>
        <w:t>, καλύπτονται από το πρόγραμμα «Δικαιοσύνη» — θα πρέπει να ενσωματωθούν στο Ταμείο.</w:t>
      </w:r>
    </w:p>
    <w:p w:rsidR="00E506D3" w:rsidRDefault="00A1386A">
      <w:pPr>
        <w:pStyle w:val="ManualConsidrant"/>
        <w:rPr>
          <w:noProof/>
        </w:rPr>
      </w:pPr>
      <w:r>
        <w:t>(16)</w:t>
      </w:r>
      <w:r>
        <w:tab/>
      </w:r>
      <w:r>
        <w:rPr>
          <w:noProof/>
        </w:rPr>
        <w:t>Προκειμένου να διασφαλιστεί ότι το Ταμείο συμβάλλει αποτελεσματικά σε υψηλότερο επίπεδο εσωτερικής ασφάλειας σε ολόκληρη την Ευρωπαϊκή Ένωση, στην ανάπτυξη μιας πραγμα</w:t>
      </w:r>
      <w:r>
        <w:rPr>
          <w:noProof/>
        </w:rPr>
        <w:t>τικής ένωσης ασφάλειας, θα πρέπει να χρησιμοποιείται κατά τρόπο που να προσφέρει προστιθέμενη αξία στη δράση των κρατών μελών.</w:t>
      </w:r>
    </w:p>
    <w:p w:rsidR="00E506D3" w:rsidRDefault="00A1386A">
      <w:pPr>
        <w:pStyle w:val="ManualConsidrant"/>
        <w:rPr>
          <w:noProof/>
        </w:rPr>
      </w:pPr>
      <w:r>
        <w:t>(17)</w:t>
      </w:r>
      <w:r>
        <w:tab/>
      </w:r>
      <w:r>
        <w:rPr>
          <w:noProof/>
        </w:rPr>
        <w:t>Για λόγους αλληλεγγύης εντός της Ένωσης, και υπό το πνεύμα της κοινής ευθύνης για την ασφάλεια σε αυτήν, όταν εντοπίζονται α</w:t>
      </w:r>
      <w:r>
        <w:rPr>
          <w:noProof/>
        </w:rPr>
        <w:t>δυναμίες ή κίνδυνοι, ειδικότερα μετά από αξιολόγηση του Σένγκεν, το οικείο κράτος μέλος θα πρέπει να αντιμετωπίζει το ζήτημα με τον κατάλληλο τρόπο χρησιμοποιώντας τους πόρους του προγράμματός του για να εφαρμόσει τις συστάσεις που εκδόθηκαν δυνάμει του κα</w:t>
      </w:r>
      <w:r>
        <w:rPr>
          <w:noProof/>
        </w:rPr>
        <w:t>νονισμού (ΕΕ) αριθ. 1053/2013</w:t>
      </w:r>
      <w:r>
        <w:rPr>
          <w:rStyle w:val="FootnoteReference"/>
          <w:noProof/>
        </w:rPr>
        <w:footnoteReference w:id="16"/>
      </w:r>
      <w:r>
        <w:rPr>
          <w:noProof/>
        </w:rPr>
        <w:t>.</w:t>
      </w:r>
    </w:p>
    <w:p w:rsidR="00E506D3" w:rsidRDefault="00A1386A">
      <w:pPr>
        <w:pStyle w:val="ManualConsidrant"/>
        <w:rPr>
          <w:noProof/>
        </w:rPr>
      </w:pPr>
      <w:r>
        <w:t>(18)</w:t>
      </w:r>
      <w:r>
        <w:tab/>
      </w:r>
      <w:r>
        <w:rPr>
          <w:noProof/>
        </w:rPr>
        <w:t>Ως συμβολή στην επίτευξη των στόχων του Ταμείου, τα κράτη μέλη θα πρέπει να εξασφαλίσουν ότι οι προτεραιότητες των προγραμμάτων τους συμβάλουν στην υλοποίηση των ειδικών στόχων του Ταμείου, ότι οι επιλεγείσες προτεραιότ</w:t>
      </w:r>
      <w:r>
        <w:rPr>
          <w:noProof/>
        </w:rPr>
        <w:t>ητες είναι σύμφωνες με τα μέτρα εφαρμογής όπως καθορίζεται στο παράρτημα ΙΙ και ότι η κατανομή των πόρων μεταξύ των στόχων διασφαλίζει την επίτευξη του γενικού στόχου πολιτικής.</w:t>
      </w:r>
    </w:p>
    <w:p w:rsidR="00E506D3" w:rsidRDefault="00A1386A">
      <w:pPr>
        <w:pStyle w:val="ManualConsidrant"/>
        <w:rPr>
          <w:noProof/>
        </w:rPr>
      </w:pPr>
      <w:r>
        <w:t>(19)</w:t>
      </w:r>
      <w:r>
        <w:tab/>
      </w:r>
      <w:r>
        <w:rPr>
          <w:noProof/>
        </w:rPr>
        <w:t>Θα πρέπει να επιδιωχθούν συνέργειες, συνέπεια και αποτελεσματικότητα με ά</w:t>
      </w:r>
      <w:r>
        <w:rPr>
          <w:noProof/>
        </w:rPr>
        <w:t>λλα κεφάλαια της Ένωσης, ενώ θα πρέπει να αποφεύγεται η επικάλυψη δράσεων.</w:t>
      </w:r>
    </w:p>
    <w:p w:rsidR="00E506D3" w:rsidRDefault="00A1386A">
      <w:pPr>
        <w:pStyle w:val="ManualConsidrant"/>
        <w:rPr>
          <w:noProof/>
        </w:rPr>
      </w:pPr>
      <w:r>
        <w:t>(20)</w:t>
      </w:r>
      <w:r>
        <w:tab/>
      </w:r>
      <w:r>
        <w:rPr>
          <w:noProof/>
        </w:rPr>
        <w:t>Το Ταμείο θα πρέπει να είναι συνεκτικό και συμπληρωματικό με άλλα ενωσιακά χρηματοδοτικά προγράμματα στον τομέα της ασφάλειας. Θα επιδιωχθούν συνέργειες ειδικότερα με το Ταμείο</w:t>
      </w:r>
      <w:r>
        <w:rPr>
          <w:noProof/>
        </w:rPr>
        <w:t xml:space="preserve"> Ασύλου και Μετανάστευσης, το Ταμείο για την ολοκληρωμένη διαχείριση των συνόρων το οποίο συνίσταται στο μέσο διαχείρισης των συνόρων και των θεωρήσεων που θεσπίστηκε με τον κανονισμό (ΕΕ) Χ και το μέσο για τον εξοπλισμό τελωνειακών ελέγχων που θεσπίστηκε </w:t>
      </w:r>
      <w:r>
        <w:rPr>
          <w:noProof/>
        </w:rPr>
        <w:t>με τον κανονισμό (ΕΕ) Χ, καθώς και με τα άλλα Ταμεία της πολιτικής συνοχής που καλύπτονται από τον κανονισμό (ΕΕ) Χ [ΚΚΔ], το τμήμα του προγράμματος Ορίζων Ευρώπη που αφορά την έρευνα στον τομέα της ασφάλειας, το οποίο θεσπίστηκε με τον κανονισμό (ΕΕ) Χ, τ</w:t>
      </w:r>
      <w:r>
        <w:rPr>
          <w:noProof/>
        </w:rPr>
        <w:t>ο πρόγραμμα για τα δικαιώματα και τις αξίες που θεσπίστηκε με τον κανονισμό (ΕΕ) Χ, το πρόγραμμα Ψηφιακή Ευρώπη που θεσπίστηκε με τον κανονισμό (ΕΕ) Χ και το πρόγραμμα InvestEU που θεσπίστηκε με τον κανονισμό (ΕΕ) Χ. Θα πρέπει να επιδιώκονται συνέργειες, ι</w:t>
      </w:r>
      <w:r>
        <w:rPr>
          <w:noProof/>
        </w:rPr>
        <w:t xml:space="preserve">δίως για την ασφάλεια των υποδομών και των δημόσιων χώρων, την ασφάλεια στον κυβερνοχώρο και την πρόληψη της ριζοσπαστικοποίησης. Αποτελεσματικοί μηχανισμοί συντονισμού είναι ουσιαστικής σημασίας προκειμένου να μεγιστοποιηθεί η αποτελεσματική επίτευξη των </w:t>
      </w:r>
      <w:r>
        <w:rPr>
          <w:noProof/>
        </w:rPr>
        <w:t>στόχων πολιτικής, να αξιοποιηθούν οι οικονομίες κλίμακας και να αποφευχθούν επικαλύψεις μεταξύ των δράσεων.</w:t>
      </w:r>
    </w:p>
    <w:p w:rsidR="00E506D3" w:rsidRDefault="00A1386A">
      <w:pPr>
        <w:pStyle w:val="ManualConsidrant"/>
        <w:rPr>
          <w:noProof/>
        </w:rPr>
      </w:pPr>
      <w:r>
        <w:t>(21)</w:t>
      </w:r>
      <w:r>
        <w:tab/>
      </w:r>
      <w:r>
        <w:rPr>
          <w:noProof/>
        </w:rPr>
        <w:t>Μέτρα στις τρίτες χώρες και σε σχέση με αυτές τα οποία χρηματοδοτούνται από το Ταμείο θα πρέπει να εφαρμόζονται σε πλήρη συνέργεια και συνέπεια</w:t>
      </w:r>
      <w:r>
        <w:rPr>
          <w:noProof/>
        </w:rPr>
        <w:t xml:space="preserve"> και να συμπληρώνουν άλλες δράσεις εκτός της Ένωσης που χρηματοδοτούνται από τα μέσα εξωτερικής χρηματοδότησης της Ένωσης. Συγκεκριμένα, κατά την εφαρμογή των εν λόγω δράσεων, πρέπει να επιδιώκεται η απόλυτη συνοχή με τις αρχές και τους γενικούς στόχους τη</w:t>
      </w:r>
      <w:r>
        <w:rPr>
          <w:noProof/>
        </w:rPr>
        <w:t xml:space="preserve">ς εξωτερικής δράσης και της εξωτερικής πολιτικής της Ένωσης σε σχέση με την εκάστοτε χώρα ή περιοχή. Σε σχέση με την εξωτερική διάσταση, το Ταμείο θα πρέπει να ενισχύσει τη συνεργασία με τρίτες χώρες σε τομείς που παρουσιάζουν ενδιαφέρον για την εσωτερική </w:t>
      </w:r>
      <w:r>
        <w:rPr>
          <w:noProof/>
        </w:rPr>
        <w:t>ασφάλεια της Ένωσης, όπως η καταπολέμηση της τρομοκρατίας και της ριζοσπαστικοποίησης, η συνεργασία με τις αρχές επιβολής του νόμου τρίτων χωρών για την καταπολέμηση της τρομοκρατίας (συμπεριλαμβανομένων της απόσπασης και κοινών ομάδων έρευνας), του σοβαρο</w:t>
      </w:r>
      <w:r>
        <w:rPr>
          <w:noProof/>
        </w:rPr>
        <w:t>ύ και οργανωμένου εγκλήματος και της διαφθοράς, της εμπορίας ανθρώπων και της παράνομης διακίνησης μεταναστών.</w:t>
      </w:r>
    </w:p>
    <w:p w:rsidR="00E506D3" w:rsidRDefault="00A1386A">
      <w:pPr>
        <w:pStyle w:val="ManualConsidrant"/>
        <w:rPr>
          <w:noProof/>
        </w:rPr>
      </w:pPr>
      <w:r>
        <w:t>(22)</w:t>
      </w:r>
      <w:r>
        <w:tab/>
      </w:r>
      <w:r>
        <w:rPr>
          <w:noProof/>
        </w:rPr>
        <w:t>Η χρηματοδότηση από τον προϋπολογισμό της Ένωσης θα πρέπει να εστιάζεται σε δραστηριότητες στις οποίες η παρέμβαση της Ένωσης μπορεί να προσ</w:t>
      </w:r>
      <w:r>
        <w:rPr>
          <w:noProof/>
        </w:rPr>
        <w:t>δώσει πρόσθετη αξία σε σύγκριση με δράσεις του κάθε κράτους μέλους χωριστά. Η ασφάλεια έχει εγγενώς διασυνοριακή διάσταση και, ως εκ τούτου, απαιτείται ισχυρή και συντονισμένη αντίδραση της Ένωσης. Η χρηματοδοτική στήριξη που προβλέπεται στον παρόντα κανον</w:t>
      </w:r>
      <w:r>
        <w:rPr>
          <w:noProof/>
        </w:rPr>
        <w:t>ισμό, θα συμβάλει, ιδίως, στην ενίσχυση των εθνικών και ενωσιακών ικανοτήτων στον τομέα της ασφάλειας.</w:t>
      </w:r>
    </w:p>
    <w:p w:rsidR="00E506D3" w:rsidRDefault="00A1386A">
      <w:pPr>
        <w:pStyle w:val="ManualConsidrant"/>
        <w:rPr>
          <w:noProof/>
        </w:rPr>
      </w:pPr>
      <w:r>
        <w:t>(23)</w:t>
      </w:r>
      <w:r>
        <w:tab/>
      </w:r>
      <w:r>
        <w:rPr>
          <w:noProof/>
        </w:rPr>
        <w:t>Ένα κράτος μέλος μπορεί να θεωρηθεί ότι δεν συμμορφώνεται με το σχετικό κεκτημένο της Ένωσης, όσον αφορά τη χρήση της λειτουργικής ενίσχυσης στο πλα</w:t>
      </w:r>
      <w:r>
        <w:rPr>
          <w:noProof/>
        </w:rPr>
        <w:t xml:space="preserve">ίσιο του Ταμείου, εφόσον έχει παραβεί τις υποχρεώσεις που υπέχει από τις Συνθήκες στον τομέα της ασφάλειας, εάν υπάρχει σαφής κίνδυνος σοβαρής παραβίασης από κράτος μέλος των αξιών της Ένωσης κατά την εφαρμογή του κεκτημένου στον τομέα της ασφάλειας ή εάν </w:t>
      </w:r>
      <w:r>
        <w:rPr>
          <w:noProof/>
        </w:rPr>
        <w:t>μια έκθεση αξιολόγησης στο πλαίσιο του μηχανισμού αξιολόγησης και παρακολούθησης του Σένγκεν εντοπίσει ελλείψεις στον εν λόγω τομέα.</w:t>
      </w:r>
    </w:p>
    <w:p w:rsidR="00E506D3" w:rsidRDefault="00A1386A">
      <w:pPr>
        <w:pStyle w:val="ManualConsidrant"/>
        <w:rPr>
          <w:noProof/>
        </w:rPr>
      </w:pPr>
      <w:r>
        <w:t>(24)</w:t>
      </w:r>
      <w:r>
        <w:tab/>
      </w:r>
      <w:r>
        <w:rPr>
          <w:noProof/>
        </w:rPr>
        <w:t>Το Ταμείο θα πρέπει να καλύπτει την ανάγκη για αυξημένη ευελιξία και απλούστευση, τηρώντας παράλληλα τις απαιτήσεις ως</w:t>
      </w:r>
      <w:r>
        <w:rPr>
          <w:noProof/>
        </w:rPr>
        <w:t xml:space="preserve"> προς την προβλεψιμότητα και διασφαλίζοντας την δίκαιη και διαφανή κατανομή των πόρων προκειμένου να επιτευχθούν οι στόχοι που καθορίζονται στον παρόντα κανονισμό.</w:t>
      </w:r>
    </w:p>
    <w:p w:rsidR="00E506D3" w:rsidRDefault="00A1386A">
      <w:pPr>
        <w:pStyle w:val="ManualConsidrant"/>
        <w:rPr>
          <w:noProof/>
        </w:rPr>
      </w:pPr>
      <w:r>
        <w:t>(25)</w:t>
      </w:r>
      <w:r>
        <w:tab/>
      </w:r>
      <w:r>
        <w:rPr>
          <w:noProof/>
        </w:rPr>
        <w:t>Ο παρών κανονισμός θα πρέπει να καθορίσει τα αρχικά ποσά που καταβάλλονται στα κράτη μέ</w:t>
      </w:r>
      <w:r>
        <w:rPr>
          <w:noProof/>
        </w:rPr>
        <w:t>λη υπολογιζόμενα βάσει των κριτηρίων που καθορίζονται στο παράρτημα I.</w:t>
      </w:r>
    </w:p>
    <w:p w:rsidR="00E506D3" w:rsidRDefault="00A1386A">
      <w:pPr>
        <w:pStyle w:val="ManualConsidrant"/>
        <w:rPr>
          <w:noProof/>
        </w:rPr>
      </w:pPr>
      <w:r>
        <w:t>(26)</w:t>
      </w:r>
      <w:r>
        <w:tab/>
      </w:r>
      <w:r>
        <w:rPr>
          <w:noProof/>
        </w:rPr>
        <w:t>Τα εν λόγω αρχικά ποσά θα πρέπει να αποτελέσουν τη βάση για μακροπρόθεσμες επενδύσεις των κρατών μελών στον τομέα της ασφάλειας.</w:t>
      </w:r>
      <w:r>
        <w:rPr>
          <w:noProof/>
        </w:rPr>
        <w:noBreakHyphen/>
        <w:t xml:space="preserve"> Προκειμένου να ληφθούν υπόψη οι εξελίξεις σε σχέση</w:t>
      </w:r>
      <w:r>
        <w:rPr>
          <w:noProof/>
        </w:rPr>
        <w:t xml:space="preserve"> με τις απειλές στον τομέα της ασφάλειας ή στην αρχική κατάσταση, συμπληρωματικό ποσό θα διατεθεί στα κράτη μέλη στα μέσα της περιόδου με βάση τα πλέον πρόσφατα διαθέσιμα στατιστικά στοιχεία, όπως ορίζεται στην κλείδα κατανομής, λαμβανομένης υπόψη της προό</w:t>
      </w:r>
      <w:r>
        <w:rPr>
          <w:noProof/>
        </w:rPr>
        <w:t>δου στην εφαρμογή του προγράμματος.</w:t>
      </w:r>
    </w:p>
    <w:p w:rsidR="00E506D3" w:rsidRDefault="00A1386A">
      <w:pPr>
        <w:pStyle w:val="ManualConsidrant"/>
        <w:rPr>
          <w:noProof/>
        </w:rPr>
      </w:pPr>
      <w:r>
        <w:t>(27)</w:t>
      </w:r>
      <w:r>
        <w:tab/>
      </w:r>
      <w:r>
        <w:rPr>
          <w:noProof/>
        </w:rPr>
        <w:t>Δεδομένου ότι οι προκλήσεις στον τομέα της ασφάλειας εξελίσσονται συνεχώς, είναι απαραίτητο να προσαρμοστεί η κατανομή της χρηματοδότησης με τις αλλαγές στις απειλές κατά της ασφάλειας και να προσανατολιστεί η χρημα</w:t>
      </w:r>
      <w:r>
        <w:rPr>
          <w:noProof/>
        </w:rPr>
        <w:t>τοδότηση προς τις προτεραιότητες με την υψηλότερη προστιθέμενη αξία για την Ένωση. Για να αντιμετωπιστούν οι πιεστικές ανάγκες, οι αλλαγές στις πολιτικές και προτεραιότητες της Ένωσης και να κατευθυνθεί η χρηματοδότηση σε δράσεις με υψηλή προστιθέμενη αξία</w:t>
      </w:r>
      <w:r>
        <w:rPr>
          <w:noProof/>
        </w:rPr>
        <w:t xml:space="preserve"> για την Ένωση, μέρος της χρηματοδότησης θα διατίθεται ανά τακτά χρονικά διαστήματα σε συγκεκριμένες δράσεις, δράσεις της Ένωσης, σε βοήθεια έκτακτης ανάγκης μέσω ενός θεματικού μέσου.</w:t>
      </w:r>
    </w:p>
    <w:p w:rsidR="00E506D3" w:rsidRDefault="00A1386A">
      <w:pPr>
        <w:pStyle w:val="ManualConsidrant"/>
        <w:rPr>
          <w:noProof/>
        </w:rPr>
      </w:pPr>
      <w:r>
        <w:t>(28)</w:t>
      </w:r>
      <w:r>
        <w:tab/>
      </w:r>
      <w:r>
        <w:rPr>
          <w:noProof/>
        </w:rPr>
        <w:t>Τα κράτη μέλη θα πρέπει να ενθαρρυνθούν να χρησιμοποιήσουν μέρος τ</w:t>
      </w:r>
      <w:r>
        <w:rPr>
          <w:noProof/>
        </w:rPr>
        <w:t>ων χορηγήσεων του προγράμματός τους για τη χρηματοδότηση των δράσεων που παρατίθενται στο παράρτημα IV και επωφελούνται από υψηλότερη συνεισφορά της Ένωσης.</w:t>
      </w:r>
    </w:p>
    <w:p w:rsidR="00E506D3" w:rsidRDefault="00A1386A">
      <w:pPr>
        <w:pStyle w:val="ManualConsidrant"/>
        <w:rPr>
          <w:noProof/>
        </w:rPr>
      </w:pPr>
      <w:r>
        <w:t>(29)</w:t>
      </w:r>
      <w:r>
        <w:tab/>
      </w:r>
      <w:r>
        <w:rPr>
          <w:noProof/>
        </w:rPr>
        <w:t xml:space="preserve">Μέρος των διαθέσιμων πόρων του Ταμείου θα μπορούσαν επίσης να χορηγηθούν για την εκτέλεση </w:t>
      </w:r>
      <w:r>
        <w:rPr>
          <w:noProof/>
        </w:rPr>
        <w:t>συγκεκριμένων δράσεων οι οποίες απαιτούν συντονισμένη προσπάθεια μεταξύ των κρατών μελών ή όταν νέες εξελίξεις στην Ένωση απαιτούν να διατεθεί πρόσθετη χρηματοδότηση σε ένα ή περισσότερα κράτη μέλη. Οι εν λόγω ειδικές δράσεις θα πρέπει να καθοριστούν από τ</w:t>
      </w:r>
      <w:r>
        <w:rPr>
          <w:noProof/>
        </w:rPr>
        <w:t>ην Επιτροπή στο πλαίσιο των προγραμμάτων εργασίας της.</w:t>
      </w:r>
    </w:p>
    <w:p w:rsidR="00E506D3" w:rsidRDefault="00A1386A">
      <w:pPr>
        <w:pStyle w:val="ManualConsidrant"/>
        <w:rPr>
          <w:noProof/>
        </w:rPr>
      </w:pPr>
      <w:r>
        <w:t>(30)</w:t>
      </w:r>
      <w:r>
        <w:tab/>
      </w:r>
      <w:r>
        <w:rPr>
          <w:noProof/>
        </w:rPr>
        <w:t>Το Ταμείο θα πρέπει να συμβάλει στη στήριξη του λειτουργικού κόστους που συνδέεται με την εσωτερική ασφάλεια και να δώσει τη δυνατότητα στα κράτη μέλη να διατηρήσουν ικανότητες που έχουν καθοριστι</w:t>
      </w:r>
      <w:r>
        <w:rPr>
          <w:noProof/>
        </w:rPr>
        <w:t>κή σημασία για την Ένωση ως σύνολο. Η στήριξη αυτή συνίσταται στην πλήρη επιστροφή ορισμένων ειδικών δαπανών που συνδέονται με τους στόχους στο πλαίσιο του Ταμείου και θα πρέπει να αποτελεί αναπόσπαστο μέρος των προγραμμάτων των κρατών μελών.</w:t>
      </w:r>
    </w:p>
    <w:p w:rsidR="00E506D3" w:rsidRDefault="00A1386A">
      <w:pPr>
        <w:pStyle w:val="ManualConsidrant"/>
        <w:rPr>
          <w:noProof/>
        </w:rPr>
      </w:pPr>
      <w:r>
        <w:t>(31)</w:t>
      </w:r>
      <w:r>
        <w:tab/>
      </w:r>
      <w:r>
        <w:rPr>
          <w:noProof/>
        </w:rPr>
        <w:t>Για να σ</w:t>
      </w:r>
      <w:r>
        <w:rPr>
          <w:noProof/>
        </w:rPr>
        <w:t>υμπληρωθεί η εφαρμογή του στόχου πολιτικής του σε εθνικό επίπεδο μέσω προγραμμάτων των κρατών μελών, το Ταμείο θα πρέπει να παρέχει επίσης στήριξη για δράσεις σε επίπεδο Ένωσης. Οι εν λόγω δράσεις θα πρέπει να εξυπηρετούν τους γενικούς στρατηγικούς σκοπούς</w:t>
      </w:r>
      <w:r>
        <w:rPr>
          <w:noProof/>
        </w:rPr>
        <w:t xml:space="preserve"> εντός του πεδίου της παρέμβασης του Ταμείου σχετικά με την πολιτική ανάλυση και καινοτομία, τη διακρατική αμοιβαία μάθηση και τις εταιρικές σχέσεις και τη δοκιμή νέων πρωτοβουλιών και δράσεων σε όλη την Ένωση.</w:t>
      </w:r>
    </w:p>
    <w:p w:rsidR="00E506D3" w:rsidRDefault="00A1386A">
      <w:pPr>
        <w:pStyle w:val="ManualConsidrant"/>
        <w:rPr>
          <w:noProof/>
        </w:rPr>
      </w:pPr>
      <w:r>
        <w:t>(32)</w:t>
      </w:r>
      <w:r>
        <w:tab/>
      </w:r>
      <w:r>
        <w:rPr>
          <w:noProof/>
        </w:rPr>
        <w:t xml:space="preserve">Για να ενισχυθεί η ικανότητα της Ένωσης </w:t>
      </w:r>
      <w:r>
        <w:rPr>
          <w:noProof/>
        </w:rPr>
        <w:t>να αντιδρά αμέσως σε περιστατικά που άπτονται της ασφάλειας ή σε πρωτοεμφανιζόμενες απειλές για την Ένωση, θα πρέπει να καταστεί δυνατό να παρέχεται βοήθεια έκτακτης ανάγκης, σύμφωνα με το πλαίσιο που ορίζεται στον παρόντα κανονισμό. Η βοήθεια έκτακτης ανά</w:t>
      </w:r>
      <w:r>
        <w:rPr>
          <w:noProof/>
        </w:rPr>
        <w:t>γκης θα πρέπει, συνεπώς, να μην χορηγείται για τη στήριξη απλώς μέτρων έκτακτης ανάγκης ή μακροπρόθεσμων μέτρων ή για την αντιμετώπιση καταστάσεων στις οποίες η ανάγκη για επείγουσα δράση απορρέει από ακατάλληλη διοικητική οργάνωση και ανεπαρκή επιχειρησια</w:t>
      </w:r>
      <w:r>
        <w:rPr>
          <w:noProof/>
        </w:rPr>
        <w:t>κό σχεδιασμό εκ μέρους των αρμόδιων αρχών.</w:t>
      </w:r>
    </w:p>
    <w:p w:rsidR="00E506D3" w:rsidRDefault="00A1386A">
      <w:pPr>
        <w:pStyle w:val="ManualConsidrant"/>
        <w:rPr>
          <w:noProof/>
        </w:rPr>
      </w:pPr>
      <w:r>
        <w:t>(33)</w:t>
      </w:r>
      <w:r>
        <w:tab/>
      </w:r>
      <w:r>
        <w:rPr>
          <w:noProof/>
        </w:rPr>
        <w:t>Για να εξασφαλιστεί η αναγκαία ευελιξία δράσης και να αντιμετωπιστούν νεοεμφανιζόμενες ανάγκες, θα πρέπει να καταστεί δυνατό για τους αποκεντρωμένους οργανισμούς να εφοδιάζονται με τα κατάλληλα πρόσθετα χρημα</w:t>
      </w:r>
      <w:r>
        <w:rPr>
          <w:noProof/>
        </w:rPr>
        <w:t>τοδοτικά μέσα για να εκτελούν ορισμένα καθήκοντα έκτακτης ανάγκης. Σε περιπτώσεις που η εργασία που πρέπει να αναληφθεί είναι τέτοιου επείγοντος χαρακτήρα ώστε μια τροποποίηση των προϋπολογισμών τους δεν θα ήταν δυνατό να ολοκληρωθεί εγκαίρως, οι αποκεντρω</w:t>
      </w:r>
      <w:r>
        <w:rPr>
          <w:noProof/>
        </w:rPr>
        <w:t>μένοι οργανισμοί θα πρέπει να καταστούν επιλέξιμοι για βοήθεια έκτακτης ανάγκης, ακόμη και υπό μορφή επιχορηγήσεων, συνεκτική προς τις προτεραιότητες και τις πρωτοβουλίες που προσδιορίζονται σε επίπεδο Ένωσης από τα θεσμικά όργανα της ΕΕ.</w:t>
      </w:r>
    </w:p>
    <w:p w:rsidR="00E506D3" w:rsidRDefault="00A1386A">
      <w:pPr>
        <w:pStyle w:val="ManualConsidrant"/>
        <w:rPr>
          <w:noProof/>
        </w:rPr>
      </w:pPr>
      <w:r>
        <w:t>(34)</w:t>
      </w:r>
      <w:r>
        <w:tab/>
      </w:r>
      <w:r>
        <w:rPr>
          <w:noProof/>
        </w:rPr>
        <w:t>Ο στόχος πολ</w:t>
      </w:r>
      <w:r>
        <w:rPr>
          <w:noProof/>
        </w:rPr>
        <w:t>ιτικής του Ταμείου θα υλοποιηθεί επίσης μέσω χρηματοπιστωτικών μέσων και δημοσιονομικών εγγυήσεων στο πλαίσιο των σκελών πολιτικής του μέσου InvestEU. Θα πρέπει να χρησιμοποιείται χρηματοδοτική στήριξη για την αντιμετώπιση αδυναμιών της αγοράς ή καταστάσεω</w:t>
      </w:r>
      <w:r>
        <w:rPr>
          <w:noProof/>
        </w:rPr>
        <w:t>ν μη ικανοποιητικής αξιοποίησης επενδύσεων, κατά τρόπο αναλογικό, και οι δράσεις δεν θα πρέπει να επικαλύπτουν ή να παραγκωνίζουν την ιδιωτική χρηματοδότηση ή να νοθεύουν τον ανταγωνισμό εντός της εσωτερικής αγοράς. Οι δράσεις θα πρέπει να έχουν σαφή ευρωπ</w:t>
      </w:r>
      <w:r>
        <w:rPr>
          <w:noProof/>
        </w:rPr>
        <w:t>αϊκή προστιθέμενη αξία.</w:t>
      </w:r>
    </w:p>
    <w:p w:rsidR="00E506D3" w:rsidRDefault="00A1386A">
      <w:pPr>
        <w:pStyle w:val="ManualConsidrant"/>
        <w:rPr>
          <w:noProof/>
        </w:rPr>
      </w:pPr>
      <w:r>
        <w:t>(35)</w:t>
      </w:r>
      <w:r>
        <w:tab/>
      </w:r>
      <w:r>
        <w:rPr>
          <w:noProof/>
        </w:rPr>
        <w:t>Ο παρών κανονισμός προβλέπει δημοσιονομικό κονδύλιο για το Ταμείο Εσωτερικής Ασφάλειας (ΤΕΑ), το οποίο θα αποτελέσει το ποσό προνομιακής αναφοράς, κατά την έννοια της παραγράφου Χ της διοργανικής συμφωνίας της Χ μεταξύ του Ευρω</w:t>
      </w:r>
      <w:r>
        <w:rPr>
          <w:noProof/>
        </w:rPr>
        <w:t>παϊκού Κοινοβουλίου, του Συμβουλίου και της Επιτροπής για τη δημοσιονομική πειθαρχία, τη συνεργασία σε δημοσιονομικά θέματα και τη χρηστή δημοσιονομική διαχείριση</w:t>
      </w:r>
      <w:r>
        <w:rPr>
          <w:rStyle w:val="FootnoteReference"/>
          <w:noProof/>
        </w:rPr>
        <w:footnoteReference w:id="17"/>
      </w:r>
      <w:r>
        <w:rPr>
          <w:noProof/>
        </w:rPr>
        <w:t>, για το Ευρωπαϊκό Κοινοβούλιο και το Συμβούλιο κατά την ετήσια διαδικασία του προϋπολογισμού</w:t>
      </w:r>
      <w:r>
        <w:rPr>
          <w:noProof/>
        </w:rPr>
        <w:t>.</w:t>
      </w:r>
    </w:p>
    <w:p w:rsidR="00E506D3" w:rsidRDefault="00A1386A">
      <w:pPr>
        <w:pStyle w:val="ManualConsidrant"/>
        <w:rPr>
          <w:noProof/>
        </w:rPr>
      </w:pPr>
      <w:r>
        <w:t>(36)</w:t>
      </w:r>
      <w:r>
        <w:tab/>
      </w:r>
      <w:r>
        <w:rPr>
          <w:noProof/>
        </w:rPr>
        <w:t>Ο κανονισμός (ΕΕ, Ευρατόμ) αριθ. [ο νέος ΔΚ]</w:t>
      </w:r>
      <w:r>
        <w:rPr>
          <w:rStyle w:val="FootnoteReference"/>
          <w:noProof/>
        </w:rPr>
        <w:footnoteReference w:id="18"/>
      </w:r>
      <w:r>
        <w:rPr>
          <w:noProof/>
        </w:rPr>
        <w:t xml:space="preserve"> (εφεξής ο «δημοσιονομικός κανονισμός») εφαρμόζεται στο Ταμείο. Ο παρών κανονισμός θεσπίζει κανόνες σχετικά με την εκτέλεση του προϋπολογισμού της Ένωσης, συμπεριλαμβανομένων των κανόνων για τις επιχορηγή</w:t>
      </w:r>
      <w:r>
        <w:rPr>
          <w:noProof/>
        </w:rPr>
        <w:t>σεις, τα έπαθλα, τις προμήθειες, την έμμεση εκτέλεση, τη χρηματοδοτική συνδρομή, τα χρηματοδοτικά μέσα και τις δημοσιονομικές εγγυήσεις. Προκειμένου να διασφαλιστεί η συνοχή στην υλοποίηση των χρηματοδοτικών προγραμμάτων της Ένωσης, ο δημοσιονομικός κανονι</w:t>
      </w:r>
      <w:r>
        <w:rPr>
          <w:noProof/>
        </w:rPr>
        <w:t>σμός εφαρμόζεται σε δράσεις που θα υλοποιηθούν σε άμεση ή έμμεση διαχείριση στο πλαίσιο του ΤΕΑ.</w:t>
      </w:r>
    </w:p>
    <w:p w:rsidR="00E506D3" w:rsidRDefault="00A1386A">
      <w:pPr>
        <w:pStyle w:val="ManualConsidrant"/>
        <w:rPr>
          <w:noProof/>
        </w:rPr>
      </w:pPr>
      <w:r>
        <w:t>(37)</w:t>
      </w:r>
      <w:r>
        <w:tab/>
      </w:r>
      <w:r>
        <w:rPr>
          <w:noProof/>
        </w:rPr>
        <w:t>Για τους σκοπούς της εφαρμογής των δράσεων με επιμερισμένη διαχείριση, το Ταμείο θα πρέπει να αποτελεί τμήμα ενός συνεκτικού πλαισίου αποτελούμενου από το</w:t>
      </w:r>
      <w:r>
        <w:rPr>
          <w:noProof/>
        </w:rPr>
        <w:t>ν παρόντα κανονισμό, τον δημοσιονομικό κανονισμό και τον κανονισμό περί κοινών διατάξεων (ΕΕ) αριθ....</w:t>
      </w:r>
      <w:r>
        <w:rPr>
          <w:rStyle w:val="FootnoteReference"/>
          <w:noProof/>
        </w:rPr>
        <w:footnoteReference w:id="19"/>
      </w:r>
      <w:r>
        <w:rPr>
          <w:noProof/>
        </w:rPr>
        <w:t>.</w:t>
      </w:r>
    </w:p>
    <w:p w:rsidR="00E506D3" w:rsidRDefault="00A1386A">
      <w:pPr>
        <w:pStyle w:val="ManualConsidrant"/>
        <w:rPr>
          <w:noProof/>
        </w:rPr>
      </w:pPr>
      <w:r>
        <w:t>(38)</w:t>
      </w:r>
      <w:r>
        <w:tab/>
      </w:r>
      <w:r>
        <w:rPr>
          <w:noProof/>
        </w:rPr>
        <w:t>Ο κανονισμός (ΕΕ) αριθ. .../...[ΚΚΔ] θεσπίζει το πλαίσιο δράσης του Ευρωπαϊκού Ταμείου Περιφερειακής Ανάπτυξης (ΕΤΠΑ), του Ευρωπαϊκού Κοινωνικού Τ</w:t>
      </w:r>
      <w:r>
        <w:rPr>
          <w:noProof/>
        </w:rPr>
        <w:t>αμείου + (ΕΚΤ+), του Ταμείου Συνοχής, του Ευρωπαϊκού Ταμείου Θάλασσας και Αλιείας (ΕΤΘΑ), του Ταμείου Ασύλου και Μετανάστευσης (ΤΑΜ), του Ταμείου Εσωτερικής Ασφάλειας (ΤΕΑ) και του μέσου για τη διαχείριση των συνόρων και των θεωρήσεων (ΜΔΣΘ) στο πλαίσιο το</w:t>
      </w:r>
      <w:r>
        <w:rPr>
          <w:noProof/>
        </w:rPr>
        <w:t>υ Ταμείου για την Ολοκληρωμένη Διαχείριση των Συνόρων (ΤΟΔΣ), και ορίζει, ιδίως, τους κανόνες σχετικά με τον προγραμματισμό, την παρακολούθηση και την αξιολόγηση, τη διαχείριση και τον έλεγχο των ενωσιακών ταμείων που υλοποιούνται στο πλαίσιο της επιμερισμ</w:t>
      </w:r>
      <w:r>
        <w:rPr>
          <w:noProof/>
        </w:rPr>
        <w:t>ένης διαχείρισης. Επιπλέον, είναι αναγκαίο να διευκρινισθούν οι στόχοι του Ταμείου Εσωτερικής Ασφάλειας στον παρόντα κανονισμό, καθώς και να προβλεφθούν ειδικές διατάξεις αναφορικά με τις δραστηριότητες που μπορούν να χρηματοδοτηθούν από το Ταμείο.</w:t>
      </w:r>
    </w:p>
    <w:p w:rsidR="00E506D3" w:rsidRDefault="00A1386A">
      <w:pPr>
        <w:pStyle w:val="ManualConsidrant"/>
        <w:rPr>
          <w:noProof/>
        </w:rPr>
      </w:pPr>
      <w:r>
        <w:t>(39)</w:t>
      </w:r>
      <w:r>
        <w:tab/>
      </w:r>
      <w:r>
        <w:rPr>
          <w:noProof/>
        </w:rPr>
        <w:t>Τα</w:t>
      </w:r>
      <w:r>
        <w:rPr>
          <w:noProof/>
        </w:rPr>
        <w:t xml:space="preserve"> είδη χρηματοδότησης και οι μέθοδοι εφαρμογής στο πλαίσιο του παρόντος κανονισμού θα πρέπει να επιλέγονται με βάση τη δυνατότητά τους να συμβάλλουν στην επίτευξη των στόχων των δράσεων και να αποφέρουν αποτελέσματα, λαμβανομένων υπόψη, ιδίως, του κόστους τ</w:t>
      </w:r>
      <w:r>
        <w:rPr>
          <w:noProof/>
        </w:rPr>
        <w:t>ων ελέγχων, του διοικητικού φόρτου και του αναμενόμενου κινδύνου μη συμμόρφωσης. Αυτό θα πρέπει να περιλαμβάνει την εξέταση της χρήσης εφάπαξ ποσών, κατ’ αποκοπή ποσοστών και μοναδιαίου κόστους, καθώς και της χρηματοδότησης που δεν σχετίζεται με τις δαπάνε</w:t>
      </w:r>
      <w:r>
        <w:rPr>
          <w:noProof/>
        </w:rPr>
        <w:t>ς όπως αναφέρεται στο άρθρο 125 παράγραφος 1 του δημοσιονομικού κανονισμού.</w:t>
      </w:r>
    </w:p>
    <w:p w:rsidR="00E506D3" w:rsidRDefault="00A1386A">
      <w:pPr>
        <w:pStyle w:val="ManualConsidrant"/>
        <w:rPr>
          <w:noProof/>
        </w:rPr>
      </w:pPr>
      <w:r>
        <w:t>(40)</w:t>
      </w:r>
      <w:r>
        <w:tab/>
      </w:r>
      <w:r>
        <w:rPr>
          <w:noProof/>
        </w:rPr>
        <w:t>Σύμφωνα με τον δημοσιονομικό κανονισμό, τον κανονισμό (ΕΕ, Ευρατόμ) αριθ. 883/2013 του Ευρωπαϊκού Κοινοβουλίου και του Συμβουλίου</w:t>
      </w:r>
      <w:r>
        <w:rPr>
          <w:rStyle w:val="FootnoteReference"/>
          <w:noProof/>
        </w:rPr>
        <w:footnoteReference w:id="20"/>
      </w:r>
      <w:r>
        <w:rPr>
          <w:noProof/>
        </w:rPr>
        <w:t>, τον κανονισμό (Ευρατόμ, ΕΚ) αριθ. 2988/95 τ</w:t>
      </w:r>
      <w:r>
        <w:rPr>
          <w:noProof/>
        </w:rPr>
        <w:t>ου Συμβουλίου</w:t>
      </w:r>
      <w:r>
        <w:rPr>
          <w:rStyle w:val="FootnoteReference"/>
          <w:noProof/>
        </w:rPr>
        <w:footnoteReference w:id="21"/>
      </w:r>
      <w:r>
        <w:rPr>
          <w:noProof/>
        </w:rPr>
        <w:t>, τον κανονισμό (Ευρατόμ, ΕΚ) αριθ. 2185/96 του Συμβουλίου</w:t>
      </w:r>
      <w:r>
        <w:rPr>
          <w:rStyle w:val="FootnoteReference"/>
          <w:noProof/>
        </w:rPr>
        <w:footnoteReference w:id="22"/>
      </w:r>
      <w:r>
        <w:rPr>
          <w:noProof/>
        </w:rPr>
        <w:t xml:space="preserve"> και τον κανονισμό (ΕΕ) 2017/1939 του Συμβουλίου</w:t>
      </w:r>
      <w:r>
        <w:rPr>
          <w:rStyle w:val="FootnoteReference"/>
          <w:noProof/>
        </w:rPr>
        <w:footnoteReference w:id="23"/>
      </w:r>
      <w:r>
        <w:rPr>
          <w:noProof/>
        </w:rPr>
        <w:t>, τα οικονομικά συμφέροντα της Ένωσης πρέπει να προστατεύονται μέσω αναλογικών μέτρων, συμπεριλαμβανομένης της πρόληψης, του εντοπισμο</w:t>
      </w:r>
      <w:r>
        <w:rPr>
          <w:noProof/>
        </w:rPr>
        <w:t xml:space="preserve">ύ, της έρευνας και της διόρθωσης των παρατυπιών και της απάτης, και της ανάκτησης των διαφυγόντων ποσών, των αχρεωστήτως καταβληθέντων ποσών ή των ποσών που χρησιμοποιήθηκαν λανθασμένα, και, όπου ενδείκνυται, της επιβολής διοικητικών κυρώσεων. Ειδικότερα, </w:t>
      </w:r>
      <w:r>
        <w:rPr>
          <w:noProof/>
        </w:rPr>
        <w:t>σύμφωνα με τον κανονισμό (ΕΕ, Ευρατόμ) αριθ. 883/2013 και τον κανονισμό (Ευρατόμ, ΕΚ) αριθ. 2185/96, η Ευρωπαϊκή Υπηρεσία Καταπολέμησης της Απάτης (OLAF) μπορεί να διενεργεί διοικητικές έρευνες, συμπεριλαμβανομένων επιτόπιων ελέγχων και επιθεωρήσεων, με σκ</w:t>
      </w:r>
      <w:r>
        <w:rPr>
          <w:noProof/>
        </w:rPr>
        <w:t>οπό να διαπιστωθεί αν υπάρχει απάτη, διαφθορά ή άλλη αξιόποινη πράξη εις βάρος των οικονομικών συμφερόντων της Ένωσης. Σύμφωνα με τον κανονισμό (ΕΕ) 2017/1939 του Συμβουλίου, η Ευρωπαϊκή Εισαγγελία δύναται να διερευνά και να διώκει περιπτώσεις απάτης και ά</w:t>
      </w:r>
      <w:r>
        <w:rPr>
          <w:noProof/>
        </w:rPr>
        <w:t>λλα ποινικά αδικήματα που θίγουν τα οικονομικά συμφέροντα της Ένωσης, όπως προβλέπεται στην οδηγία (ΕΕ) 2017/1371 του Ευρωπαϊκού Κοινοβουλίου και του Συμβουλίου</w:t>
      </w:r>
      <w:r>
        <w:rPr>
          <w:rStyle w:val="FootnoteReference"/>
          <w:noProof/>
        </w:rPr>
        <w:footnoteReference w:id="24"/>
      </w:r>
      <w:r>
        <w:rPr>
          <w:noProof/>
        </w:rPr>
        <w:t>. Σύμφωνα με τον δημοσιονομικό κανονισμό, κάθε πρόσωπο ή οντότητα που είναι αποδέκτης κονδυλίων</w:t>
      </w:r>
      <w:r>
        <w:rPr>
          <w:noProof/>
        </w:rPr>
        <w:t xml:space="preserve"> της Ένωσης οφείλει να συνεργάζεται πλήρως για την προστασία των οικονομικών συμφερόντων της Ένωσης, να παρέχει τα αναγκαία δικαιώματα και πρόσβαση στην Επιτροπή, την OLAF, την Ευρωπαϊκή Εισαγγελία και το Ευρωπαϊκό Ελεγκτικό Συνέδριο (ΕΕΣ) και να μεριμνά ώ</w:t>
      </w:r>
      <w:r>
        <w:rPr>
          <w:noProof/>
        </w:rPr>
        <w:t>στε τυχόν τρίτοι που συμμετέχουν στην εκτέλεση κονδυλίων της Ένωσης να εκχωρούν ισοδύναμα δικαιώματα.</w:t>
      </w:r>
    </w:p>
    <w:p w:rsidR="00E506D3" w:rsidRDefault="00A1386A">
      <w:pPr>
        <w:pStyle w:val="ManualConsidrant"/>
        <w:rPr>
          <w:noProof/>
        </w:rPr>
      </w:pPr>
      <w:r>
        <w:t>(41)</w:t>
      </w:r>
      <w:r>
        <w:tab/>
      </w:r>
      <w:r>
        <w:rPr>
          <w:noProof/>
        </w:rPr>
        <w:t>Οριζόντιοι δημοσιονομικοί κανόνες που θεσπίζονται από το Ευρωπαϊκό Κοινοβούλιο και το Συμβούλιο βάσει του άρθρου 322 της Συνθήκης για τη λειτουργία τ</w:t>
      </w:r>
      <w:r>
        <w:rPr>
          <w:noProof/>
        </w:rPr>
        <w:t>ης Ευρωπαϊκής Ένωσης ισχύουν για τον παρόντα κανονισμό. Οι εν λόγω κανόνες καθορίζονται στον δημοσιονομικό κανονισμό και καθορίζουν ιδίως τις πρακτικές λεπτομέρειες κατάρτισης και εκτέλεσης του προϋπολογισμού μέσω επιχορηγήσεων, συμβάσεων, βραβείων, έμμεση</w:t>
      </w:r>
      <w:r>
        <w:rPr>
          <w:noProof/>
        </w:rPr>
        <w:t>ς εκτέλεσης, και προβλέπουν τη διεξαγωγή ελέγχων υπό την ευθύνη των δημοσιονομικών φορέων. Οι κανόνες που θεσπίζονται βάσει του άρθρου 322 της ΣΛΕΕ αφορούν επίσης την προστασία του προϋπολογισμού της Ένωσης σε περίπτωση γενικευμένων ελλείψεων όσον αφορά το</w:t>
      </w:r>
      <w:r>
        <w:rPr>
          <w:noProof/>
        </w:rPr>
        <w:t xml:space="preserve"> κράτος δικαίου στα κράτη μέλη, δεδομένου ότι ο σεβασμός του κράτους δικαίου αποτελεί απαραίτητη προϋπόθεση για τη χρηστή δημοσιονομική διαχείριση και την αποτελεσματική χρηματοδότηση της ΕΕ.</w:t>
      </w:r>
    </w:p>
    <w:p w:rsidR="00E506D3" w:rsidRDefault="00A1386A">
      <w:pPr>
        <w:pStyle w:val="ManualConsidrant"/>
        <w:rPr>
          <w:noProof/>
        </w:rPr>
      </w:pPr>
      <w:r>
        <w:t>(42)</w:t>
      </w:r>
      <w:r>
        <w:tab/>
      </w:r>
      <w:r>
        <w:rPr>
          <w:noProof/>
        </w:rPr>
        <w:t xml:space="preserve">Δυνάμει του άρθρου 94 της απόφασης 2013/755/ΕΕ του </w:t>
      </w:r>
      <w:r>
        <w:rPr>
          <w:noProof/>
        </w:rPr>
        <w:t>Συμβουλίου</w:t>
      </w:r>
      <w:r>
        <w:rPr>
          <w:rStyle w:val="FootnoteReference"/>
          <w:noProof/>
        </w:rPr>
        <w:footnoteReference w:id="25"/>
      </w:r>
      <w:r>
        <w:rPr>
          <w:noProof/>
        </w:rPr>
        <w:t>, τα πρόσωπα και οι οντότητες που είναι εγκατεστημένες στις υπερπόντιες χώρες και εδάφη (ΥΧΕ) είναι επιλέξιμα για χρηματοδότηση σύμφωνα με τους κανόνες και τους στόχους του Ταμείου και πιθανές ρυθμίσεις που ισχύουν στο κράτος μέλος με το οποίο ε</w:t>
      </w:r>
      <w:r>
        <w:rPr>
          <w:noProof/>
        </w:rPr>
        <w:t>ίναι συνδεδεμένη η σχετική υπερπόντια χώρα ή το έδαφος.</w:t>
      </w:r>
    </w:p>
    <w:p w:rsidR="00E506D3" w:rsidRDefault="00A1386A">
      <w:pPr>
        <w:pStyle w:val="ManualConsidrant"/>
        <w:rPr>
          <w:noProof/>
        </w:rPr>
      </w:pPr>
      <w:r>
        <w:t>(43)</w:t>
      </w:r>
      <w:r>
        <w:tab/>
      </w:r>
      <w:r>
        <w:rPr>
          <w:noProof/>
        </w:rPr>
        <w:t>Δυνάμει του άρθρου 349 της ΣΛΕΕ και σύμφωνα με την ανακοίνωση της Επιτροπής «Ισχυρότερη και ανανεωμένη στρατηγική εταιρική σχέση με τις εξόχως απόκεντρες περιφέρειες της Ευρωπαϊκής Ένωσης»</w:t>
      </w:r>
      <w:r>
        <w:rPr>
          <w:rStyle w:val="FootnoteReference"/>
          <w:noProof/>
        </w:rPr>
        <w:footnoteReference w:id="26"/>
      </w:r>
      <w:r>
        <w:rPr>
          <w:noProof/>
        </w:rPr>
        <w:t xml:space="preserve">, που </w:t>
      </w:r>
      <w:r>
        <w:rPr>
          <w:noProof/>
        </w:rPr>
        <w:t xml:space="preserve">εγκρίθηκε από το Συμβούλιο στα συμπεράσματά του της 12ης Απριλίου 2018, τα ενδιαφερόμενα κράτη μέλη θα πρέπει να διασφαλίζουν ότι τα προγράμματά τους αντιμετωπίζουν τις συγκεκριμένες προκλήσεις των εξόχως απόκεντρων περιφερειών. Το Ταμείο στηρίζει αυτά τα </w:t>
      </w:r>
      <w:r>
        <w:rPr>
          <w:noProof/>
        </w:rPr>
        <w:t>κράτη μέλη με επαρκείς πόρους προκειμένου να βοηθήσουν τις εν λόγω περιφέρειες, ανάλογα με την περίπτωση.</w:t>
      </w:r>
    </w:p>
    <w:p w:rsidR="00E506D3" w:rsidRDefault="00A1386A">
      <w:pPr>
        <w:pStyle w:val="ManualConsidrant"/>
        <w:rPr>
          <w:noProof/>
        </w:rPr>
      </w:pPr>
      <w:r>
        <w:t>(44)</w:t>
      </w:r>
      <w:r>
        <w:tab/>
      </w:r>
      <w:r>
        <w:rPr>
          <w:noProof/>
        </w:rPr>
        <w:t>Σύμφωνα με τις παραγράφους 22 και 23 της διοργανικής συμφωνίας για τη βελτίωση του νομοθετικού έργου, της 13ης Απριλίου 2016</w:t>
      </w:r>
      <w:r>
        <w:rPr>
          <w:rStyle w:val="FootnoteReference"/>
          <w:noProof/>
        </w:rPr>
        <w:footnoteReference w:id="27"/>
      </w:r>
      <w:r>
        <w:rPr>
          <w:noProof/>
        </w:rPr>
        <w:t>, είναι ανάγκη να αξ</w:t>
      </w:r>
      <w:r>
        <w:rPr>
          <w:noProof/>
        </w:rPr>
        <w:t>ιολογηθεί αυτό το Ταμείο βάσει των στοιχείων που συλλέγονται μέσω ειδικών απαιτήσεων παρακολούθησης, αποφεύγοντας παράλληλα την υπερβολική ρύθμιση και τον διοικητικό φόρτο, ιδίως για τα κράτη μέλη. Κατά περίπτωση, οι απαιτήσεις αυτές μπορεί να περιλαμβάνου</w:t>
      </w:r>
      <w:r>
        <w:rPr>
          <w:noProof/>
        </w:rPr>
        <w:t>ν μετρήσιμους δείκτες ως βάση για την αξιολόγηση των επιπτώσεων του Ταμείου επί τόπου. Για την αποτίμηση των αποτελεσμάτων του Ταμείου, θα πρέπει να καθοριστούν δείκτες και σχετικοί στόχοι σε σχέση με κάθε ειδικό στόχο του Ταμείου.</w:t>
      </w:r>
    </w:p>
    <w:p w:rsidR="00E506D3" w:rsidRDefault="00A1386A">
      <w:pPr>
        <w:pStyle w:val="ManualConsidrant"/>
        <w:rPr>
          <w:noProof/>
        </w:rPr>
      </w:pPr>
      <w:r>
        <w:t>(45)</w:t>
      </w:r>
      <w:r>
        <w:tab/>
      </w:r>
      <w:r>
        <w:rPr>
          <w:noProof/>
        </w:rPr>
        <w:t>Λαμβάνοντας υπόψη τ</w:t>
      </w:r>
      <w:r>
        <w:rPr>
          <w:noProof/>
        </w:rPr>
        <w:t>η σημασία της αντιμετώπισης της αλλαγής του κλίματος, σύμφωνα με τις δεσμεύσεις της Ένωσης για την εφαρμογή της συμφωνίας του Παρισιού και των στόχων βιώσιμης ανάπτυξης των Ηνωμένων Εθνών, το Ταμείο θα συμβάλει στην ενσωμάτωση της δράσης για το κλίμα και σ</w:t>
      </w:r>
      <w:r>
        <w:rPr>
          <w:noProof/>
        </w:rPr>
        <w:t xml:space="preserve">την επίτευξη ενός γενικού στόχου του 25 % των δαπανών του προϋπολογισμού της ΕΕ που στηρίζουν τους στόχους για το κλίμα. Αντίστοιχες δράσεις θα προσδιοριστούν κατά την προετοιμασία και την υλοποίηση του Ταμείου, και θα αξιολογηθούν εκ νέου στο πλαίσιο των </w:t>
      </w:r>
      <w:r>
        <w:rPr>
          <w:noProof/>
        </w:rPr>
        <w:t>σχετικών αξιολογήσεων και των αναθεωρήσεων.</w:t>
      </w:r>
    </w:p>
    <w:p w:rsidR="00E506D3" w:rsidRDefault="00A1386A">
      <w:pPr>
        <w:pStyle w:val="ManualConsidrant"/>
        <w:rPr>
          <w:noProof/>
        </w:rPr>
      </w:pPr>
      <w:r>
        <w:t>(46)</w:t>
      </w:r>
      <w:r>
        <w:tab/>
      </w:r>
      <w:r>
        <w:rPr>
          <w:noProof/>
        </w:rPr>
        <w:t>Μέσω αυτών των δεικτών και των χρηματοοικονομικών εκθέσεων, η Επιτροπή και τα κράτη μέλη θα πρέπει να παρακολουθούν την εφαρμογή του Ταμείου, σύμφωνα με τις σχετικές διατάξεις του κανονισμού (ΕΕ) ..../... [Κ</w:t>
      </w:r>
      <w:r>
        <w:rPr>
          <w:noProof/>
        </w:rPr>
        <w:t>ΚΔ] και του παρόντος κανονισμού.</w:t>
      </w:r>
    </w:p>
    <w:p w:rsidR="00E506D3" w:rsidRDefault="00A1386A">
      <w:pPr>
        <w:pStyle w:val="ManualConsidrant"/>
        <w:rPr>
          <w:noProof/>
        </w:rPr>
      </w:pPr>
      <w:r>
        <w:t>(47)</w:t>
      </w:r>
      <w:r>
        <w:tab/>
      </w:r>
      <w:r>
        <w:rPr>
          <w:noProof/>
        </w:rPr>
        <w:t>Για τη συμπλήρωση και την τροποποίηση μη ουσιωδών στοιχείων στον παρόντα κανονισμό, η εξουσία έκδοσης πράξεων σύμφωνα με το άρθρο 290 της ΣΛΕΕ θα πρέπει να ανατεθεί στην Επιτροπή όσον αφορά τον κατάλογο των δράσεων που</w:t>
      </w:r>
      <w:r>
        <w:rPr>
          <w:noProof/>
        </w:rPr>
        <w:t xml:space="preserve"> είναι επιλέξιμες για υψηλότερο ποσοστό συγχρηματοδότησης όπως παρατίθενται στο παράρτημα IV, τη λειτουργική ενίσχυση και για να αναπτυχθεί περαιτέρω το κοινό πλαίσιο παρακολούθησης και αξιολόγησης. Έχει ιδιαίτερη σημασία η Επιτροπή να διεξαγάγει κατάλληλε</w:t>
      </w:r>
      <w:r>
        <w:rPr>
          <w:noProof/>
        </w:rPr>
        <w:t>ς διαβουλεύσεις κατά τις προπαρασκευαστικές της εργασίες, μεταξύ άλλων και σε επίπεδο εμπειρογνωμόνων, και οι διαβουλεύσεις αυτές να διεξαχθούν μάλιστα με τις αρχές που ορίζονται στη διοργανική συμφωνία για τη βελτίωση του νομοθετικού έργου της 13ης Απριλί</w:t>
      </w:r>
      <w:r>
        <w:rPr>
          <w:noProof/>
        </w:rPr>
        <w:t>ου 2016.</w:t>
      </w:r>
    </w:p>
    <w:p w:rsidR="00E506D3" w:rsidRDefault="00A1386A">
      <w:pPr>
        <w:pStyle w:val="ManualConsidrant"/>
        <w:rPr>
          <w:noProof/>
        </w:rPr>
      </w:pPr>
      <w:r>
        <w:t>(48)</w:t>
      </w:r>
      <w:r>
        <w:tab/>
      </w:r>
      <w:r>
        <w:rPr>
          <w:noProof/>
        </w:rPr>
        <w:t xml:space="preserve">Για να εξασφαλιστούν ομοιόμορφες συνθήκες εφαρμογής του παρόντος κανονισμού, κρίνεται σκόπιμο να ανατεθούν εκτελεστικές αρμοδιότητες στην Επιτροπή. Οι αρμοδιότητες αυτές θα πρέπει να ασκούνται σύμφωνα με τον κανονισμό (ΕΕ) αριθ. 182/2011 του </w:t>
      </w:r>
      <w:r>
        <w:rPr>
          <w:noProof/>
        </w:rPr>
        <w:t>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w:t>
      </w:r>
      <w:r>
        <w:rPr>
          <w:rStyle w:val="FootnoteReference"/>
          <w:noProof/>
        </w:rPr>
        <w:footnoteReference w:id="28"/>
      </w:r>
      <w:r>
        <w:rPr>
          <w:noProof/>
        </w:rPr>
        <w:t>. Η διαδικασία εξέτασης θα πρέπει ν</w:t>
      </w:r>
      <w:r>
        <w:rPr>
          <w:noProof/>
        </w:rPr>
        <w:t>α εφαρμόζεται για τις εκτελεστικές πράξεις που ορίζουν τις κοινές υποχρεώσεις των κρατών μελών, συγκεκριμένα όσον αφορά την παροχή πληροφοριών στην Επιτροπή, και η συμβουλευτική διαδικασία θα πρέπει να εφαρμόζεται για την έκδοση εκτελεστικών πράξεων σε σχέ</w:t>
      </w:r>
      <w:r>
        <w:rPr>
          <w:noProof/>
        </w:rPr>
        <w:t>ση με τις λεπτομέρειες παροχής πληροφοριών στην Επιτροπή στο πλαίσιο του προγραμματισμού και της υποβολής εκθέσεων, λόγω του καθαρά τεχνικού χαρακτήρα τους.</w:t>
      </w:r>
    </w:p>
    <w:p w:rsidR="00E506D3" w:rsidRDefault="00A1386A">
      <w:pPr>
        <w:pStyle w:val="ManualConsidrant"/>
        <w:rPr>
          <w:noProof/>
        </w:rPr>
      </w:pPr>
      <w:r>
        <w:t>(49)</w:t>
      </w:r>
      <w:r>
        <w:tab/>
      </w:r>
      <w:r>
        <w:rPr>
          <w:noProof/>
        </w:rPr>
        <w:t>Σύμφωνα με τα άρθρα 1 και 2 του πρωτοκόλλου αριθ. 22 για τη θέση της Δανίας, το οποίο προσαρτά</w:t>
      </w:r>
      <w:r>
        <w:rPr>
          <w:noProof/>
        </w:rPr>
        <w:t>ται στη ΣΕΕ και στη ΣΛΕΕ, η Δανία δεν συμμετέχει στη θέσπιση του παρόντος κανονισμού και, ως εκ τούτου, δεν δεσμεύεται από αυτόν ούτε υπόκειται στην εφαρμογή του.</w:t>
      </w:r>
    </w:p>
    <w:p w:rsidR="00E506D3" w:rsidRDefault="00A1386A">
      <w:pPr>
        <w:pStyle w:val="ManualConsidrant"/>
        <w:rPr>
          <w:noProof/>
        </w:rPr>
      </w:pPr>
      <w:r>
        <w:t>(50)</w:t>
      </w:r>
      <w:r>
        <w:tab/>
      </w:r>
      <w:r>
        <w:rPr>
          <w:noProof/>
        </w:rPr>
        <w:t>Σύμφωνα με το άρθρο 3 του πρωτοκόλλου αριθ. 21 για τη θέση του Ηνωμένου Βασιλείου και τη</w:t>
      </w:r>
      <w:r>
        <w:rPr>
          <w:noProof/>
        </w:rPr>
        <w:t xml:space="preserve">ς Ιρλανδίας όσον αφορά τον χώρο ελευθερίας, ασφάλειας και δικαιοσύνης, το οποίο προσαρτάται στη ΣΕΕ και τη ΣΛΕΕ, και με την επιφύλαξη του άρθρου 4 αυτού του πρωτοκόλλου, η Ιρλανδία [δεν συμμετέχει στη θέσπιση του παρόντος κανονισμού και δεν δεσμεύεται από </w:t>
      </w:r>
      <w:r>
        <w:rPr>
          <w:noProof/>
        </w:rPr>
        <w:t>αυτήν ούτε υπόκειται στην εφαρμογή της / ανακοίνωσε την επιθυμία της να συμμετάσχει στη θέσπιση και την εφαρμογή του παρόντος κανονισμού].</w:t>
      </w:r>
    </w:p>
    <w:p w:rsidR="00E506D3" w:rsidRDefault="00A1386A">
      <w:pPr>
        <w:pStyle w:val="ManualConsidrant"/>
        <w:rPr>
          <w:noProof/>
        </w:rPr>
      </w:pPr>
      <w:r>
        <w:t>(51)</w:t>
      </w:r>
      <w:r>
        <w:tab/>
      </w:r>
      <w:r>
        <w:rPr>
          <w:noProof/>
        </w:rPr>
        <w:t>Είναι σκόπιμο να ευθυγραμμισθεί η περίοδος εφαρμογής του παρόντος κανονισμού με εκείνη του κανονισμού (ΕΕ, Ευρατ</w:t>
      </w:r>
      <w:r>
        <w:rPr>
          <w:noProof/>
        </w:rPr>
        <w:t>όμ) αριθ. .../.... για τον καθορισμό του πολυετούς δημοσιονομικού πλαισίου</w:t>
      </w:r>
      <w:r>
        <w:rPr>
          <w:rStyle w:val="FootnoteReference"/>
          <w:noProof/>
        </w:rPr>
        <w:footnoteReference w:id="29"/>
      </w:r>
      <w:r>
        <w:rPr>
          <w:noProof/>
        </w:rPr>
        <w:t>,</w:t>
      </w:r>
    </w:p>
    <w:p w:rsidR="00E506D3" w:rsidRDefault="00A1386A">
      <w:pPr>
        <w:pStyle w:val="Formuledadoption"/>
        <w:rPr>
          <w:noProof/>
          <w:szCs w:val="24"/>
        </w:rPr>
      </w:pPr>
      <w:r>
        <w:rPr>
          <w:noProof/>
        </w:rPr>
        <w:t>ΕΞΕΔΩΣΑΝ ΤΟΝ ΠΑΡΟΝΤΑ ΚΑΝΟΝΙΣΜΟ:</w:t>
      </w:r>
    </w:p>
    <w:p w:rsidR="00E506D3" w:rsidRDefault="00A1386A">
      <w:pPr>
        <w:pStyle w:val="ChapterTitle"/>
        <w:rPr>
          <w:noProof/>
        </w:rPr>
      </w:pPr>
      <w:r>
        <w:rPr>
          <w:noProof/>
        </w:rPr>
        <w:t>ΚΕΦΑΛΑΙΟ I</w:t>
      </w:r>
      <w:r>
        <w:rPr>
          <w:noProof/>
        </w:rPr>
        <w:br/>
      </w:r>
      <w:r>
        <w:rPr>
          <w:noProof/>
        </w:rPr>
        <w:br/>
        <w:t>ΓΕΝΙΚΕΣ ΔΙΑΤΑΞΕΙΣ</w:t>
      </w:r>
    </w:p>
    <w:p w:rsidR="00E506D3" w:rsidRDefault="00A1386A">
      <w:pPr>
        <w:pStyle w:val="Titrearticle"/>
        <w:rPr>
          <w:noProof/>
          <w:szCs w:val="24"/>
        </w:rPr>
      </w:pPr>
      <w:r>
        <w:rPr>
          <w:noProof/>
        </w:rPr>
        <w:t>Άρθρο 1</w:t>
      </w:r>
    </w:p>
    <w:p w:rsidR="00E506D3" w:rsidRDefault="00A1386A">
      <w:pPr>
        <w:keepNext/>
        <w:jc w:val="center"/>
        <w:rPr>
          <w:b/>
          <w:i/>
          <w:noProof/>
        </w:rPr>
      </w:pPr>
      <w:r>
        <w:rPr>
          <w:b/>
          <w:noProof/>
        </w:rPr>
        <w:t>Αντικείμενο</w:t>
      </w:r>
    </w:p>
    <w:p w:rsidR="00E506D3" w:rsidRDefault="00A1386A">
      <w:pPr>
        <w:pStyle w:val="ManualNumPar1"/>
        <w:rPr>
          <w:noProof/>
          <w:szCs w:val="24"/>
        </w:rPr>
      </w:pPr>
      <w:r>
        <w:t>1.</w:t>
      </w:r>
      <w:r>
        <w:tab/>
      </w:r>
      <w:r>
        <w:rPr>
          <w:noProof/>
        </w:rPr>
        <w:t>Ο παρών κανονισμός θεσπίζει το Ταμείο Εσωτερικής Ασφάλειας (το «Ταμείο»).</w:t>
      </w:r>
    </w:p>
    <w:p w:rsidR="00E506D3" w:rsidRDefault="00A1386A">
      <w:pPr>
        <w:pStyle w:val="ManualNumPar1"/>
        <w:rPr>
          <w:noProof/>
        </w:rPr>
      </w:pPr>
      <w:r>
        <w:t>2.</w:t>
      </w:r>
      <w:r>
        <w:tab/>
      </w:r>
      <w:r>
        <w:rPr>
          <w:noProof/>
        </w:rPr>
        <w:t xml:space="preserve">Καθορίζει τους </w:t>
      </w:r>
      <w:r>
        <w:rPr>
          <w:noProof/>
        </w:rPr>
        <w:t>στόχους του Ταμείου, τον προϋπολογισμό για την περίοδο 2021-2027, τις μορφές ενωσιακής χρηματοδότησης και τους κανόνες για την παροχή της εν λόγω χρηματοδότησης.</w:t>
      </w:r>
    </w:p>
    <w:p w:rsidR="00E506D3" w:rsidRDefault="00A1386A">
      <w:pPr>
        <w:pStyle w:val="Titrearticle"/>
        <w:rPr>
          <w:noProof/>
        </w:rPr>
      </w:pPr>
      <w:r>
        <w:rPr>
          <w:noProof/>
        </w:rPr>
        <w:t>Άρθρο 2</w:t>
      </w:r>
    </w:p>
    <w:p w:rsidR="00E506D3" w:rsidRDefault="00A1386A">
      <w:pPr>
        <w:keepNext/>
        <w:jc w:val="center"/>
        <w:rPr>
          <w:b/>
          <w:noProof/>
        </w:rPr>
      </w:pPr>
      <w:r>
        <w:rPr>
          <w:b/>
          <w:noProof/>
        </w:rPr>
        <w:t>Ορισμοί</w:t>
      </w:r>
    </w:p>
    <w:p w:rsidR="00E506D3" w:rsidRDefault="00A1386A">
      <w:pPr>
        <w:rPr>
          <w:noProof/>
        </w:rPr>
      </w:pPr>
      <w:r>
        <w:rPr>
          <w:noProof/>
        </w:rPr>
        <w:t>Για τους σκοπούς του παρόντος κανονισμού, ισχύουν οι ακόλουθοι ορισμοί:</w:t>
      </w:r>
    </w:p>
    <w:p w:rsidR="00E506D3" w:rsidRDefault="00A1386A">
      <w:pPr>
        <w:pStyle w:val="Point0"/>
        <w:rPr>
          <w:noProof/>
        </w:rPr>
      </w:pPr>
      <w:r>
        <w:rPr>
          <w:noProof/>
        </w:rPr>
        <w:t>α)</w:t>
      </w:r>
      <w:r>
        <w:rPr>
          <w:noProof/>
        </w:rPr>
        <w:tab/>
        <w:t>«συ</w:t>
      </w:r>
      <w:r>
        <w:rPr>
          <w:noProof/>
        </w:rPr>
        <w:t>νδυαστική πράξη»: ενέργειες που στηρίζονται από τον προϋπολογισμό της Ένωσης, μεταξύ άλλων και στο πλαίσιο συνδυαστικών μηχανισμών σύμφωνα με το άρθρο 2 παράγραφος 6 του δημοσιονομικού κανονισμού με σκοπό τον συνδυασμό μη επιστρεπτέων μορφών στήριξης και/ή</w:t>
      </w:r>
      <w:r>
        <w:rPr>
          <w:noProof/>
        </w:rPr>
        <w:t xml:space="preserve"> χρηματοδοτικών μέσων από τον προϋπολογισμό της Ένωσης με επιστρεπτέες μορφές στήριξης από ιδρύματα αναπτυξιακής χρηματοδότησης ή άλλα δημόσια χρηματοδοτικά ιδρύματα , καθώς και από εμπορικά χρηματοδοτικά ιδρύματα και επενδυτές·</w:t>
      </w:r>
    </w:p>
    <w:p w:rsidR="00E506D3" w:rsidRDefault="00A1386A">
      <w:pPr>
        <w:pStyle w:val="Point0"/>
        <w:rPr>
          <w:noProof/>
        </w:rPr>
      </w:pPr>
      <w:r>
        <w:rPr>
          <w:noProof/>
        </w:rPr>
        <w:t>β)</w:t>
      </w:r>
      <w:r>
        <w:rPr>
          <w:noProof/>
        </w:rPr>
        <w:tab/>
        <w:t>«πρόληψη της εγκληματικό</w:t>
      </w:r>
      <w:r>
        <w:rPr>
          <w:noProof/>
        </w:rPr>
        <w:t>τητας»: όλα τα μέτρα που αποσκοπούν στη μείωση, ή άλλως συμβάλλουν στη μείωση της εγκληματικότητας και της ανασφάλειας των πολιτών, όπως αναφέρονται στο άρθρο 2 παράγραφος 2 της απόφασης 2009/902/ΔΕΥ του Συμβουλίου</w:t>
      </w:r>
      <w:r>
        <w:rPr>
          <w:rStyle w:val="FootnoteReference"/>
          <w:noProof/>
        </w:rPr>
        <w:footnoteReference w:id="30"/>
      </w:r>
      <w:r>
        <w:rPr>
          <w:noProof/>
        </w:rPr>
        <w:t>·</w:t>
      </w:r>
    </w:p>
    <w:p w:rsidR="00E506D3" w:rsidRDefault="00A1386A">
      <w:pPr>
        <w:pStyle w:val="Point0"/>
        <w:rPr>
          <w:noProof/>
        </w:rPr>
      </w:pPr>
      <w:r>
        <w:rPr>
          <w:noProof/>
        </w:rPr>
        <w:t>γ)</w:t>
      </w:r>
      <w:r>
        <w:rPr>
          <w:noProof/>
        </w:rPr>
        <w:tab/>
        <w:t>«υποδομή ζωτικής σημασίας»: περιουσι</w:t>
      </w:r>
      <w:r>
        <w:rPr>
          <w:noProof/>
        </w:rPr>
        <w:t>ακό στοιχείο, δίκτυο, σύστημα ή μέρος του, που είναι ουσιώδες για τη διατήρηση ζωτικών λειτουργιών της κοινωνίας, για την υγεία, για την ασφάλεια, για την οικονομική ή κοινωνική ευημερία των πολιτών, και που, αν διαταραχτεί, παραβιαστεί ή καταστραφεί, θα υ</w:t>
      </w:r>
      <w:r>
        <w:rPr>
          <w:noProof/>
        </w:rPr>
        <w:t>πάρξει σημαντικός αντίκτυπος σε κράτος μέλος ή στην Ένωση, ως αποτέλεσμα της αδυναμίας διατήρησης των λειτουργιών αυτών·</w:t>
      </w:r>
      <w:r>
        <w:rPr>
          <w:noProof/>
        </w:rPr>
        <w:noBreakHyphen/>
      </w:r>
    </w:p>
    <w:p w:rsidR="00E506D3" w:rsidRDefault="00A1386A">
      <w:pPr>
        <w:pStyle w:val="Point0"/>
        <w:rPr>
          <w:noProof/>
        </w:rPr>
      </w:pPr>
      <w:r>
        <w:rPr>
          <w:noProof/>
        </w:rPr>
        <w:t>δ)</w:t>
      </w:r>
      <w:r>
        <w:rPr>
          <w:noProof/>
        </w:rPr>
        <w:tab/>
        <w:t xml:space="preserve">«έγκλημα στον κυβερνοχώρο»: εγκλήματα που εξαρτώνται από το διαδίκτυο, όπως π.χ. τα εγκλήματα που μπορούν να διαπραχθούν μόνο μέσω </w:t>
      </w:r>
      <w:r>
        <w:rPr>
          <w:noProof/>
        </w:rPr>
        <w:t xml:space="preserve">της χρήσης συσκευών και συστημάτων των τεχνολογιών των πληροφοριών και των επικοινωνιών (ΤΠΕ), οσάκις οι συσκευές και τα συστήματα είναι είτε εργαλεία για τη διάπραξη του εγκλήματος είτε οι πρωταρχικοί αποδέκτες της εγκληματικότητας· και εγκλήματα δια του </w:t>
      </w:r>
      <w:r>
        <w:rPr>
          <w:noProof/>
        </w:rPr>
        <w:t>κυβερνοχώρου, δηλαδή παραδοσιακά εγκλήματα, όπως η σεξουαλική εκμετάλλευση παιδιών, η οποία μπορεί να αυξηθεί σε κλίμακα ή εμβέλεια με τη χρήση ηλεκτρονικών υπολογιστών, δικτύων υπολογιστών ή άλλες μορφές ΤΠΕ·</w:t>
      </w:r>
    </w:p>
    <w:p w:rsidR="00E506D3" w:rsidRDefault="00A1386A">
      <w:pPr>
        <w:pStyle w:val="Point0"/>
        <w:rPr>
          <w:noProof/>
        </w:rPr>
      </w:pPr>
      <w:r>
        <w:rPr>
          <w:noProof/>
        </w:rPr>
        <w:t>ε)</w:t>
      </w:r>
      <w:r>
        <w:rPr>
          <w:noProof/>
        </w:rPr>
        <w:tab/>
        <w:t>«δράσεις EMPACT»: οι δράσεις που αναλαμβάνο</w:t>
      </w:r>
      <w:r>
        <w:rPr>
          <w:noProof/>
        </w:rPr>
        <w:t>νται στο πλαίσιο της Ευρωπαϊκής Πολυκλαδικής Πλατφόρμας κατά των Εγκληματικών Απειλών (EMPACT)</w:t>
      </w:r>
      <w:r>
        <w:rPr>
          <w:rStyle w:val="FootnoteReference"/>
          <w:noProof/>
        </w:rPr>
        <w:footnoteReference w:id="31"/>
      </w:r>
      <w:r>
        <w:rPr>
          <w:noProof/>
        </w:rPr>
        <w:t>. Η EMPACT είναι μια διαρθρωμένη πολυκλαδική πλατφόρμα συνεργασίας των οικείων κρατών μελών, των θεσμικών οργάνων και οργανισμών της Ένωσης, καθώς και τρίτων χωρ</w:t>
      </w:r>
      <w:r>
        <w:rPr>
          <w:noProof/>
        </w:rPr>
        <w:t>ών, διεθνών οργανισμών και άλλων δημόσιων και ιδιωτικών εταίρων για την αντιμετώπιση ιεραρχημένων απειλών οργανωμένου και σοβαρού διεθνούς εγκλήματος στο πλαίσιο του κύκλου πολιτικής της ΕΕ·</w:t>
      </w:r>
    </w:p>
    <w:p w:rsidR="00E506D3" w:rsidRDefault="00A1386A">
      <w:pPr>
        <w:pStyle w:val="Point0"/>
        <w:rPr>
          <w:noProof/>
        </w:rPr>
      </w:pPr>
      <w:r>
        <w:rPr>
          <w:noProof/>
        </w:rPr>
        <w:t>στ)</w:t>
      </w:r>
      <w:r>
        <w:rPr>
          <w:noProof/>
        </w:rPr>
        <w:tab/>
        <w:t>Ο «κύκλος πολιτικής της ΕΕ» αναφέρεται σε μια πολυκλαδική και</w:t>
      </w:r>
      <w:r>
        <w:rPr>
          <w:noProof/>
        </w:rPr>
        <w:t xml:space="preserve"> βάσει πληροφοριών πρωτοβουλία που έχει ως στόχο την καταπολέμηση των απειλών του σοβαρότερου και οργανωμένου εγκλήματος κατά της Ένωσης ενθαρρύνοντας τη συνεργασία μεταξύ κρατών μελών, των θεσμικών οργάνων της Ένωσης, των οργανισμών και, κατά περίπτωση, τ</w:t>
      </w:r>
      <w:r>
        <w:rPr>
          <w:noProof/>
        </w:rPr>
        <w:t>ρίτων χωρών και οργανισμών·</w:t>
      </w:r>
    </w:p>
    <w:p w:rsidR="00E506D3" w:rsidRDefault="00A1386A">
      <w:pPr>
        <w:pStyle w:val="Point0"/>
        <w:rPr>
          <w:noProof/>
        </w:rPr>
      </w:pPr>
      <w:r>
        <w:rPr>
          <w:noProof/>
        </w:rPr>
        <w:t>ζ)</w:t>
      </w:r>
      <w:r>
        <w:rPr>
          <w:noProof/>
        </w:rPr>
        <w:tab/>
        <w:t>«ανταλλαγή πληροφοριών και πρόσβαση σε αυτές»: η ασφαλής συλλογή, αποθήκευση, επεξεργασία, ανάλυση και ανταλλαγή πληροφοριών οι οποίες ενδιαφέρουν τις αρχές που αναφέρονται στο άρθρο 87 της ΣΛΕΕ, καθώς και τον Ευρωπόλ, σε σχέ</w:t>
      </w:r>
      <w:r>
        <w:rPr>
          <w:noProof/>
        </w:rPr>
        <w:t>ση με την πρόληψη, ανίχνευση, διερεύνηση και δίωξη ποινικών αδικημάτων, ιδιαίτερα δε διασυνοριακών, οργανωμένων εγκλημάτων·</w:t>
      </w:r>
    </w:p>
    <w:p w:rsidR="00E506D3" w:rsidRDefault="00A1386A">
      <w:pPr>
        <w:pStyle w:val="Point0"/>
        <w:rPr>
          <w:noProof/>
        </w:rPr>
      </w:pPr>
      <w:r>
        <w:rPr>
          <w:noProof/>
        </w:rPr>
        <w:t>η)</w:t>
      </w:r>
      <w:r>
        <w:rPr>
          <w:noProof/>
        </w:rPr>
        <w:tab/>
        <w:t>«δικαστική συνεργασία»: η δικαστική συνεργασία σε ποινικές υποθέσεις·</w:t>
      </w:r>
    </w:p>
    <w:p w:rsidR="00E506D3" w:rsidRDefault="00A1386A">
      <w:pPr>
        <w:pStyle w:val="Point0"/>
        <w:rPr>
          <w:noProof/>
        </w:rPr>
      </w:pPr>
      <w:r>
        <w:rPr>
          <w:noProof/>
        </w:rPr>
        <w:t>θ)</w:t>
      </w:r>
      <w:r>
        <w:rPr>
          <w:noProof/>
        </w:rPr>
        <w:tab/>
        <w:t xml:space="preserve">«LETS»: το Ευρωπαϊκό πρόγραμμα κατάρτισης για την </w:t>
      </w:r>
      <w:r>
        <w:rPr>
          <w:noProof/>
        </w:rPr>
        <w:t>επιβολή του νόμου, το οποίο αποσκοπεί στο να εξοπλιστούν οι υπάλληλοι επιβολής του νόμου με τις γνώσεις και τις δεξιότητες που χρειάζονται για την πρόληψη και την καταπολέμηση του διασυνοριακού εγκλήματος αποτελεσματικά μέσω της αποτελεσματικής συνεργασίας</w:t>
      </w:r>
      <w:r>
        <w:rPr>
          <w:noProof/>
        </w:rPr>
        <w:t>, όπως περιγράφεται στην ανακοίνωση της Επιτροπής, της 27ης Μαρτίου 2013, για τη θέσπιση του LETS</w:t>
      </w:r>
      <w:r>
        <w:rPr>
          <w:rStyle w:val="FootnoteReference"/>
          <w:noProof/>
        </w:rPr>
        <w:footnoteReference w:id="32"/>
      </w:r>
      <w:r>
        <w:rPr>
          <w:noProof/>
        </w:rPr>
        <w:t xml:space="preserve"> και αναφέρεται περαιτέρω στον κανονισμό CEPOL</w:t>
      </w:r>
      <w:r>
        <w:rPr>
          <w:rStyle w:val="FootnoteReference"/>
          <w:noProof/>
        </w:rPr>
        <w:footnoteReference w:id="33"/>
      </w:r>
      <w:r>
        <w:rPr>
          <w:noProof/>
        </w:rPr>
        <w:t>·</w:t>
      </w:r>
    </w:p>
    <w:p w:rsidR="00E506D3" w:rsidRDefault="00A1386A">
      <w:pPr>
        <w:pStyle w:val="Point0"/>
        <w:rPr>
          <w:noProof/>
        </w:rPr>
      </w:pPr>
      <w:r>
        <w:rPr>
          <w:noProof/>
        </w:rPr>
        <w:t>ι)</w:t>
      </w:r>
      <w:r>
        <w:rPr>
          <w:noProof/>
        </w:rPr>
        <w:tab/>
        <w:t>«οργανωμένο έγκλημα»: κολάσιμη συμπεριφορά σχετιζόμενη με τη συμμετοχή σε εγκληματική οργάνωση, όπως ορίζε</w:t>
      </w:r>
      <w:r>
        <w:rPr>
          <w:noProof/>
        </w:rPr>
        <w:t>ται στην απόφαση-πλαίσιο 2008/841/ΔΕΥ του Συμβουλίου</w:t>
      </w:r>
      <w:r>
        <w:rPr>
          <w:rStyle w:val="FootnoteReference"/>
          <w:noProof/>
        </w:rPr>
        <w:footnoteReference w:id="34"/>
      </w:r>
      <w:r>
        <w:rPr>
          <w:noProof/>
        </w:rPr>
        <w:t>·</w:t>
      </w:r>
    </w:p>
    <w:p w:rsidR="00E506D3" w:rsidRDefault="00A1386A">
      <w:pPr>
        <w:pStyle w:val="Point0"/>
        <w:rPr>
          <w:noProof/>
        </w:rPr>
      </w:pPr>
      <w:r>
        <w:rPr>
          <w:noProof/>
        </w:rPr>
        <w:t>ια)</w:t>
      </w:r>
      <w:r>
        <w:rPr>
          <w:noProof/>
        </w:rPr>
        <w:tab/>
        <w:t xml:space="preserve"> «ετοιμότητα»: κάθε μέτρο που στοχεύει στην πρόληψη ή στη μείωση κινδύνων που συνδέονται με πιθανές τρομοκρατικές επιθέσεις ή άλλα περιστατικά συνδεόμενα με την ασφάλεια·</w:t>
      </w:r>
    </w:p>
    <w:p w:rsidR="00E506D3" w:rsidRDefault="00A1386A">
      <w:pPr>
        <w:pStyle w:val="Point0"/>
        <w:rPr>
          <w:noProof/>
        </w:rPr>
      </w:pPr>
      <w:r>
        <w:rPr>
          <w:noProof/>
        </w:rPr>
        <w:t>ιβ)</w:t>
      </w:r>
      <w:r>
        <w:rPr>
          <w:noProof/>
        </w:rPr>
        <w:tab/>
        <w:t xml:space="preserve"> «μηχανισμός αξιολόγησ</w:t>
      </w:r>
      <w:r>
        <w:rPr>
          <w:noProof/>
        </w:rPr>
        <w:t>ης και παρακολούθησης Σένγκεν»: η επαλήθευση της ορθής εφαρμογής του κεκτημένου Σένγκεν, όπως ορίζεται στον κανονισμό (ΕΕ) αριθ. 1053/2013, μεταξύ άλλων στον τομέα της αστυνομικής συνεργασίας·</w:t>
      </w:r>
    </w:p>
    <w:p w:rsidR="00E506D3" w:rsidRDefault="00A1386A">
      <w:pPr>
        <w:pStyle w:val="Point0"/>
        <w:rPr>
          <w:noProof/>
        </w:rPr>
      </w:pPr>
      <w:r>
        <w:rPr>
          <w:noProof/>
        </w:rPr>
        <w:t>ιγ)</w:t>
      </w:r>
      <w:r>
        <w:rPr>
          <w:noProof/>
        </w:rPr>
        <w:tab/>
        <w:t>«η καταπολέμηση της διαφθοράς» καλύπτει όλους τους τομείς π</w:t>
      </w:r>
      <w:r>
        <w:rPr>
          <w:noProof/>
        </w:rPr>
        <w:t>ου περιλαμβάνονται στη Σύμβαση των Ηνωμένων Εθνών κατά της διαφθοράς, συμπεριλαμβανομένων της πρόληψης, της ποινικοποίησης και των μέτρων επιβολής του νόμου, της διεθνούς συνεργασίας, της ανάκτησης περιουσιακών στοιχείων, της τεχνικής βοήθειας και της αντα</w:t>
      </w:r>
      <w:r>
        <w:rPr>
          <w:noProof/>
        </w:rPr>
        <w:t>λλαγής πληροφοριών·</w:t>
      </w:r>
    </w:p>
    <w:p w:rsidR="00E506D3" w:rsidRDefault="00A1386A">
      <w:pPr>
        <w:pStyle w:val="Point0"/>
        <w:rPr>
          <w:noProof/>
        </w:rPr>
      </w:pPr>
      <w:r>
        <w:rPr>
          <w:noProof/>
        </w:rPr>
        <w:t>ιδ)</w:t>
      </w:r>
      <w:r>
        <w:rPr>
          <w:noProof/>
        </w:rPr>
        <w:tab/>
        <w:t>«τρομοκρατία»: οποιαδήποτε εκ των εκ προθέσεως πράξεων και αδικημάτων όπως ορίζονται στην οδηγία (ΕΕ) 2017/541 του Ευρωπαϊκού Κοινοβουλίου και του Συμβουλίου για την καταπολέμηση της τρομοκρατίας</w:t>
      </w:r>
      <w:r>
        <w:rPr>
          <w:rStyle w:val="FootnoteReference"/>
          <w:noProof/>
        </w:rPr>
        <w:footnoteReference w:id="35"/>
      </w:r>
      <w:r>
        <w:rPr>
          <w:noProof/>
        </w:rPr>
        <w:t>.</w:t>
      </w:r>
    </w:p>
    <w:p w:rsidR="00E506D3" w:rsidRDefault="00A1386A">
      <w:pPr>
        <w:pStyle w:val="Titrearticle"/>
        <w:rPr>
          <w:noProof/>
        </w:rPr>
      </w:pPr>
      <w:r>
        <w:rPr>
          <w:noProof/>
        </w:rPr>
        <w:t>Άρθρο 3</w:t>
      </w:r>
    </w:p>
    <w:p w:rsidR="00E506D3" w:rsidRDefault="00A1386A">
      <w:pPr>
        <w:keepNext/>
        <w:jc w:val="center"/>
        <w:rPr>
          <w:b/>
          <w:noProof/>
        </w:rPr>
      </w:pPr>
      <w:r>
        <w:rPr>
          <w:b/>
          <w:noProof/>
        </w:rPr>
        <w:t>Στόχοι του Ταμείου</w:t>
      </w:r>
    </w:p>
    <w:p w:rsidR="00E506D3" w:rsidRDefault="00A1386A">
      <w:pPr>
        <w:pStyle w:val="ManualNumPar1"/>
        <w:rPr>
          <w:noProof/>
        </w:rPr>
      </w:pPr>
      <w:r>
        <w:t>1.</w:t>
      </w:r>
      <w:r>
        <w:tab/>
      </w:r>
      <w:r>
        <w:rPr>
          <w:noProof/>
        </w:rPr>
        <w:t>Ο στ</w:t>
      </w:r>
      <w:r>
        <w:rPr>
          <w:noProof/>
        </w:rPr>
        <w:t>όχος πολιτικής του Ταμείου είναι να συμβάλει στη διασφάλιση ασφάλειας υψηλού επιπέδου στην Ένωση, ιδίως με την καταπολέμηση της τρομοκρατίας και της ριζοσπαστικοποίησης, του σοβαρού και οργανωμένου εγκλήματος, του εγκλήματος στον κυβερνοχώρο και της συνδρο</w:t>
      </w:r>
      <w:r>
        <w:rPr>
          <w:noProof/>
        </w:rPr>
        <w:t>μής και προστασίας των θυμάτων εγκληματικών πράξεων.</w:t>
      </w:r>
    </w:p>
    <w:p w:rsidR="00E506D3" w:rsidRDefault="00A1386A">
      <w:pPr>
        <w:pStyle w:val="ManualNumPar1"/>
        <w:rPr>
          <w:noProof/>
        </w:rPr>
      </w:pPr>
      <w:r>
        <w:t>2.</w:t>
      </w:r>
      <w:r>
        <w:tab/>
      </w:r>
      <w:r>
        <w:rPr>
          <w:noProof/>
        </w:rPr>
        <w:t>Στο πλαίσιο του πολιτικού στόχου που ορίζεται στην παράγραφο 1, το Ταμείο συμβάλλει στην επίτευξη των ακόλουθων ειδικών στόχων:</w:t>
      </w:r>
    </w:p>
    <w:p w:rsidR="00E506D3" w:rsidRDefault="00A1386A">
      <w:pPr>
        <w:pStyle w:val="Point1"/>
        <w:rPr>
          <w:noProof/>
        </w:rPr>
      </w:pPr>
      <w:r>
        <w:rPr>
          <w:noProof/>
        </w:rPr>
        <w:t>α)</w:t>
      </w:r>
      <w:r>
        <w:rPr>
          <w:noProof/>
        </w:rPr>
        <w:tab/>
        <w:t>την αύξηση της ανταλλαγής πληροφοριών εντός της Ένωσης και μεταξύ των</w:t>
      </w:r>
      <w:r>
        <w:rPr>
          <w:noProof/>
        </w:rPr>
        <w:t xml:space="preserve"> αρχών επιβολής του νόμου και άλλων αρμόδιων αρχών, άλλων σχετικών οργάνων της Ένωσης καθώς και με τρίτες χώρες και διεθνείς οργανισμούς·</w:t>
      </w:r>
    </w:p>
    <w:p w:rsidR="00E506D3" w:rsidRDefault="00A1386A">
      <w:pPr>
        <w:pStyle w:val="Point1"/>
        <w:rPr>
          <w:noProof/>
        </w:rPr>
      </w:pPr>
      <w:r>
        <w:rPr>
          <w:noProof/>
        </w:rPr>
        <w:t>β)</w:t>
      </w:r>
      <w:r>
        <w:rPr>
          <w:noProof/>
        </w:rPr>
        <w:tab/>
        <w:t>την ενίσχυση διασυνοριακών κοινών επιχειρήσεων εντός της Ένωσης και μεταξύ των αρχών επιβολής του νόμου και άλλων α</w:t>
      </w:r>
      <w:r>
        <w:rPr>
          <w:noProof/>
        </w:rPr>
        <w:t>ρμόδιων αρχών σε σχέση με το σοβαρό και οργανωμένο έγκλημα με διασυνοριακή διάσταση· και</w:t>
      </w:r>
    </w:p>
    <w:p w:rsidR="00E506D3" w:rsidRDefault="00A1386A">
      <w:pPr>
        <w:pStyle w:val="Point1"/>
        <w:rPr>
          <w:noProof/>
        </w:rPr>
      </w:pPr>
      <w:r>
        <w:rPr>
          <w:noProof/>
        </w:rPr>
        <w:t>γ)</w:t>
      </w:r>
      <w:r>
        <w:rPr>
          <w:noProof/>
        </w:rPr>
        <w:tab/>
        <w:t>την παροχή στήριξης στις προσπάθειες που καταβάλλονται για την ενίσχυση των ικανοτήτων σε σχέση με την καταπολέμηση και την πρόληψη του εγκλήματος, συμπεριλαμβανομέ</w:t>
      </w:r>
      <w:r>
        <w:rPr>
          <w:noProof/>
        </w:rPr>
        <w:t>νης της τρομοκρατίας, ιδίως με την ενίσχυση της συνεργασίας μεταξύ των δημόσιων αρχών, της κοινωνίας των πολιτών και των ιδιωτικών φορέων σε όλα τα κράτη μέλη.</w:t>
      </w:r>
    </w:p>
    <w:p w:rsidR="00E506D3" w:rsidRDefault="00A1386A">
      <w:pPr>
        <w:pStyle w:val="ManualNumPar1"/>
        <w:rPr>
          <w:noProof/>
        </w:rPr>
      </w:pPr>
      <w:r>
        <w:t>3.</w:t>
      </w:r>
      <w:r>
        <w:tab/>
      </w:r>
      <w:r>
        <w:rPr>
          <w:noProof/>
        </w:rPr>
        <w:t xml:space="preserve">Στο πλαίσιο των ειδικών στόχων που αναφέρονται στην παράγραφο 2, το Ταμείο εκτελείται μέσω </w:t>
      </w:r>
      <w:r>
        <w:rPr>
          <w:noProof/>
        </w:rPr>
        <w:t>των μέτρων εφαρμογής που παρατίθενται στο παράρτημα II.</w:t>
      </w:r>
    </w:p>
    <w:p w:rsidR="00E506D3" w:rsidRDefault="00A1386A">
      <w:pPr>
        <w:pStyle w:val="ManualNumPar1"/>
        <w:rPr>
          <w:noProof/>
        </w:rPr>
      </w:pPr>
      <w:r>
        <w:t>4.</w:t>
      </w:r>
      <w:r>
        <w:tab/>
      </w:r>
      <w:r>
        <w:rPr>
          <w:noProof/>
        </w:rPr>
        <w:t>Οι χρηματοδοτούμενες δράσεις υλοποιούνται με πλήρη σεβασμό των θεμελιωδών δικαιωμάτων και της ανθρώπινης αξιοπρέπειας. Ειδικότερα, οι ενέργειες είναι σύμφωνες προς τις διατάξεις του Χάρτη των Θεμελ</w:t>
      </w:r>
      <w:r>
        <w:rPr>
          <w:noProof/>
        </w:rPr>
        <w:t xml:space="preserve">ιωδών Δικαιωμάτων της Ευρωπαϊκής Ένωσης, τους ενωσιακούς κανόνες προστασίας των δεδομένων, και την Ευρωπαϊκή σύμβαση για την Προστασία των Ανθρωπίνων Δικαιωμάτων και των Θεμελιωδών Ελευθεριών (ΕΣΑΔ). Τα κράτη μέλη πρέπει ιδίως, κατά την πραγματοποίηση των </w:t>
      </w:r>
      <w:r>
        <w:rPr>
          <w:noProof/>
        </w:rPr>
        <w:t>ενεργειών, να λαμβάνουν, όπου είναι δυνατόν, μέριμνα για την παροχή βοήθειας και προστασίας στα ευάλωτα πρόσωπα, κυρίως δε στα παιδιά και στους ασυνόδευτους ανηλίκους.</w:t>
      </w:r>
    </w:p>
    <w:p w:rsidR="00E506D3" w:rsidRDefault="00A1386A">
      <w:pPr>
        <w:pStyle w:val="Titrearticle"/>
        <w:rPr>
          <w:noProof/>
          <w:szCs w:val="24"/>
        </w:rPr>
      </w:pPr>
      <w:r>
        <w:rPr>
          <w:noProof/>
        </w:rPr>
        <w:t>Άρθρο 4</w:t>
      </w:r>
    </w:p>
    <w:p w:rsidR="00E506D3" w:rsidRDefault="00A1386A">
      <w:pPr>
        <w:keepNext/>
        <w:jc w:val="center"/>
        <w:rPr>
          <w:b/>
          <w:noProof/>
        </w:rPr>
      </w:pPr>
      <w:r>
        <w:rPr>
          <w:b/>
          <w:noProof/>
        </w:rPr>
        <w:t>Πεδίο της στήριξης</w:t>
      </w:r>
    </w:p>
    <w:p w:rsidR="00E506D3" w:rsidRDefault="00A1386A">
      <w:pPr>
        <w:pStyle w:val="ManualNumPar1"/>
        <w:rPr>
          <w:noProof/>
        </w:rPr>
      </w:pPr>
      <w:r>
        <w:t>1.</w:t>
      </w:r>
      <w:r>
        <w:tab/>
      </w:r>
      <w:r>
        <w:rPr>
          <w:noProof/>
        </w:rPr>
        <w:t>Στο πλαίσιο των στόχων που αναφέρονται στο άρθρο 3 και σύμ</w:t>
      </w:r>
      <w:r>
        <w:rPr>
          <w:noProof/>
        </w:rPr>
        <w:t>φωνα με τα μέτρα εφαρμογής που παρατίθενται στο παράρτημα II, το Ταμείο στηρίζει ιδίως τις δράσεις που παρατίθενται στο παράρτημα ΙΙΙ.</w:t>
      </w:r>
    </w:p>
    <w:p w:rsidR="00E506D3" w:rsidRDefault="00A1386A">
      <w:pPr>
        <w:pStyle w:val="ManualNumPar1"/>
        <w:rPr>
          <w:noProof/>
        </w:rPr>
      </w:pPr>
      <w:r>
        <w:t>2.</w:t>
      </w:r>
      <w:r>
        <w:tab/>
      </w:r>
      <w:r>
        <w:rPr>
          <w:noProof/>
        </w:rPr>
        <w:t>Για την επίτευξη των στόχων του παρόντος κανονισμού, το Ταμείο μπορεί να στηρίζει τις δράσεις που συνάδουν με τις προτ</w:t>
      </w:r>
      <w:r>
        <w:rPr>
          <w:noProof/>
        </w:rPr>
        <w:t>εραιότητες της Ένωσης, όπως αναφέρονται στο παράρτημα III σε σχέση με τρίτες χώρες ή σε αυτές, ανάλογα με την περίπτωση, σύμφωνα με το άρθρο 5.</w:t>
      </w:r>
    </w:p>
    <w:p w:rsidR="00E506D3" w:rsidRDefault="00A1386A">
      <w:pPr>
        <w:pStyle w:val="ManualNumPar1"/>
        <w:rPr>
          <w:noProof/>
        </w:rPr>
      </w:pPr>
      <w:r>
        <w:t>3.</w:t>
      </w:r>
      <w:r>
        <w:tab/>
      </w:r>
      <w:r>
        <w:rPr>
          <w:noProof/>
        </w:rPr>
        <w:t>Οι ακόλουθες δράσεις δεν είναι επιλέξιμες:</w:t>
      </w:r>
    </w:p>
    <w:p w:rsidR="00E506D3" w:rsidRDefault="00A1386A">
      <w:pPr>
        <w:pStyle w:val="Point1"/>
        <w:rPr>
          <w:noProof/>
        </w:rPr>
      </w:pPr>
      <w:r>
        <w:rPr>
          <w:noProof/>
        </w:rPr>
        <w:t>α)</w:t>
      </w:r>
      <w:r>
        <w:rPr>
          <w:noProof/>
        </w:rPr>
        <w:tab/>
        <w:t>δράσεις που περιορίζονται στη διατήρηση της δημόσιας τάξης σε ε</w:t>
      </w:r>
      <w:r>
        <w:rPr>
          <w:noProof/>
        </w:rPr>
        <w:t>θνικό επίπεδο·</w:t>
      </w:r>
    </w:p>
    <w:p w:rsidR="00E506D3" w:rsidRDefault="00A1386A">
      <w:pPr>
        <w:pStyle w:val="Point1"/>
        <w:rPr>
          <w:noProof/>
        </w:rPr>
      </w:pPr>
      <w:r>
        <w:rPr>
          <w:noProof/>
        </w:rPr>
        <w:t>β)</w:t>
      </w:r>
      <w:r>
        <w:rPr>
          <w:noProof/>
        </w:rPr>
        <w:tab/>
        <w:t>δράσεις που καλύπτουν την προμήθεια ή τη συντήρηση τυποποιημένου εξοπλισμού, μεταφορικών μέσων ή εγκαταστάσεων των αρχών επιβολής του νόμου και άλλων αρμόδιων αρχών που αναφέρονται στο άρθρο 87 της ΣΛΕΕ·</w:t>
      </w:r>
      <w:r>
        <w:rPr>
          <w:noProof/>
        </w:rPr>
        <w:noBreakHyphen/>
      </w:r>
    </w:p>
    <w:p w:rsidR="00E506D3" w:rsidRDefault="00A1386A">
      <w:pPr>
        <w:pStyle w:val="Point1"/>
        <w:rPr>
          <w:noProof/>
        </w:rPr>
      </w:pPr>
      <w:r>
        <w:rPr>
          <w:noProof/>
        </w:rPr>
        <w:t>γ)</w:t>
      </w:r>
      <w:r>
        <w:rPr>
          <w:noProof/>
        </w:rPr>
        <w:tab/>
        <w:t>δράσεις με στρατιωτικό ή αμυντ</w:t>
      </w:r>
      <w:r>
        <w:rPr>
          <w:noProof/>
        </w:rPr>
        <w:t>ικό σκοπό·</w:t>
      </w:r>
    </w:p>
    <w:p w:rsidR="00E506D3" w:rsidRDefault="00A1386A">
      <w:pPr>
        <w:pStyle w:val="Point1"/>
        <w:rPr>
          <w:noProof/>
        </w:rPr>
      </w:pPr>
      <w:r>
        <w:rPr>
          <w:noProof/>
        </w:rPr>
        <w:t>δ)</w:t>
      </w:r>
      <w:r>
        <w:rPr>
          <w:noProof/>
        </w:rPr>
        <w:tab/>
        <w:t>εξοπλισμός του οποίου τουλάχιστον ένας από τους στόχους είναι ο τελωνειακός έλεγχος·</w:t>
      </w:r>
    </w:p>
    <w:p w:rsidR="00E506D3" w:rsidRDefault="00A1386A">
      <w:pPr>
        <w:pStyle w:val="Point1"/>
        <w:rPr>
          <w:noProof/>
        </w:rPr>
      </w:pPr>
      <w:r>
        <w:rPr>
          <w:noProof/>
        </w:rPr>
        <w:t>ε)</w:t>
      </w:r>
      <w:r>
        <w:rPr>
          <w:noProof/>
        </w:rPr>
        <w:tab/>
        <w:t>καταναγκαστικός εξοπλισμός, συμπεριλαμβανομένων όπλων, πυρομαχικών, εκρηκτικών και ράβδων για την καταστολή ταραχών, πλην για δράσεις επιμόρφωσης·</w:t>
      </w:r>
    </w:p>
    <w:p w:rsidR="00E506D3" w:rsidRDefault="00A1386A">
      <w:pPr>
        <w:pStyle w:val="Point1"/>
        <w:rPr>
          <w:noProof/>
        </w:rPr>
      </w:pPr>
      <w:r>
        <w:rPr>
          <w:noProof/>
        </w:rPr>
        <w:t>στ)</w:t>
      </w:r>
      <w:r>
        <w:rPr>
          <w:noProof/>
        </w:rPr>
        <w:tab/>
        <w:t>αμο</w:t>
      </w:r>
      <w:r>
        <w:rPr>
          <w:noProof/>
        </w:rPr>
        <w:t>ιβές πληροφοριοδοτών και «χρηματικό δόλωμα»</w:t>
      </w:r>
      <w:r>
        <w:rPr>
          <w:rStyle w:val="FootnoteReference"/>
          <w:noProof/>
        </w:rPr>
        <w:footnoteReference w:id="36"/>
      </w:r>
      <w:r>
        <w:rPr>
          <w:noProof/>
        </w:rPr>
        <w:t xml:space="preserve"> εκτός του πλαισίου μιας δράσης EMPACT.</w:t>
      </w:r>
    </w:p>
    <w:p w:rsidR="00E506D3" w:rsidRDefault="00A1386A">
      <w:pPr>
        <w:pStyle w:val="Text1"/>
        <w:rPr>
          <w:noProof/>
        </w:rPr>
      </w:pPr>
      <w:r>
        <w:rPr>
          <w:noProof/>
        </w:rPr>
        <w:t>Σε περίπτωση κατάστασης έκτακτης ανάγκης, μη επιλέξιμες δράσεις που αναφέρονται στην παρούσα παράγραφο μπορούν να θεωρηθούν επιλέξιμες.</w:t>
      </w:r>
    </w:p>
    <w:p w:rsidR="00E506D3" w:rsidRDefault="00A1386A">
      <w:pPr>
        <w:pStyle w:val="Titrearticle"/>
        <w:rPr>
          <w:noProof/>
        </w:rPr>
      </w:pPr>
      <w:r>
        <w:rPr>
          <w:noProof/>
        </w:rPr>
        <w:t>Άρθρο 5</w:t>
      </w:r>
    </w:p>
    <w:p w:rsidR="00E506D3" w:rsidRDefault="00A1386A">
      <w:pPr>
        <w:keepNext/>
        <w:jc w:val="center"/>
        <w:rPr>
          <w:b/>
          <w:noProof/>
        </w:rPr>
      </w:pPr>
      <w:r>
        <w:rPr>
          <w:b/>
          <w:noProof/>
        </w:rPr>
        <w:t xml:space="preserve">Επιλέξιμες οντότητες </w:t>
      </w:r>
    </w:p>
    <w:p w:rsidR="00E506D3" w:rsidRDefault="00A1386A">
      <w:pPr>
        <w:pStyle w:val="ManualNumPar1"/>
        <w:rPr>
          <w:noProof/>
        </w:rPr>
      </w:pPr>
      <w:r>
        <w:t>1.</w:t>
      </w:r>
      <w:r>
        <w:tab/>
      </w:r>
      <w:r>
        <w:rPr>
          <w:noProof/>
        </w:rPr>
        <w:t xml:space="preserve">Οι </w:t>
      </w:r>
      <w:r>
        <w:rPr>
          <w:noProof/>
        </w:rPr>
        <w:t>ακόλουθες οντότητες μπορούν να θεωρηθούν επιλέξιμες:</w:t>
      </w:r>
    </w:p>
    <w:p w:rsidR="00E506D3" w:rsidRDefault="00A1386A">
      <w:pPr>
        <w:pStyle w:val="Point1"/>
        <w:rPr>
          <w:noProof/>
        </w:rPr>
      </w:pPr>
      <w:r>
        <w:rPr>
          <w:noProof/>
        </w:rPr>
        <w:t>α)</w:t>
      </w:r>
      <w:r>
        <w:rPr>
          <w:noProof/>
        </w:rPr>
        <w:tab/>
        <w:t>νομικές οντότητες εγκατεστημένες σε μια από τις ακόλουθες χώρες:</w:t>
      </w:r>
    </w:p>
    <w:p w:rsidR="00E506D3" w:rsidRDefault="00A1386A">
      <w:pPr>
        <w:pStyle w:val="Point2letter"/>
        <w:numPr>
          <w:ilvl w:val="5"/>
          <w:numId w:val="18"/>
        </w:numPr>
        <w:rPr>
          <w:noProof/>
        </w:rPr>
      </w:pPr>
      <w:r>
        <w:rPr>
          <w:noProof/>
        </w:rPr>
        <w:t>κράτος μέλος ή υπερπόντια χώρα ή έδαφος συνδεδεμένο με αυτό·</w:t>
      </w:r>
    </w:p>
    <w:p w:rsidR="00E506D3" w:rsidRDefault="00A1386A">
      <w:pPr>
        <w:pStyle w:val="Point2letter"/>
        <w:numPr>
          <w:ilvl w:val="5"/>
          <w:numId w:val="19"/>
        </w:numPr>
        <w:rPr>
          <w:noProof/>
        </w:rPr>
      </w:pPr>
      <w:r>
        <w:rPr>
          <w:noProof/>
        </w:rPr>
        <w:t>τρίτη χώρα που περιλαμβάνεται στο πρόγραμμα εργασίας, υπό τις προϋποθέσεις</w:t>
      </w:r>
      <w:r>
        <w:rPr>
          <w:noProof/>
        </w:rPr>
        <w:t xml:space="preserve"> που προσδιορίζονται σε αυτό·</w:t>
      </w:r>
    </w:p>
    <w:p w:rsidR="00E506D3" w:rsidRDefault="00A1386A">
      <w:pPr>
        <w:pStyle w:val="Point1"/>
        <w:rPr>
          <w:noProof/>
        </w:rPr>
      </w:pPr>
      <w:r>
        <w:rPr>
          <w:noProof/>
        </w:rPr>
        <w:t>β)</w:t>
      </w:r>
      <w:r>
        <w:rPr>
          <w:noProof/>
        </w:rPr>
        <w:tab/>
        <w:t>νομικές οντότητες που έχουν συσταθεί βάσει του δικαίου της Ένωσης ή διεθνείς οργανισμοί.</w:t>
      </w:r>
    </w:p>
    <w:p w:rsidR="00E506D3" w:rsidRDefault="00A1386A">
      <w:pPr>
        <w:pStyle w:val="ManualNumPar1"/>
        <w:rPr>
          <w:noProof/>
        </w:rPr>
      </w:pPr>
      <w:r>
        <w:t>2.</w:t>
      </w:r>
      <w:r>
        <w:tab/>
      </w:r>
      <w:r>
        <w:rPr>
          <w:noProof/>
        </w:rPr>
        <w:t>Τα φυσικά πρόσωπα δεν είναι επιλέξιμα.</w:t>
      </w:r>
    </w:p>
    <w:p w:rsidR="00E506D3" w:rsidRDefault="00A1386A">
      <w:pPr>
        <w:pStyle w:val="ManualNumPar1"/>
        <w:rPr>
          <w:noProof/>
        </w:rPr>
      </w:pPr>
      <w:r>
        <w:t>3.</w:t>
      </w:r>
      <w:r>
        <w:tab/>
      </w:r>
      <w:r>
        <w:rPr>
          <w:noProof/>
        </w:rPr>
        <w:t>Οι νομικές οντότητες που είναι εγκατεστημένες σε τρίτη χώρα είναι κατ’ εξαίρεση επιλέξιμε</w:t>
      </w:r>
      <w:r>
        <w:rPr>
          <w:noProof/>
        </w:rPr>
        <w:t>ς για συμμετοχή, αν αυτό είναι αναγκαίο για την επίτευξη των στόχων μιας συγκεκριμένης δράσης.</w:t>
      </w:r>
    </w:p>
    <w:p w:rsidR="00E506D3" w:rsidRDefault="00A1386A">
      <w:pPr>
        <w:pStyle w:val="ManualNumPar1"/>
        <w:rPr>
          <w:noProof/>
        </w:rPr>
      </w:pPr>
      <w:r>
        <w:t>4.</w:t>
      </w:r>
      <w:r>
        <w:tab/>
      </w:r>
      <w:r>
        <w:rPr>
          <w:noProof/>
        </w:rPr>
        <w:t>Είναι επιλέξιμες νομικές οντότητες που συμμετέχουν σε κοινοπραξίες τουλάχιστον δύο ανεξάρτητων οντοτήτων, εγκατεστημένες σε διαφορετικά κράτη μέλη ή υπερπόντι</w:t>
      </w:r>
      <w:r>
        <w:rPr>
          <w:noProof/>
        </w:rPr>
        <w:t>ες χώρες ή εδάφη που συνδέονται με τα εν λόγω κράτη ή σε τρίτες χώρες.</w:t>
      </w:r>
    </w:p>
    <w:p w:rsidR="00E506D3" w:rsidRDefault="00A1386A">
      <w:pPr>
        <w:pStyle w:val="ChapterTitle"/>
        <w:rPr>
          <w:noProof/>
        </w:rPr>
      </w:pPr>
      <w:bookmarkStart w:id="1" w:name="_Toc488508103"/>
      <w:bookmarkStart w:id="2" w:name="_Toc488508905"/>
      <w:bookmarkStart w:id="3" w:name="_Toc491098062"/>
      <w:bookmarkStart w:id="4" w:name="_Toc491098671"/>
      <w:bookmarkStart w:id="5" w:name="_Toc491099061"/>
      <w:r>
        <w:rPr>
          <w:noProof/>
        </w:rPr>
        <w:t>ΚΕΦΑΛΑΙΟ II</w:t>
      </w:r>
      <w:r>
        <w:rPr>
          <w:noProof/>
        </w:rPr>
        <w:br/>
      </w:r>
      <w:r>
        <w:rPr>
          <w:noProof/>
        </w:rPr>
        <w:br/>
        <w:t>ΔΗΜΟΣΙΟΝΟΜΙΚΟ ΠΛΑΙΣΙΟ ΚΑΙ ΠΛΑΙΣΙΟ ΕΦΑΡΜΟΓΗΣ</w:t>
      </w:r>
      <w:bookmarkEnd w:id="1"/>
      <w:bookmarkEnd w:id="2"/>
      <w:bookmarkEnd w:id="3"/>
      <w:bookmarkEnd w:id="4"/>
      <w:bookmarkEnd w:id="5"/>
    </w:p>
    <w:p w:rsidR="00E506D3" w:rsidRDefault="00A1386A">
      <w:pPr>
        <w:pStyle w:val="SectionTitle"/>
        <w:rPr>
          <w:noProof/>
        </w:rPr>
      </w:pPr>
      <w:r>
        <w:rPr>
          <w:noProof/>
        </w:rPr>
        <w:t>ΤΜΗΜΑ 1</w:t>
      </w:r>
    </w:p>
    <w:p w:rsidR="00E506D3" w:rsidRDefault="00A1386A">
      <w:pPr>
        <w:pStyle w:val="SectionTitle"/>
        <w:rPr>
          <w:noProof/>
        </w:rPr>
      </w:pPr>
      <w:r>
        <w:rPr>
          <w:noProof/>
        </w:rPr>
        <w:t>Κοινές διατάξεις</w:t>
      </w:r>
    </w:p>
    <w:p w:rsidR="00E506D3" w:rsidRDefault="00A1386A">
      <w:pPr>
        <w:pStyle w:val="Titrearticle"/>
        <w:rPr>
          <w:noProof/>
        </w:rPr>
      </w:pPr>
      <w:r>
        <w:rPr>
          <w:noProof/>
        </w:rPr>
        <w:t>Άρθρο 6</w:t>
      </w:r>
    </w:p>
    <w:p w:rsidR="00E506D3" w:rsidRDefault="00A1386A">
      <w:pPr>
        <w:keepNext/>
        <w:jc w:val="center"/>
        <w:rPr>
          <w:b/>
          <w:noProof/>
        </w:rPr>
      </w:pPr>
      <w:r>
        <w:rPr>
          <w:b/>
          <w:noProof/>
        </w:rPr>
        <w:t>Γενικές αρχές</w:t>
      </w:r>
    </w:p>
    <w:p w:rsidR="00E506D3" w:rsidRDefault="00A1386A">
      <w:pPr>
        <w:pStyle w:val="ManualNumPar1"/>
        <w:rPr>
          <w:bCs/>
          <w:iCs/>
          <w:noProof/>
        </w:rPr>
      </w:pPr>
      <w:r>
        <w:t>1.</w:t>
      </w:r>
      <w:r>
        <w:tab/>
      </w:r>
      <w:r>
        <w:rPr>
          <w:noProof/>
        </w:rPr>
        <w:t>Η στήριξη που παρέχεται δυνάμει του παρόντος κανονισμού συμπληρώνει τις εθνικέ</w:t>
      </w:r>
      <w:r>
        <w:rPr>
          <w:noProof/>
        </w:rPr>
        <w:t>ς, περιφερειακές και τοπικές παρεμβάσεις, και επικεντρώνεται στη δημιουργία προστιθέμενης αξίας στην επίτευξη των στόχων του παρόντος κανονισμού.</w:t>
      </w:r>
    </w:p>
    <w:p w:rsidR="00E506D3" w:rsidRDefault="00A1386A">
      <w:pPr>
        <w:pStyle w:val="ManualNumPar1"/>
        <w:rPr>
          <w:bCs/>
          <w:iCs/>
          <w:noProof/>
        </w:rPr>
      </w:pPr>
      <w:r>
        <w:t>2.</w:t>
      </w:r>
      <w:r>
        <w:tab/>
      </w:r>
      <w:r>
        <w:rPr>
          <w:noProof/>
        </w:rPr>
        <w:t xml:space="preserve">Η Επιτροπή και τα κράτη μέλη εξασφαλίζουν ώστε η στήριξη που παρέχεται δυνάμει του παρόντος κανονισμού και </w:t>
      </w:r>
      <w:r>
        <w:rPr>
          <w:noProof/>
        </w:rPr>
        <w:t>από τα κράτη μέλη να είναι συνεπής προς τις δραστηριότητες, τις πολιτικές και τις προτεραιότητες της Ένωσης και συμπληρωματική προς τα άλλα μέσα της Ένωσης.</w:t>
      </w:r>
    </w:p>
    <w:p w:rsidR="00E506D3" w:rsidRDefault="00A1386A">
      <w:pPr>
        <w:pStyle w:val="ManualNumPar1"/>
        <w:rPr>
          <w:bCs/>
          <w:iCs/>
          <w:noProof/>
        </w:rPr>
      </w:pPr>
      <w:r>
        <w:t>3.</w:t>
      </w:r>
      <w:r>
        <w:tab/>
      </w:r>
      <w:r>
        <w:rPr>
          <w:noProof/>
        </w:rPr>
        <w:t>Το Ταμείο πρέπει να εφαρμόζεται υπό καθεστώς επιμερισμένης, άμεσης ή έμμεσης διαχείρισης σύμφωνα</w:t>
      </w:r>
      <w:r>
        <w:rPr>
          <w:noProof/>
        </w:rPr>
        <w:t xml:space="preserve"> με το άρθρο 62 παράγραφος 1 στοιχεία α), β) και γ) του δημοσιονομικού κανονισμού.</w:t>
      </w:r>
    </w:p>
    <w:p w:rsidR="00E506D3" w:rsidRDefault="00A1386A">
      <w:pPr>
        <w:pStyle w:val="Titrearticle"/>
        <w:rPr>
          <w:noProof/>
        </w:rPr>
      </w:pPr>
      <w:r>
        <w:rPr>
          <w:noProof/>
        </w:rPr>
        <w:t>Άρθρο 7</w:t>
      </w:r>
    </w:p>
    <w:p w:rsidR="00E506D3" w:rsidRDefault="00A1386A">
      <w:pPr>
        <w:keepNext/>
        <w:jc w:val="center"/>
        <w:rPr>
          <w:b/>
          <w:noProof/>
        </w:rPr>
      </w:pPr>
      <w:r>
        <w:rPr>
          <w:b/>
          <w:noProof/>
        </w:rPr>
        <w:t>Προϋπολογισμός</w:t>
      </w:r>
    </w:p>
    <w:p w:rsidR="00E506D3" w:rsidRDefault="00A1386A">
      <w:pPr>
        <w:pStyle w:val="ManualNumPar1"/>
        <w:rPr>
          <w:noProof/>
        </w:rPr>
      </w:pPr>
      <w:r>
        <w:t>1.</w:t>
      </w:r>
      <w:r>
        <w:tab/>
      </w:r>
      <w:r>
        <w:rPr>
          <w:noProof/>
        </w:rPr>
        <w:t>Το δημοσιονομικό κονδύλιο για την εκτέλεση του Ταμείου για την περίοδο 2021-2027 ορίζεται σε 2 500 000 000 EUR σε τρέχουσες τιμές.</w:t>
      </w:r>
    </w:p>
    <w:p w:rsidR="00E506D3" w:rsidRDefault="00A1386A">
      <w:pPr>
        <w:pStyle w:val="ManualNumPar1"/>
        <w:rPr>
          <w:noProof/>
        </w:rPr>
      </w:pPr>
      <w:r>
        <w:t>2.</w:t>
      </w:r>
      <w:r>
        <w:tab/>
      </w:r>
      <w:r>
        <w:rPr>
          <w:noProof/>
        </w:rPr>
        <w:t xml:space="preserve">Το </w:t>
      </w:r>
      <w:r>
        <w:rPr>
          <w:noProof/>
        </w:rPr>
        <w:t>χρηματοδοτικό κονδύλιο χρησιμοποιείται ως ακολούθως:</w:t>
      </w:r>
    </w:p>
    <w:p w:rsidR="00E506D3" w:rsidRDefault="00A1386A">
      <w:pPr>
        <w:pStyle w:val="Point1"/>
        <w:rPr>
          <w:noProof/>
        </w:rPr>
      </w:pPr>
      <w:r>
        <w:rPr>
          <w:noProof/>
        </w:rPr>
        <w:t>α)</w:t>
      </w:r>
      <w:r>
        <w:rPr>
          <w:noProof/>
        </w:rPr>
        <w:tab/>
        <w:t>1 500 000 000 EUR διατίθενται για τα προγράμματα που εφαρμόζονται στο πλαίσιο της επιμερισμένης διαχείρισης·</w:t>
      </w:r>
    </w:p>
    <w:p w:rsidR="00E506D3" w:rsidRDefault="00A1386A">
      <w:pPr>
        <w:pStyle w:val="Point1"/>
        <w:rPr>
          <w:noProof/>
        </w:rPr>
      </w:pPr>
      <w:r>
        <w:rPr>
          <w:noProof/>
        </w:rPr>
        <w:t>β)</w:t>
      </w:r>
      <w:r>
        <w:rPr>
          <w:noProof/>
        </w:rPr>
        <w:tab/>
        <w:t>1 000 000 000 EUR διατίθενται στο θεματικό μέσο.</w:t>
      </w:r>
    </w:p>
    <w:p w:rsidR="00E506D3" w:rsidRDefault="00A1386A">
      <w:pPr>
        <w:pStyle w:val="ManualNumPar1"/>
        <w:rPr>
          <w:noProof/>
        </w:rPr>
      </w:pPr>
      <w:r>
        <w:t>3.</w:t>
      </w:r>
      <w:r>
        <w:tab/>
      </w:r>
      <w:r>
        <w:rPr>
          <w:noProof/>
        </w:rPr>
        <w:t>Μέχρι το 0,84 % του χρηματοδοτικού κ</w:t>
      </w:r>
      <w:r>
        <w:rPr>
          <w:noProof/>
        </w:rPr>
        <w:t>ονδυλίου διατίθεται για τεχνική βοήθεια με πρωτοβουλία της Επιτροπής για την εφαρμογή του Ταμείου.</w:t>
      </w:r>
    </w:p>
    <w:p w:rsidR="00E506D3" w:rsidRDefault="00A1386A">
      <w:pPr>
        <w:pStyle w:val="Titrearticle"/>
        <w:rPr>
          <w:noProof/>
        </w:rPr>
      </w:pPr>
      <w:bookmarkStart w:id="6" w:name="bookmark7"/>
      <w:r>
        <w:rPr>
          <w:noProof/>
        </w:rPr>
        <w:t>Άρθρο 8</w:t>
      </w:r>
    </w:p>
    <w:p w:rsidR="00E506D3" w:rsidRDefault="00A1386A">
      <w:pPr>
        <w:keepNext/>
        <w:jc w:val="center"/>
        <w:rPr>
          <w:b/>
          <w:noProof/>
        </w:rPr>
      </w:pPr>
      <w:r>
        <w:rPr>
          <w:b/>
          <w:noProof/>
        </w:rPr>
        <w:t>Γενικές διατάξεις σχετικά με την εφαρμογή του θεματικού μέσου</w:t>
      </w:r>
    </w:p>
    <w:p w:rsidR="00E506D3" w:rsidRDefault="00A1386A">
      <w:pPr>
        <w:pStyle w:val="ManualNumPar1"/>
        <w:rPr>
          <w:noProof/>
        </w:rPr>
      </w:pPr>
      <w:r>
        <w:t>1.</w:t>
      </w:r>
      <w:r>
        <w:tab/>
      </w:r>
      <w:r>
        <w:rPr>
          <w:noProof/>
        </w:rPr>
        <w:t xml:space="preserve">Το χρηματοδοτικό κονδύλιο που αναφέρεται στο άρθρο 7 παράγραφος 2 στοιχείο β) </w:t>
      </w:r>
      <w:r>
        <w:rPr>
          <w:noProof/>
        </w:rPr>
        <w:t>κατανέμεται με ευέλικτο τρόπο, μέσω του θεματικού μέσου υπό καθεστώς επιμερισμένης, άμεσης και έμμεσης διαχείρισης, όπως καθορίζεται στα προγράμματα εργασίας. Η χρηματοδότηση από το θεματικό μέσο χρησιμοποιείται για τις συνιστώσες του:</w:t>
      </w:r>
    </w:p>
    <w:p w:rsidR="00E506D3" w:rsidRDefault="00A1386A">
      <w:pPr>
        <w:pStyle w:val="Point1"/>
        <w:rPr>
          <w:noProof/>
        </w:rPr>
      </w:pPr>
      <w:r>
        <w:rPr>
          <w:noProof/>
        </w:rPr>
        <w:t>α)</w:t>
      </w:r>
      <w:r>
        <w:rPr>
          <w:noProof/>
        </w:rPr>
        <w:tab/>
        <w:t xml:space="preserve">ειδικές δράσεις· </w:t>
      </w:r>
    </w:p>
    <w:p w:rsidR="00E506D3" w:rsidRDefault="00A1386A">
      <w:pPr>
        <w:pStyle w:val="Point1"/>
        <w:rPr>
          <w:noProof/>
        </w:rPr>
      </w:pPr>
      <w:r>
        <w:rPr>
          <w:noProof/>
        </w:rPr>
        <w:t>β)</w:t>
      </w:r>
      <w:r>
        <w:rPr>
          <w:noProof/>
        </w:rPr>
        <w:tab/>
        <w:t xml:space="preserve">δράσεις της Ένωσης· και </w:t>
      </w:r>
    </w:p>
    <w:p w:rsidR="00E506D3" w:rsidRDefault="00A1386A">
      <w:pPr>
        <w:pStyle w:val="Point1"/>
        <w:rPr>
          <w:noProof/>
        </w:rPr>
      </w:pPr>
      <w:r>
        <w:rPr>
          <w:noProof/>
        </w:rPr>
        <w:t>γ)</w:t>
      </w:r>
      <w:r>
        <w:rPr>
          <w:noProof/>
        </w:rPr>
        <w:tab/>
        <w:t>βοήθεια έκτακτης ανάγκης.</w:t>
      </w:r>
    </w:p>
    <w:p w:rsidR="00E506D3" w:rsidRDefault="00A1386A">
      <w:pPr>
        <w:pStyle w:val="Text1"/>
        <w:rPr>
          <w:noProof/>
        </w:rPr>
      </w:pPr>
      <w:r>
        <w:rPr>
          <w:noProof/>
        </w:rPr>
        <w:t>Η τεχνική βοήθεια με πρωτοβουλία της Επιτροπής θα πρέπει επίσης να στηριχθεί από το χρηματοδοτικό κονδύλιο για το θεματικό μέσο.</w:t>
      </w:r>
    </w:p>
    <w:p w:rsidR="00E506D3" w:rsidRDefault="00A1386A">
      <w:pPr>
        <w:pStyle w:val="ManualNumPar1"/>
        <w:rPr>
          <w:noProof/>
        </w:rPr>
      </w:pPr>
      <w:r>
        <w:t>2.</w:t>
      </w:r>
      <w:r>
        <w:tab/>
      </w:r>
      <w:r>
        <w:rPr>
          <w:noProof/>
        </w:rPr>
        <w:t>Η χρηματοδότηση από το θεματικό μέσο προορίζεται για την υλοποίηση</w:t>
      </w:r>
      <w:r>
        <w:rPr>
          <w:noProof/>
        </w:rPr>
        <w:t xml:space="preserve"> των προτεραιοτήτων με υψηλή προστιθέμενη αξία για την Ένωση ή για να χρησιμοποιηθεί για την απόκριση στις επείγουσες ανάγκες σύμφωνα με τις συμφωνηθείσες προτεραιότητες της Ένωσης όπως αναφέρεται στο παράρτημα II. </w:t>
      </w:r>
    </w:p>
    <w:p w:rsidR="00E506D3" w:rsidRDefault="00A1386A">
      <w:pPr>
        <w:pStyle w:val="ManualNumPar1"/>
        <w:rPr>
          <w:noProof/>
        </w:rPr>
      </w:pPr>
      <w:r>
        <w:t>3.</w:t>
      </w:r>
      <w:r>
        <w:tab/>
      </w:r>
      <w:r>
        <w:rPr>
          <w:noProof/>
        </w:rPr>
        <w:t xml:space="preserve">Όταν η χρηματοδότηση από το θεματικό </w:t>
      </w:r>
      <w:r>
        <w:rPr>
          <w:noProof/>
        </w:rPr>
        <w:t>μέσο χορηγείται υπό άμεση ή έμμεση διαχείριση στα κράτη μέλη, πρέπει να διασφαλιστεί ότι τα επιλεγμένα έργα δεν επηρεάζονται από αιτιολογημένη γνώμη της Επιτροπής όσον αφορά παράβαση δυνάμει του άρθρου 258 της ΣΛΕΕ, η οποία θέτει σε κίνδυνο τη νομιμότητα κ</w:t>
      </w:r>
      <w:r>
        <w:rPr>
          <w:noProof/>
        </w:rPr>
        <w:t>αι την κανονικότητα των δαπανών ή τις επιδόσεις των έργων.</w:t>
      </w:r>
    </w:p>
    <w:p w:rsidR="00E506D3" w:rsidRDefault="00A1386A">
      <w:pPr>
        <w:pStyle w:val="ManualNumPar1"/>
        <w:rPr>
          <w:noProof/>
        </w:rPr>
      </w:pPr>
      <w:r>
        <w:t>4.</w:t>
      </w:r>
      <w:r>
        <w:tab/>
      </w:r>
      <w:r>
        <w:rPr>
          <w:noProof/>
        </w:rPr>
        <w:t xml:space="preserve">Όταν η χρηματοδότηση από το θεματικό μέσο εκτελείται υπό επιμερισμένη διαχείριση, η Επιτροπή αξιολογεί, για τους σκοπούς του άρθρου 18 και του άρθρου 19 παράγραφος 2 του κανονισμού (ΕΕ) .../... </w:t>
      </w:r>
      <w:r>
        <w:rPr>
          <w:noProof/>
        </w:rPr>
        <w:t>[ΚΚΔ], κατά πόσον οι προβλεπόμενες δράσεις δεν επηρεάζονται από αιτιολογημένη γνώμη της Επιτροπής όσον αφορά παράβαση δυνάμει του άρθρου 258 της ΣΛΕΕ, η οποία θέτει σε κίνδυνο τη νομιμότητα και την κανονικότητα των δαπανών ή τις επιδόσεις των έργων.</w:t>
      </w:r>
    </w:p>
    <w:p w:rsidR="00E506D3" w:rsidRDefault="00A1386A">
      <w:pPr>
        <w:pStyle w:val="ManualNumPar1"/>
        <w:rPr>
          <w:noProof/>
        </w:rPr>
      </w:pPr>
      <w:r>
        <w:t>5.</w:t>
      </w:r>
      <w:r>
        <w:tab/>
      </w:r>
      <w:r>
        <w:rPr>
          <w:noProof/>
        </w:rPr>
        <w:t>Η Ε</w:t>
      </w:r>
      <w:r>
        <w:rPr>
          <w:noProof/>
        </w:rPr>
        <w:t>πιτροπή καθορίζει το συνολικό ποσό που διατίθεται για το θεματικό μέσο στο πλαίσιο των ετήσιων πιστώσεων του προϋπολογισμού της Ένωσης. Η Επιτροπή λαμβάνει αποφάσεις χρηματοδότησης, όπως αναφέρεται στο άρθρο [110] του δημοσιονομικού κανονισμού για το θεματ</w:t>
      </w:r>
      <w:r>
        <w:rPr>
          <w:noProof/>
        </w:rPr>
        <w:t>ικό μέσο, για τον καθορισμό των στόχων και των δράσεων που πρέπει να λάβουν στήριξη και τον προσδιορισμό των ποσών για κάθε μία από τις συνιστώσες του, όπως αναφέρεται στην παράγραφο 1. Οι αποφάσεις χρηματοδότησης καθορίζουν, κατά περίπτωση, το συνολικό πο</w:t>
      </w:r>
      <w:r>
        <w:rPr>
          <w:noProof/>
        </w:rPr>
        <w:t>σό που προορίζεται για τις συνδυαστικές πράξεις.</w:t>
      </w:r>
    </w:p>
    <w:p w:rsidR="00E506D3" w:rsidRDefault="00A1386A">
      <w:pPr>
        <w:pStyle w:val="ManualNumPar1"/>
        <w:rPr>
          <w:noProof/>
        </w:rPr>
      </w:pPr>
      <w:r>
        <w:t>6.</w:t>
      </w:r>
      <w:r>
        <w:tab/>
      </w:r>
      <w:r>
        <w:rPr>
          <w:noProof/>
        </w:rPr>
        <w:t>Μετά την έγκριση της απόφασης χρηματοδότησης, όπως αναφέρεται στην παράγραφο 3, η Επιτροπή μπορεί να τροποποιήσει τα προγράμματα που εφαρμόζονται υπό καθεστώς επιμερισμένης διαχείρισης κατά περίπτωση.</w:t>
      </w:r>
    </w:p>
    <w:p w:rsidR="00E506D3" w:rsidRDefault="00A1386A">
      <w:pPr>
        <w:pStyle w:val="ManualNumPar1"/>
        <w:rPr>
          <w:noProof/>
        </w:rPr>
      </w:pPr>
      <w:r>
        <w:t>7.</w:t>
      </w:r>
      <w:r>
        <w:tab/>
      </w:r>
      <w:r>
        <w:rPr>
          <w:noProof/>
        </w:rPr>
        <w:t>Οι αποφάσεις χρηματοδότησης είναι ετήσιες ή πολυετείς και μπορούν να καλύπτουν μία ή περισσότερες συνιστώσες του θεματικού μέσου.</w:t>
      </w:r>
    </w:p>
    <w:p w:rsidR="00E506D3" w:rsidRDefault="00A1386A">
      <w:pPr>
        <w:pStyle w:val="SectionTitle"/>
        <w:rPr>
          <w:noProof/>
        </w:rPr>
      </w:pPr>
      <w:r>
        <w:rPr>
          <w:noProof/>
        </w:rPr>
        <w:t xml:space="preserve">ΤΜΗΜΑ 2 </w:t>
      </w:r>
    </w:p>
    <w:p w:rsidR="00E506D3" w:rsidRDefault="00A1386A">
      <w:pPr>
        <w:pStyle w:val="SectionTitle"/>
        <w:rPr>
          <w:noProof/>
        </w:rPr>
      </w:pPr>
      <w:r>
        <w:rPr>
          <w:noProof/>
        </w:rPr>
        <w:t>Στήριξη και εφαρμογή υπο καθεστωσ επιμερισμένης διαχείρισης</w:t>
      </w:r>
    </w:p>
    <w:p w:rsidR="00E506D3" w:rsidRDefault="00A1386A">
      <w:pPr>
        <w:pStyle w:val="Titrearticle"/>
        <w:rPr>
          <w:noProof/>
        </w:rPr>
      </w:pPr>
      <w:r>
        <w:rPr>
          <w:noProof/>
        </w:rPr>
        <w:t>Άρθρο 9</w:t>
      </w:r>
    </w:p>
    <w:p w:rsidR="00E506D3" w:rsidRDefault="00A1386A">
      <w:pPr>
        <w:keepNext/>
        <w:jc w:val="center"/>
        <w:rPr>
          <w:b/>
          <w:noProof/>
        </w:rPr>
      </w:pPr>
      <w:r>
        <w:rPr>
          <w:b/>
          <w:noProof/>
        </w:rPr>
        <w:t>Πεδίο εφαρμογής</w:t>
      </w:r>
    </w:p>
    <w:p w:rsidR="00E506D3" w:rsidRDefault="00A1386A">
      <w:pPr>
        <w:pStyle w:val="ManualNumPar1"/>
        <w:rPr>
          <w:noProof/>
        </w:rPr>
      </w:pPr>
      <w:r>
        <w:t>1.</w:t>
      </w:r>
      <w:r>
        <w:tab/>
      </w:r>
      <w:r>
        <w:rPr>
          <w:noProof/>
        </w:rPr>
        <w:t>Το παρόν τμήμα ισχύει για το μ</w:t>
      </w:r>
      <w:r>
        <w:rPr>
          <w:noProof/>
        </w:rPr>
        <w:t>έρος του χρηματοδοτικού κονδυλίου που αναφέρεται στο άρθρο 7 παράγραφος 2 στοιχείο α), καθώς και για τους πρόσθετους πόρους που θα εκτελούνται υπό καθεστώς επιμερισμένης διαχείριση σύμφωνα με την απόφαση της Επιτροπής για το θεματικό μέσο που αναφέρεται στ</w:t>
      </w:r>
      <w:r>
        <w:rPr>
          <w:noProof/>
        </w:rPr>
        <w:t>ο άρθρο 8.</w:t>
      </w:r>
    </w:p>
    <w:p w:rsidR="00E506D3" w:rsidRDefault="00A1386A">
      <w:pPr>
        <w:pStyle w:val="ManualNumPar1"/>
        <w:rPr>
          <w:noProof/>
        </w:rPr>
      </w:pPr>
      <w:r>
        <w:t>2.</w:t>
      </w:r>
      <w:r>
        <w:tab/>
      </w:r>
      <w:r>
        <w:rPr>
          <w:noProof/>
        </w:rPr>
        <w:t xml:space="preserve">Η στήριξη βάσει του παρόντος τμήματος εκτελείται υπό καθεστώς επιμερισμένης διαχείρισης, σύμφωνα με το άρθρο 63 του δημοσιονομικού κανονισμού και τον κανονισμό (ΕΕ) ..../..[ΚΚΔ]. </w:t>
      </w:r>
    </w:p>
    <w:p w:rsidR="00E506D3" w:rsidRDefault="00A1386A">
      <w:pPr>
        <w:pStyle w:val="Titrearticle"/>
        <w:rPr>
          <w:noProof/>
        </w:rPr>
      </w:pPr>
      <w:r>
        <w:rPr>
          <w:noProof/>
        </w:rPr>
        <w:t>Άρθρο 10</w:t>
      </w:r>
    </w:p>
    <w:p w:rsidR="00E506D3" w:rsidRDefault="00A1386A">
      <w:pPr>
        <w:keepNext/>
        <w:jc w:val="center"/>
        <w:rPr>
          <w:b/>
          <w:noProof/>
        </w:rPr>
      </w:pPr>
      <w:r>
        <w:rPr>
          <w:b/>
          <w:noProof/>
        </w:rPr>
        <w:t>Δημοσιονομικοί πόροι</w:t>
      </w:r>
      <w:bookmarkEnd w:id="6"/>
    </w:p>
    <w:p w:rsidR="00E506D3" w:rsidRDefault="00A1386A">
      <w:pPr>
        <w:pStyle w:val="ManualNumPar1"/>
        <w:rPr>
          <w:noProof/>
        </w:rPr>
      </w:pPr>
      <w:r>
        <w:t>1.</w:t>
      </w:r>
      <w:r>
        <w:tab/>
      </w:r>
      <w:r>
        <w:rPr>
          <w:noProof/>
        </w:rPr>
        <w:t xml:space="preserve">Οι πόροι που αναφέρονται στο </w:t>
      </w:r>
      <w:r>
        <w:rPr>
          <w:noProof/>
        </w:rPr>
        <w:t>άρθρο 7 παράγραφος 2 στοιχείο α) διατίθενται στα εθνικά προγράμματα που εφαρμόζονται από τα κράτη μέλη υπό καθεστώς επιμερισμένης διαχείρισης (τα «προγράμματα») ενδεικτικά ως ακολούθως:</w:t>
      </w:r>
    </w:p>
    <w:p w:rsidR="00E506D3" w:rsidRDefault="00A1386A">
      <w:pPr>
        <w:pStyle w:val="Point1"/>
        <w:rPr>
          <w:noProof/>
        </w:rPr>
      </w:pPr>
      <w:r>
        <w:rPr>
          <w:noProof/>
        </w:rPr>
        <w:t>α)</w:t>
      </w:r>
      <w:r>
        <w:rPr>
          <w:noProof/>
        </w:rPr>
        <w:tab/>
        <w:t>1 250 000 000 EUR στα κράτη μέλη σύμφωνα με τα κριτήρια του παραρτή</w:t>
      </w:r>
      <w:r>
        <w:rPr>
          <w:noProof/>
        </w:rPr>
        <w:t>ματος Ι·</w:t>
      </w:r>
    </w:p>
    <w:p w:rsidR="00E506D3" w:rsidRDefault="00A1386A">
      <w:pPr>
        <w:pStyle w:val="Point1"/>
        <w:rPr>
          <w:noProof/>
          <w:color w:val="1A171C"/>
          <w:szCs w:val="24"/>
        </w:rPr>
      </w:pPr>
      <w:r>
        <w:rPr>
          <w:noProof/>
        </w:rPr>
        <w:t>β)</w:t>
      </w:r>
      <w:r>
        <w:rPr>
          <w:noProof/>
        </w:rPr>
        <w:tab/>
        <w:t>250 000 000 EUR στα κράτη μέλη για την προσαρμογή των χορηγήσεων για τα προγράμματα, όπως αναφέρεται στο άρθρο 13 παράγραφος 1.</w:t>
      </w:r>
    </w:p>
    <w:p w:rsidR="00E506D3" w:rsidRDefault="00A1386A">
      <w:pPr>
        <w:pStyle w:val="ManualNumPar1"/>
        <w:rPr>
          <w:noProof/>
        </w:rPr>
      </w:pPr>
      <w:r>
        <w:t>2.</w:t>
      </w:r>
      <w:r>
        <w:tab/>
      </w:r>
      <w:r>
        <w:rPr>
          <w:noProof/>
        </w:rPr>
        <w:t>Σε περίπτωση που το ποσό που αναφέρεται στην παράγραφο 1 στοιχείο β) δεν έχει διατεθεί, το υπόλοιπο ποσό μπορεί ν</w:t>
      </w:r>
      <w:r>
        <w:rPr>
          <w:noProof/>
        </w:rPr>
        <w:t>α προστεθεί στο ποσό που αναφέρεται στο άρθρο 7 παράγραφος 2 στοιχείο β).</w:t>
      </w:r>
    </w:p>
    <w:p w:rsidR="00E506D3" w:rsidRDefault="00A1386A">
      <w:pPr>
        <w:pStyle w:val="Titrearticle"/>
        <w:rPr>
          <w:noProof/>
        </w:rPr>
      </w:pPr>
      <w:r>
        <w:rPr>
          <w:noProof/>
        </w:rPr>
        <w:t>Άρθρο 11</w:t>
      </w:r>
    </w:p>
    <w:p w:rsidR="00E506D3" w:rsidRDefault="00A1386A">
      <w:pPr>
        <w:jc w:val="center"/>
        <w:rPr>
          <w:b/>
          <w:noProof/>
        </w:rPr>
      </w:pPr>
      <w:r>
        <w:rPr>
          <w:b/>
          <w:noProof/>
        </w:rPr>
        <w:t>Ποσοστά συγχρηματοδότησης</w:t>
      </w:r>
    </w:p>
    <w:p w:rsidR="00E506D3" w:rsidRDefault="00A1386A">
      <w:pPr>
        <w:pStyle w:val="ManualNumPar1"/>
        <w:rPr>
          <w:noProof/>
        </w:rPr>
      </w:pPr>
      <w:r>
        <w:t>1.</w:t>
      </w:r>
      <w:r>
        <w:tab/>
      </w:r>
      <w:r>
        <w:rPr>
          <w:noProof/>
        </w:rPr>
        <w:t>Η συνεισφορά από τον προϋπολογισμό της Ένωσης δεν υπερβαίνει το 75 % της συνολικής επιλέξιμης δαπάνης ενός έργου.</w:t>
      </w:r>
    </w:p>
    <w:p w:rsidR="00E506D3" w:rsidRDefault="00A1386A">
      <w:pPr>
        <w:pStyle w:val="ManualNumPar1"/>
        <w:rPr>
          <w:noProof/>
        </w:rPr>
      </w:pPr>
      <w:r>
        <w:t>2.</w:t>
      </w:r>
      <w:r>
        <w:tab/>
      </w:r>
      <w:r>
        <w:rPr>
          <w:noProof/>
        </w:rPr>
        <w:t xml:space="preserve">Η συνεισφορά από τον προϋπολογισμό της Ένωσης μπορεί να αυξηθεί στο 90 % της συνολικής επιλέξιμης δαπάνης για τα έργα που εκτελούνται στο πλαίσιο ειδικών δράσεων. </w:t>
      </w:r>
    </w:p>
    <w:p w:rsidR="00E506D3" w:rsidRDefault="00A1386A">
      <w:pPr>
        <w:pStyle w:val="ManualNumPar1"/>
        <w:rPr>
          <w:noProof/>
        </w:rPr>
      </w:pPr>
      <w:r>
        <w:t>3.</w:t>
      </w:r>
      <w:r>
        <w:tab/>
      </w:r>
      <w:r>
        <w:rPr>
          <w:noProof/>
        </w:rPr>
        <w:t>Η συνεισφορά από τον προϋπολογισμό της Ένωσης μπορεί να αυξηθεί στο 90 % της συνολικής επ</w:t>
      </w:r>
      <w:r>
        <w:rPr>
          <w:noProof/>
        </w:rPr>
        <w:t>ιλέξιμης δαπάνης για τις δράσεις που παρατίθενται στο παράρτημα IV.</w:t>
      </w:r>
    </w:p>
    <w:p w:rsidR="00E506D3" w:rsidRDefault="00A1386A">
      <w:pPr>
        <w:pStyle w:val="ManualNumPar1"/>
        <w:rPr>
          <w:noProof/>
        </w:rPr>
      </w:pPr>
      <w:r>
        <w:t>4.</w:t>
      </w:r>
      <w:r>
        <w:tab/>
      </w:r>
      <w:r>
        <w:rPr>
          <w:noProof/>
        </w:rPr>
        <w:t>Η συνεισφορά από τον προϋπολογισμό της Ένωσης μπορεί να αυξηθεί στο 100 % της συνολικής επιλέξιμης δαπάνης για λειτουργική ενίσχυση.</w:t>
      </w:r>
    </w:p>
    <w:p w:rsidR="00E506D3" w:rsidRDefault="00A1386A">
      <w:pPr>
        <w:pStyle w:val="ManualNumPar1"/>
        <w:rPr>
          <w:noProof/>
        </w:rPr>
      </w:pPr>
      <w:r>
        <w:t>5.</w:t>
      </w:r>
      <w:r>
        <w:tab/>
      </w:r>
      <w:r>
        <w:rPr>
          <w:noProof/>
        </w:rPr>
        <w:t>Η συνεισφορά από τον προϋπολογισμό της Ένωσης μπο</w:t>
      </w:r>
      <w:r>
        <w:rPr>
          <w:noProof/>
        </w:rPr>
        <w:t>ρεί να αυξηθεί στο 100 % της συνολικής επιλέξιμης δαπάνης για τη βοήθεια έκτακτης ανάγκης.</w:t>
      </w:r>
    </w:p>
    <w:p w:rsidR="00E506D3" w:rsidRDefault="00A1386A">
      <w:pPr>
        <w:pStyle w:val="ManualNumPar1"/>
        <w:rPr>
          <w:noProof/>
        </w:rPr>
      </w:pPr>
      <w:r>
        <w:t>6.</w:t>
      </w:r>
      <w:r>
        <w:tab/>
      </w:r>
      <w:r>
        <w:rPr>
          <w:noProof/>
        </w:rPr>
        <w:t>Η απόφαση της Επιτροπής για την έγκριση προγράμματος καθορίζει το ποσοστό συγχρηματοδότησης και το ανώτατο ποσό στήριξης από το Ταμείο αυτό για τα είδη δράσεων πο</w:t>
      </w:r>
      <w:r>
        <w:rPr>
          <w:noProof/>
        </w:rPr>
        <w:t>υ αναφέρονται στις παραγράφους 1 έως 5.</w:t>
      </w:r>
    </w:p>
    <w:p w:rsidR="00E506D3" w:rsidRDefault="00A1386A">
      <w:pPr>
        <w:pStyle w:val="ManualNumPar1"/>
        <w:rPr>
          <w:noProof/>
        </w:rPr>
      </w:pPr>
      <w:r>
        <w:t>7.</w:t>
      </w:r>
      <w:r>
        <w:tab/>
      </w:r>
      <w:r>
        <w:rPr>
          <w:noProof/>
        </w:rPr>
        <w:t>Για κάθε ειδικό στόχο, η απόφαση της Επιτροπής ορίζει αν το ποσοστό συγχρηματοδότησης για τον ειδικό στόχο πρέπει να εφαρμόζεται:</w:t>
      </w:r>
    </w:p>
    <w:p w:rsidR="00E506D3" w:rsidRDefault="00A1386A">
      <w:pPr>
        <w:pStyle w:val="Point1"/>
        <w:rPr>
          <w:noProof/>
        </w:rPr>
      </w:pPr>
      <w:r>
        <w:rPr>
          <w:noProof/>
        </w:rPr>
        <w:t>α)</w:t>
      </w:r>
      <w:r>
        <w:rPr>
          <w:noProof/>
        </w:rPr>
        <w:tab/>
        <w:t>στο σύνολο της συνεισφοράς, συμπεριλαμβανομένης της δημόσιας και ιδιωτικής συνει</w:t>
      </w:r>
      <w:r>
        <w:rPr>
          <w:noProof/>
        </w:rPr>
        <w:t>σφοράς, ή</w:t>
      </w:r>
    </w:p>
    <w:p w:rsidR="00E506D3" w:rsidRDefault="00A1386A">
      <w:pPr>
        <w:pStyle w:val="Point1"/>
        <w:rPr>
          <w:noProof/>
        </w:rPr>
      </w:pPr>
      <w:r>
        <w:rPr>
          <w:noProof/>
        </w:rPr>
        <w:t>β)</w:t>
      </w:r>
      <w:r>
        <w:rPr>
          <w:noProof/>
        </w:rPr>
        <w:tab/>
        <w:t>στη δημόσια συνεισφορά μόνο.</w:t>
      </w:r>
    </w:p>
    <w:p w:rsidR="00E506D3" w:rsidRDefault="00A1386A">
      <w:pPr>
        <w:pStyle w:val="Titrearticle"/>
        <w:rPr>
          <w:noProof/>
        </w:rPr>
      </w:pPr>
      <w:r>
        <w:rPr>
          <w:noProof/>
        </w:rPr>
        <w:t>Άρθρο 12</w:t>
      </w:r>
    </w:p>
    <w:p w:rsidR="00E506D3" w:rsidRDefault="00A1386A">
      <w:pPr>
        <w:keepNext/>
        <w:jc w:val="center"/>
        <w:rPr>
          <w:b/>
          <w:noProof/>
        </w:rPr>
      </w:pPr>
      <w:r>
        <w:rPr>
          <w:b/>
          <w:noProof/>
        </w:rPr>
        <w:t>Προγράμματα</w:t>
      </w:r>
    </w:p>
    <w:p w:rsidR="00E506D3" w:rsidRDefault="00A1386A">
      <w:pPr>
        <w:pStyle w:val="ManualNumPar1"/>
        <w:rPr>
          <w:noProof/>
        </w:rPr>
      </w:pPr>
      <w:r>
        <w:t>1.</w:t>
      </w:r>
      <w:r>
        <w:tab/>
      </w:r>
      <w:r>
        <w:rPr>
          <w:noProof/>
        </w:rPr>
        <w:t>Κάθε κράτος μέλος εξασφαλίζει ότι οι προτεραιότητες του προγράμματός του είναι συνεπείς και ανταποκρίνονται στις προκλήσεις και προτεραιότητες της Ένωσης στον τομέα της ασφάλειας και συνάδου</w:t>
      </w:r>
      <w:r>
        <w:rPr>
          <w:noProof/>
        </w:rPr>
        <w:t>ν πλήρως με το σχετικό κεκτημένο της Ένωσης και τις συμφωνηθείσες προτεραιότητες της Ένωσης. Κατά τον καθορισμό αυτών των προτεραιοτήτων των προγραμμάτων τους, τα κράτη μέλη διασφαλίζουν ότι τα μέτρα εφαρμογής που ορίζονται στο παράρτημα II λαμβάνονται επα</w:t>
      </w:r>
      <w:r>
        <w:rPr>
          <w:noProof/>
        </w:rPr>
        <w:t>ρκώς υπόψη στο πρόγραμμα.</w:t>
      </w:r>
    </w:p>
    <w:p w:rsidR="00E506D3" w:rsidRDefault="00A1386A">
      <w:pPr>
        <w:pStyle w:val="ManualNumPar1"/>
        <w:rPr>
          <w:noProof/>
        </w:rPr>
      </w:pPr>
      <w:r>
        <w:t>2.</w:t>
      </w:r>
      <w:r>
        <w:tab/>
      </w:r>
      <w:r>
        <w:rPr>
          <w:noProof/>
        </w:rPr>
        <w:t>Η Επιτροπή διασφαλίζει ότι ο Ευρωπαϊκός Οργανισμός για τη Συνεργασία στον Τομέα της Επιβολής του Νόμου (Ευρωπόλ), ο Οργανισμός της Ευρωπαϊκής Ένωσης για την Κατάρτιση στον Τομέα της Επιβολής του Νόμου (CEPOL) και το Ευρωπαϊκό Κ</w:t>
      </w:r>
      <w:r>
        <w:rPr>
          <w:noProof/>
        </w:rPr>
        <w:t>έντρο Παρακολούθησης Ναρκωτικών και Τοξικομανίας (ΕΚΠΝΤ) συμμετέχουν στην ανάπτυξη των προγραμμάτων σε πρώιμο στάδιο, σε ό, τι αφορά τους τομείς της αρμοδιότητάς τους. Συγκεκριμένα, τα κράτη μέλη διαβουλεύονται με τον Ευρωπόλ σχετικά με τον σχεδιασμό των δ</w:t>
      </w:r>
      <w:r>
        <w:rPr>
          <w:noProof/>
        </w:rPr>
        <w:t>ράσεών τους, ιδίως όταν περιλαμβάνουν δράσεις κύκλου πολιτικής της ΕΕ ή της Ευρωπαϊκής Πολυκλαδικής Πλατφόρμας κατά των Εγκληματικών Απειλών (EMPACT) ή δράσεις που συντονίζονται από την κοινή ομάδα δράσης για το έγκλημα στον κυβερνοχώρο (J-CAT) στα προγράμ</w:t>
      </w:r>
      <w:r>
        <w:rPr>
          <w:noProof/>
        </w:rPr>
        <w:t>ματά τους. Προτού συμπεριλάβουν κατάρτιση στα προγράμματά τους, τα κράτη μέλη συντονίζονται με τον CEPOL προκειμένου να αποφευχθούν οι αλληλεπικαλύψεις.</w:t>
      </w:r>
    </w:p>
    <w:p w:rsidR="00E506D3" w:rsidRDefault="00A1386A">
      <w:pPr>
        <w:pStyle w:val="ManualNumPar1"/>
        <w:rPr>
          <w:noProof/>
        </w:rPr>
      </w:pPr>
      <w:r>
        <w:t>3.</w:t>
      </w:r>
      <w:r>
        <w:tab/>
      </w:r>
      <w:r>
        <w:rPr>
          <w:noProof/>
        </w:rPr>
        <w:t xml:space="preserve">Η Επιτροπή μπορεί να συνδέσει τον Ευρωπαϊκό Οργανισμό για τη Συνεργασία στον Τομέα της Επιβολής του </w:t>
      </w:r>
      <w:r>
        <w:rPr>
          <w:noProof/>
        </w:rPr>
        <w:t xml:space="preserve">Νόμου (Ευρωπόλ), τον Οργανισμό της Ευρωπαϊκής Ένωσης για την Κατάρτιση στον Τομέα της Επιβολής του Νόμου (CEPOL) και το Ευρωπαϊκό Κέντρο Παρακολούθησης Ναρκωτικών και Τοξικομανίας (ΕΚΠΝΤ), κατά περίπτωση, στα καθήκοντα παρακολούθησης και αξιολόγησης, όπως </w:t>
      </w:r>
      <w:r>
        <w:rPr>
          <w:noProof/>
        </w:rPr>
        <w:t>ορίζεται στο τμήμα 5, ιδίως για να εξασφαλιστεί ότι οι δράσεις που υλοποιούνται με τη στήριξη του Ταμείου συνάδουν με το σχετικό κεκτημένο της Ένωσης και τις συμφωνηθείσες προτεραιότητες της Ένωσης.</w:t>
      </w:r>
    </w:p>
    <w:p w:rsidR="00E506D3" w:rsidRDefault="00A1386A">
      <w:pPr>
        <w:pStyle w:val="ManualNumPar1"/>
        <w:rPr>
          <w:noProof/>
        </w:rPr>
      </w:pPr>
      <w:r>
        <w:t>4.</w:t>
      </w:r>
      <w:r>
        <w:tab/>
      </w:r>
      <w:r>
        <w:rPr>
          <w:noProof/>
        </w:rPr>
        <w:t xml:space="preserve">Το 15 %, κατ’ ανώτατο όριο της χορήγησης προγράμματος </w:t>
      </w:r>
      <w:r>
        <w:rPr>
          <w:noProof/>
        </w:rPr>
        <w:t>κράτους μέλους μπορεί να χρησιμοποιηθεί για την αγορά εξοπλισμού, μεταφορικών μέσων ή την κατασκευή εγκαταστάσεων που συνδέονται με την ασφάλεια. Το εν λόγω ανώτατο όριο δεν επιτρέπεται να υπερβαίνεται παρά μόνο σε δεόντως αιτιολογημένες περιπτώσεις.</w:t>
      </w:r>
    </w:p>
    <w:p w:rsidR="00E506D3" w:rsidRDefault="00A1386A">
      <w:pPr>
        <w:pStyle w:val="ManualNumPar1"/>
        <w:rPr>
          <w:noProof/>
        </w:rPr>
      </w:pPr>
      <w:r>
        <w:t>5.</w:t>
      </w:r>
      <w:r>
        <w:tab/>
      </w:r>
      <w:r>
        <w:rPr>
          <w:noProof/>
        </w:rPr>
        <w:t>Στ</w:t>
      </w:r>
      <w:r>
        <w:rPr>
          <w:noProof/>
        </w:rPr>
        <w:t>α προγράμματά τους, τα κράτη μέλη πρέπει να δώσουν προτεραιότητα στην αντιμετώπιση των εξής:</w:t>
      </w:r>
    </w:p>
    <w:p w:rsidR="00E506D3" w:rsidRDefault="00A1386A">
      <w:pPr>
        <w:pStyle w:val="Point1"/>
        <w:rPr>
          <w:noProof/>
        </w:rPr>
      </w:pPr>
      <w:r>
        <w:rPr>
          <w:noProof/>
        </w:rPr>
        <w:t>α)</w:t>
      </w:r>
      <w:r>
        <w:rPr>
          <w:noProof/>
        </w:rPr>
        <w:tab/>
        <w:t xml:space="preserve">προτεραιοτήτων της Ένωσης και του κεκτημένου στον τομέα της ασφάλειας, ιδίως της ανταλλαγής πληροφοριών και της διαλειτουργικότητας των συστημάτων ΤΠ· </w:t>
      </w:r>
    </w:p>
    <w:p w:rsidR="00E506D3" w:rsidRDefault="00A1386A">
      <w:pPr>
        <w:pStyle w:val="Point1"/>
        <w:rPr>
          <w:noProof/>
        </w:rPr>
      </w:pPr>
      <w:r>
        <w:rPr>
          <w:noProof/>
        </w:rPr>
        <w:t>β)</w:t>
      </w:r>
      <w:r>
        <w:rPr>
          <w:noProof/>
        </w:rPr>
        <w:tab/>
        <w:t>συστά</w:t>
      </w:r>
      <w:r>
        <w:rPr>
          <w:noProof/>
        </w:rPr>
        <w:t>σεων με δημοσιονομικές επιπτώσεις που γίνονται στο πλαίσιο του κανονισμού (ΕΕ) αριθ. 1053/2013 σχετικά με τον μηχανισμό αξιολόγησης και παρακολούθησης του Σένγκεν στον τομέα της αστυνομικής συνεργασίας·</w:t>
      </w:r>
    </w:p>
    <w:p w:rsidR="00E506D3" w:rsidRDefault="00A1386A">
      <w:pPr>
        <w:pStyle w:val="Point1"/>
        <w:rPr>
          <w:noProof/>
        </w:rPr>
      </w:pPr>
      <w:r>
        <w:rPr>
          <w:noProof/>
        </w:rPr>
        <w:t>γ)</w:t>
      </w:r>
      <w:r>
        <w:rPr>
          <w:noProof/>
        </w:rPr>
        <w:tab/>
        <w:t>συγκεκριμένων ανά χώρα ελλείψεων με δημοσιονομικές</w:t>
      </w:r>
      <w:r>
        <w:rPr>
          <w:noProof/>
        </w:rPr>
        <w:t xml:space="preserve"> επιπτώσεις που εντοπίζονται στο πλαίσιο της εκτίμησης των αναγκών, όπως οι συστάσεις του Ευρωπαϊκού Εξαμήνου στον τομέα της διαφθοράς.</w:t>
      </w:r>
    </w:p>
    <w:p w:rsidR="00E506D3" w:rsidRDefault="00A1386A">
      <w:pPr>
        <w:pStyle w:val="ManualNumPar1"/>
        <w:rPr>
          <w:noProof/>
        </w:rPr>
      </w:pPr>
      <w:r>
        <w:t>6.</w:t>
      </w:r>
      <w:r>
        <w:tab/>
      </w:r>
      <w:r>
        <w:rPr>
          <w:noProof/>
        </w:rPr>
        <w:t>Εφόσον είναι αναγκαίο, το πρόγραμμα τροποποιείται προκειμένου να ληφθούν υπόψη οι συστάσεις που αναφέρονται στην παρά</w:t>
      </w:r>
      <w:r>
        <w:rPr>
          <w:noProof/>
        </w:rPr>
        <w:t>γραφο 5. Ανάλογα με τον αντίκτυπο της προσαρμογής, το αναθεωρημένο πρόγραμμα μπορεί να εγκριθεί από την Επιτροπή.</w:t>
      </w:r>
    </w:p>
    <w:p w:rsidR="00E506D3" w:rsidRDefault="00A1386A">
      <w:pPr>
        <w:pStyle w:val="ManualNumPar1"/>
        <w:rPr>
          <w:noProof/>
        </w:rPr>
      </w:pPr>
      <w:r>
        <w:t>7.</w:t>
      </w:r>
      <w:r>
        <w:tab/>
      </w:r>
      <w:r>
        <w:rPr>
          <w:noProof/>
        </w:rPr>
        <w:t xml:space="preserve">Τα κράτη μέλη επιδιώκουν ιδίως την εφαρμογή των δράσεων που παρατίθενται στο παράρτημα IV. Στην περίπτωση απρόβλεπτων ή νέων περιστάσεων ή </w:t>
      </w:r>
      <w:r>
        <w:rPr>
          <w:noProof/>
        </w:rPr>
        <w:t>για να διασφαλιστεί η αποτελεσματική εφαρμογή της χρηματοδότησης, η Επιτροπή εξουσιοδοτείται να εκδίδει κατ’ εξουσιοδότηση πράξεις σύμφωνα με το άρθρο 28 για την τροποποίηση του παραρτήματος IV.</w:t>
      </w:r>
    </w:p>
    <w:p w:rsidR="00E506D3" w:rsidRDefault="00A1386A">
      <w:pPr>
        <w:pStyle w:val="ManualNumPar1"/>
        <w:rPr>
          <w:noProof/>
        </w:rPr>
      </w:pPr>
      <w:r>
        <w:t>8.</w:t>
      </w:r>
      <w:r>
        <w:tab/>
      </w:r>
      <w:r>
        <w:rPr>
          <w:noProof/>
        </w:rPr>
        <w:t>Όταν ένα κράτος μέλος αποφασίσει να εκτελέσει έργα με ή σε</w:t>
      </w:r>
      <w:r>
        <w:rPr>
          <w:noProof/>
        </w:rPr>
        <w:t xml:space="preserve"> τρίτες χώρες με την στήριξη του Ταμείου, το οικείο κράτος μέλος ζητά τη γνώμη της Επιτροπής πριν από την έναρξη του έργου.</w:t>
      </w:r>
    </w:p>
    <w:p w:rsidR="00E506D3" w:rsidRDefault="00A1386A">
      <w:pPr>
        <w:pStyle w:val="ManualNumPar1"/>
        <w:rPr>
          <w:noProof/>
        </w:rPr>
      </w:pPr>
      <w:r>
        <w:t>9.</w:t>
      </w:r>
      <w:r>
        <w:tab/>
      </w:r>
      <w:r>
        <w:rPr>
          <w:noProof/>
        </w:rPr>
        <w:t>Ο προγραμματισμός όπως αναφέρεται στο άρθρο 17 παράγραφος 5 του κανονισμού (ΕΕ).../... [ΚΚΔ] βασίζεται στους τύπους παρέμβασης πο</w:t>
      </w:r>
      <w:r>
        <w:rPr>
          <w:noProof/>
        </w:rPr>
        <w:t xml:space="preserve">υ καθορίζονται στον πίνακα 1 του παραρτήματος VI. </w:t>
      </w:r>
    </w:p>
    <w:p w:rsidR="00E506D3" w:rsidRDefault="00A1386A">
      <w:pPr>
        <w:pStyle w:val="Titrearticle"/>
        <w:rPr>
          <w:noProof/>
        </w:rPr>
      </w:pPr>
      <w:r>
        <w:rPr>
          <w:noProof/>
        </w:rPr>
        <w:t>Άρθρο 13</w:t>
      </w:r>
    </w:p>
    <w:p w:rsidR="00E506D3" w:rsidRDefault="00A1386A">
      <w:pPr>
        <w:keepNext/>
        <w:jc w:val="center"/>
        <w:rPr>
          <w:b/>
          <w:noProof/>
        </w:rPr>
      </w:pPr>
      <w:r>
        <w:rPr>
          <w:b/>
          <w:noProof/>
        </w:rPr>
        <w:t xml:space="preserve">Ενδιάμεση επανεξέταση </w:t>
      </w:r>
    </w:p>
    <w:p w:rsidR="00E506D3" w:rsidRDefault="00A1386A">
      <w:pPr>
        <w:pStyle w:val="ManualNumPar1"/>
        <w:rPr>
          <w:noProof/>
        </w:rPr>
      </w:pPr>
      <w:r>
        <w:t>1.</w:t>
      </w:r>
      <w:r>
        <w:tab/>
      </w:r>
      <w:r>
        <w:rPr>
          <w:noProof/>
        </w:rPr>
        <w:t>Το 2024, η Επιτροπή θα κατανείμει στα προγράμματα των οικείων κρατών μελών το συμπληρωματικό ποσό που αναφέρεται στο άρθρο 10 παράγραφος 1 στοιχείο β) σύμφωνα με τα κριτή</w:t>
      </w:r>
      <w:r>
        <w:rPr>
          <w:noProof/>
        </w:rPr>
        <w:t>ρια που αναφέρονται στην παράγραφο 2 του παραρτήματος Ι. Η χρηματοδότηση θα εφαρμόζεται για την περίοδο που αρχίζει από το ημερολογιακό έτος 2025.</w:t>
      </w:r>
    </w:p>
    <w:p w:rsidR="00E506D3" w:rsidRDefault="00A1386A">
      <w:pPr>
        <w:pStyle w:val="ManualNumPar1"/>
        <w:rPr>
          <w:noProof/>
        </w:rPr>
      </w:pPr>
      <w:r>
        <w:t>2.</w:t>
      </w:r>
      <w:r>
        <w:tab/>
      </w:r>
      <w:r>
        <w:rPr>
          <w:noProof/>
        </w:rPr>
        <w:t xml:space="preserve">Όταν τουλάχιστον το 10 % του αρχικού κονδυλίου ενός προγράμματος που αναφέρεται στο άρθρο 10 παράγραφος 1 </w:t>
      </w:r>
      <w:r>
        <w:rPr>
          <w:noProof/>
        </w:rPr>
        <w:t xml:space="preserve">στοιχείο α) δεν έχει καλυφθεί με αιτήσεις ενδιάμεσης πληρωμής που υποβάλλονται σύμφωνα με το άρθρο 85 του κανονισμού (ΕΕ) ..../... [ΚΚΔ], το οικείο κράτος μέλος δεν θα είναι επιλέξιμο να λάβει το συμπληρωματικό κονδύλιο για το πρόγραμμά του που αναφέρεται </w:t>
      </w:r>
      <w:r>
        <w:rPr>
          <w:noProof/>
        </w:rPr>
        <w:t>στην παράγραφο 1.</w:t>
      </w:r>
    </w:p>
    <w:p w:rsidR="00E506D3" w:rsidRDefault="00A1386A">
      <w:pPr>
        <w:pStyle w:val="ManualNumPar1"/>
        <w:rPr>
          <w:noProof/>
        </w:rPr>
      </w:pPr>
      <w:r>
        <w:t>3.</w:t>
      </w:r>
      <w:r>
        <w:tab/>
      </w:r>
      <w:r>
        <w:rPr>
          <w:noProof/>
        </w:rPr>
        <w:t xml:space="preserve">Η κατανομή των πόρων από το θεματικό μέσο από το 2025 λαμβάνει υπόψη, κατά περίπτωση, την πρόοδο που έχει σημειωθεί όσον αφορά την επίτευξη των ορόσημων του πλαισίου επιδόσεων, όπως αναφέρεται στο άρθρο 12 του κανονισμού (ΕΕ) ..../... </w:t>
      </w:r>
      <w:r>
        <w:rPr>
          <w:noProof/>
        </w:rPr>
        <w:t>[ΚΚΔ] και τις ατέλειες που έχουν επισημανθεί κατά την εφαρμογή.</w:t>
      </w:r>
    </w:p>
    <w:p w:rsidR="00E506D3" w:rsidRDefault="00A1386A">
      <w:pPr>
        <w:pStyle w:val="Titrearticle"/>
        <w:rPr>
          <w:noProof/>
        </w:rPr>
      </w:pPr>
      <w:r>
        <w:rPr>
          <w:noProof/>
        </w:rPr>
        <w:t>Άρθρο 14</w:t>
      </w:r>
    </w:p>
    <w:p w:rsidR="00E506D3" w:rsidRDefault="00A1386A">
      <w:pPr>
        <w:keepNext/>
        <w:jc w:val="center"/>
        <w:rPr>
          <w:b/>
          <w:noProof/>
        </w:rPr>
      </w:pPr>
      <w:r>
        <w:rPr>
          <w:b/>
          <w:noProof/>
        </w:rPr>
        <w:t>Ειδικές δράσεις</w:t>
      </w:r>
    </w:p>
    <w:p w:rsidR="00E506D3" w:rsidRDefault="00A1386A">
      <w:pPr>
        <w:pStyle w:val="ManualNumPar1"/>
        <w:rPr>
          <w:noProof/>
        </w:rPr>
      </w:pPr>
      <w:r>
        <w:t>1.</w:t>
      </w:r>
      <w:r>
        <w:tab/>
      </w:r>
      <w:r>
        <w:rPr>
          <w:noProof/>
        </w:rPr>
        <w:t xml:space="preserve">Οι ειδικές δράσεις είναι διακρατικά ή εθνικά έργα σύμφωνα με τους στόχους του παρόντος κανονισμού, για τα οποία ένα, περισσότερα ή όλα τα κράτη μέλη μπορούν να </w:t>
      </w:r>
      <w:r>
        <w:rPr>
          <w:noProof/>
        </w:rPr>
        <w:t>λάβουν πρόσθετα κονδύλια για τα προγράμματά τους.</w:t>
      </w:r>
    </w:p>
    <w:p w:rsidR="00E506D3" w:rsidRDefault="00A1386A">
      <w:pPr>
        <w:pStyle w:val="ManualNumPar1"/>
        <w:rPr>
          <w:noProof/>
        </w:rPr>
      </w:pPr>
      <w:r>
        <w:t>2.</w:t>
      </w:r>
      <w:r>
        <w:tab/>
      </w:r>
      <w:r>
        <w:rPr>
          <w:noProof/>
        </w:rPr>
        <w:t xml:space="preserve">Τα κράτη μέλη, εκτός από τη χρηματοδότησή τους που υπολογίζεται σύμφωνα με το άρθρο 10 παράγραφος 1, λαμβάνουν χρηματοδότηση για ειδικές δράσεις, υπό την προϋπόθεση ότι αυτό προβλέπεται ειδικά ως τέτοιο </w:t>
      </w:r>
      <w:r>
        <w:rPr>
          <w:noProof/>
        </w:rPr>
        <w:t>στο πρόγραμμα και χρησιμοποιείται για να συμβάλει στην υλοποίηση των στόχων του παρόντος κανονισμού, συμπεριλαμβανομένης της κάλυψης νεοεμφανιζόμενων απειλών.</w:t>
      </w:r>
    </w:p>
    <w:p w:rsidR="00E506D3" w:rsidRDefault="00A1386A">
      <w:pPr>
        <w:pStyle w:val="ManualNumPar1"/>
        <w:rPr>
          <w:noProof/>
        </w:rPr>
      </w:pPr>
      <w:r>
        <w:t>3.</w:t>
      </w:r>
      <w:r>
        <w:tab/>
      </w:r>
      <w:r>
        <w:rPr>
          <w:noProof/>
        </w:rPr>
        <w:t>Η χρηματοδότηση δεν πρέπει να χρησιμοποιείται για άλλες δράσεις του προγράμματος, εκτός από δε</w:t>
      </w:r>
      <w:r>
        <w:rPr>
          <w:noProof/>
        </w:rPr>
        <w:t>όντως αιτιολογημένες περιστάσεις και όπως εγκρίθηκε από την Επιτροπή μέσω της τροποποίησης του προγράμματος.</w:t>
      </w:r>
    </w:p>
    <w:p w:rsidR="00E506D3" w:rsidRDefault="00A1386A">
      <w:pPr>
        <w:pStyle w:val="Titrearticle"/>
        <w:keepLines/>
        <w:rPr>
          <w:noProof/>
        </w:rPr>
      </w:pPr>
      <w:r>
        <w:rPr>
          <w:noProof/>
        </w:rPr>
        <w:t>Άρθρο 15</w:t>
      </w:r>
    </w:p>
    <w:p w:rsidR="00E506D3" w:rsidRDefault="00A1386A">
      <w:pPr>
        <w:keepNext/>
        <w:jc w:val="center"/>
        <w:rPr>
          <w:b/>
          <w:noProof/>
        </w:rPr>
      </w:pPr>
      <w:r>
        <w:rPr>
          <w:b/>
          <w:noProof/>
        </w:rPr>
        <w:t>Λειτουργική ενίσχυση</w:t>
      </w:r>
    </w:p>
    <w:p w:rsidR="00E506D3" w:rsidRDefault="00A1386A">
      <w:pPr>
        <w:pStyle w:val="ManualNumPar1"/>
        <w:rPr>
          <w:noProof/>
        </w:rPr>
      </w:pPr>
      <w:r>
        <w:t>1.</w:t>
      </w:r>
      <w:r>
        <w:tab/>
      </w:r>
      <w:r>
        <w:rPr>
          <w:noProof/>
        </w:rPr>
        <w:t xml:space="preserve">Η λειτουργική ενίσχυση αποτελεί μέρος του κονδυλίου που λαμβάνει ένα κράτος μέλος που μπορεί να χρησιμοποιηθεί ως </w:t>
      </w:r>
      <w:r>
        <w:rPr>
          <w:noProof/>
        </w:rPr>
        <w:t>στήριξη των δημόσιων αρχών που είναι αρμόδιες για την εκπλήρωση των καθηκόντων και υπηρεσιών που συνιστούν δημόσια υπηρεσία για την Ένωση·</w:t>
      </w:r>
    </w:p>
    <w:p w:rsidR="00E506D3" w:rsidRDefault="00A1386A">
      <w:pPr>
        <w:pStyle w:val="ManualNumPar1"/>
        <w:rPr>
          <w:noProof/>
        </w:rPr>
      </w:pPr>
      <w:r>
        <w:t>2.</w:t>
      </w:r>
      <w:r>
        <w:tab/>
      </w:r>
      <w:r>
        <w:rPr>
          <w:noProof/>
        </w:rPr>
        <w:t xml:space="preserve">Τα κράτη μέλη μπορούν να χρησιμοποιήσουν ποσοστό μέχρι 10 % του ποσού που διατίθεται από το Ταμείο στο πρόγραμμά </w:t>
      </w:r>
      <w:r>
        <w:rPr>
          <w:noProof/>
        </w:rPr>
        <w:t>τους για τη χρηματοδότηση της λειτουργικής ενίσχυσης των δημόσιων αρχών που είναι αρμόδιες για την εκπλήρωση των καθηκόντων και υπηρεσιών που συνιστούν δημόσια υπηρεσία για την Ένωση.</w:t>
      </w:r>
    </w:p>
    <w:p w:rsidR="00E506D3" w:rsidRDefault="00A1386A">
      <w:pPr>
        <w:pStyle w:val="ManualNumPar1"/>
        <w:rPr>
          <w:noProof/>
        </w:rPr>
      </w:pPr>
      <w:r>
        <w:t>3.</w:t>
      </w:r>
      <w:r>
        <w:tab/>
      </w:r>
      <w:r>
        <w:rPr>
          <w:noProof/>
        </w:rPr>
        <w:t>Τα κράτη μέλη που χρησιμοποιούν λειτουργική ενίσχυση συμμορφώνονται μ</w:t>
      </w:r>
      <w:r>
        <w:rPr>
          <w:noProof/>
        </w:rPr>
        <w:t>ε το κεκτημένο της Ένωσης στον τομέα της ασφάλειας.</w:t>
      </w:r>
    </w:p>
    <w:p w:rsidR="00E506D3" w:rsidRDefault="00A1386A">
      <w:pPr>
        <w:pStyle w:val="ManualNumPar1"/>
        <w:rPr>
          <w:noProof/>
        </w:rPr>
      </w:pPr>
      <w:r>
        <w:t>4.</w:t>
      </w:r>
      <w:r>
        <w:tab/>
      </w:r>
      <w:r>
        <w:rPr>
          <w:noProof/>
        </w:rPr>
        <w:t>Τα κράτη μέλη αιτιολογούν στο πρόγραμμα και στην ετήσια έκθεση επιδόσεων που αναφέρεται στο άρθρο 26, τη χρήση της λειτουργικής ενίσχυσης για την επίτευξη των στόχων του παρόντος κανονισμού. Πριν από τ</w:t>
      </w:r>
      <w:r>
        <w:rPr>
          <w:noProof/>
        </w:rPr>
        <w:t>ην έγκριση του προγράμματος, η Επιτροπή αξιολογεί την αρχική κατάσταση στα κράτη μέλη που έχουν δηλώσει την πρόθεσή τους να ζητήσουν λειτουργική ενίσχυση, λαμβάνοντας υπόψη τις πληροφορίες που παρέχονται από τα κράτη μέλη, καθώς και συστάσεις από μηχανισμο</w:t>
      </w:r>
      <w:r>
        <w:rPr>
          <w:noProof/>
        </w:rPr>
        <w:t>ύς ελέγχου της ποιότητας και αξιολόγησης, όπως ο μηχανισμός αξιολόγησης του Σένγκεν και άλλοι μηχανισμοί ελέγχου της ποιότητας και αξιολόγησης.</w:t>
      </w:r>
    </w:p>
    <w:p w:rsidR="00E506D3" w:rsidRDefault="00A1386A">
      <w:pPr>
        <w:pStyle w:val="ManualNumPar1"/>
        <w:rPr>
          <w:noProof/>
        </w:rPr>
      </w:pPr>
      <w:r>
        <w:t>5.</w:t>
      </w:r>
      <w:r>
        <w:tab/>
      </w:r>
      <w:r>
        <w:rPr>
          <w:noProof/>
        </w:rPr>
        <w:t>Η λειτουργική ενίσχυση επικεντρώνεται σε συγκεκριμένα καθήκοντα και υπηρεσίες όπως ορίζεται στο παράρτημα VII</w:t>
      </w:r>
      <w:r>
        <w:rPr>
          <w:noProof/>
        </w:rPr>
        <w:t>.</w:t>
      </w:r>
    </w:p>
    <w:p w:rsidR="00E506D3" w:rsidRDefault="00A1386A">
      <w:pPr>
        <w:pStyle w:val="ManualNumPar1"/>
        <w:rPr>
          <w:noProof/>
        </w:rPr>
      </w:pPr>
      <w:r>
        <w:t>6.</w:t>
      </w:r>
      <w:r>
        <w:tab/>
      </w:r>
      <w:r>
        <w:rPr>
          <w:noProof/>
        </w:rPr>
        <w:t xml:space="preserve">Για την αντιμετώπιση απρόβλεπτων ή νέων περιστάσεων ή για να διασφαλιστεί η αποτελεσματική εφαρμογή της χρηματοδότησης, η Επιτροπή εξουσιοδοτείται να εκδίδει κατ’ εξουσιοδότηση πράξεις σύμφωνα με το άρθρο 28 για την τροποποίηση των ειδικών καθηκόντων </w:t>
      </w:r>
      <w:r>
        <w:rPr>
          <w:noProof/>
        </w:rPr>
        <w:t>και υπηρεσιών στο παράρτημα VII.</w:t>
      </w:r>
    </w:p>
    <w:p w:rsidR="00E506D3" w:rsidRDefault="00A1386A">
      <w:pPr>
        <w:pStyle w:val="SectionTitle"/>
        <w:rPr>
          <w:noProof/>
        </w:rPr>
      </w:pPr>
      <w:r>
        <w:rPr>
          <w:noProof/>
        </w:rPr>
        <w:t>Τμήμα 3</w:t>
      </w:r>
    </w:p>
    <w:p w:rsidR="00E506D3" w:rsidRDefault="00A1386A">
      <w:pPr>
        <w:pStyle w:val="SectionTitle"/>
        <w:rPr>
          <w:noProof/>
        </w:rPr>
      </w:pPr>
      <w:r>
        <w:rPr>
          <w:noProof/>
        </w:rPr>
        <w:t>Στήριξη και εφαρμογή με άμεση και έμμεση διαχείριση</w:t>
      </w:r>
    </w:p>
    <w:p w:rsidR="00E506D3" w:rsidRDefault="00A1386A">
      <w:pPr>
        <w:pStyle w:val="Titrearticle"/>
        <w:rPr>
          <w:noProof/>
        </w:rPr>
      </w:pPr>
      <w:r>
        <w:rPr>
          <w:noProof/>
        </w:rPr>
        <w:t>Άρθρο 16</w:t>
      </w:r>
    </w:p>
    <w:p w:rsidR="00E506D3" w:rsidRDefault="00A1386A">
      <w:pPr>
        <w:keepNext/>
        <w:jc w:val="center"/>
        <w:rPr>
          <w:b/>
          <w:noProof/>
        </w:rPr>
      </w:pPr>
      <w:r>
        <w:rPr>
          <w:b/>
          <w:noProof/>
        </w:rPr>
        <w:t>Πεδίο εφαρμογής</w:t>
      </w:r>
    </w:p>
    <w:p w:rsidR="00E506D3" w:rsidRDefault="00A1386A">
      <w:pPr>
        <w:rPr>
          <w:noProof/>
          <w:szCs w:val="24"/>
        </w:rPr>
      </w:pPr>
      <w:r>
        <w:rPr>
          <w:noProof/>
        </w:rPr>
        <w:t xml:space="preserve">Η στήριξη βάσει του παρόντος τμήματος εφαρμόζεται είτε άμεσα από την Επιτροπή σύμφωνα με το στοιχείο α) </w:t>
      </w:r>
      <w:r>
        <w:rPr>
          <w:rStyle w:val="En-tte1"/>
          <w:rFonts w:eastAsiaTheme="minorHAnsi"/>
          <w:noProof/>
          <w:sz w:val="24"/>
        </w:rPr>
        <w:t>του</w:t>
      </w:r>
      <w:r>
        <w:rPr>
          <w:noProof/>
        </w:rPr>
        <w:t xml:space="preserve"> άρθρου 62 παράγραφος 1 του δημ</w:t>
      </w:r>
      <w:r>
        <w:rPr>
          <w:noProof/>
        </w:rPr>
        <w:t>οσιονομικού κανονισμού, είτε έμμεσα σύμφωνα με το στοιχείο γ) του εν λόγω άρθρου.</w:t>
      </w:r>
    </w:p>
    <w:p w:rsidR="00E506D3" w:rsidRDefault="00A1386A">
      <w:pPr>
        <w:pStyle w:val="Titrearticle"/>
        <w:rPr>
          <w:noProof/>
        </w:rPr>
      </w:pPr>
      <w:r>
        <w:rPr>
          <w:noProof/>
        </w:rPr>
        <w:t>Άρθρο 17</w:t>
      </w:r>
    </w:p>
    <w:p w:rsidR="00E506D3" w:rsidRDefault="00A1386A">
      <w:pPr>
        <w:keepNext/>
        <w:jc w:val="center"/>
        <w:rPr>
          <w:b/>
          <w:noProof/>
        </w:rPr>
      </w:pPr>
      <w:r>
        <w:rPr>
          <w:b/>
          <w:noProof/>
        </w:rPr>
        <w:t>Δράσεις της Ένωσης</w:t>
      </w:r>
    </w:p>
    <w:p w:rsidR="00E506D3" w:rsidRDefault="00A1386A">
      <w:pPr>
        <w:pStyle w:val="ManualNumPar1"/>
        <w:rPr>
          <w:noProof/>
          <w:color w:val="1A171C"/>
          <w:szCs w:val="24"/>
        </w:rPr>
      </w:pPr>
      <w:r>
        <w:t>1.</w:t>
      </w:r>
      <w:r>
        <w:tab/>
      </w:r>
      <w:r>
        <w:rPr>
          <w:noProof/>
        </w:rPr>
        <w:t>Οι δράσεις της Ένωσης είναι διακρατικά έργα ή έργα που παρουσιάζουν ιδιαίτερο ενδιαφέρον για την Ένωση, σύμφωνα με τους στόχους του παρόντος κα</w:t>
      </w:r>
      <w:r>
        <w:rPr>
          <w:noProof/>
        </w:rPr>
        <w:t>νονισμού.</w:t>
      </w:r>
    </w:p>
    <w:p w:rsidR="00E506D3" w:rsidRDefault="00A1386A">
      <w:pPr>
        <w:pStyle w:val="ManualNumPar1"/>
        <w:rPr>
          <w:rStyle w:val="Corpsdutexte"/>
          <w:rFonts w:eastAsiaTheme="minorHAnsi"/>
          <w:noProof/>
          <w:sz w:val="24"/>
          <w:szCs w:val="24"/>
        </w:rPr>
      </w:pPr>
      <w:r>
        <w:rPr>
          <w:rStyle w:val="Corpsdutexte"/>
          <w:rFonts w:eastAsiaTheme="minorHAnsi"/>
        </w:rPr>
        <w:t>2.</w:t>
      </w:r>
      <w:r>
        <w:rPr>
          <w:rStyle w:val="Corpsdutexte"/>
          <w:rFonts w:eastAsiaTheme="minorHAnsi"/>
        </w:rPr>
        <w:tab/>
      </w:r>
      <w:r>
        <w:rPr>
          <w:rStyle w:val="Corpsdutexte"/>
          <w:rFonts w:eastAsiaTheme="minorHAnsi"/>
          <w:noProof/>
          <w:sz w:val="24"/>
        </w:rPr>
        <w:t>Με πρωτοβουλία της Επιτροπής, το Ταμείο μπορεί να χρησιμοποιείται για τη χρηματοδότηση δράσεων της Ένωσης σχετικά με τους στόχους του παρόντος κανονισμού, όπως αναφέρονται στο άρθρο 3 και σύμφωνα με το παράρτημα ΙΙΙ.</w:t>
      </w:r>
    </w:p>
    <w:p w:rsidR="00E506D3" w:rsidRDefault="00A1386A">
      <w:pPr>
        <w:pStyle w:val="ManualNumPar1"/>
        <w:rPr>
          <w:rStyle w:val="Corpsdutexte"/>
          <w:rFonts w:eastAsiaTheme="minorHAnsi"/>
          <w:noProof/>
          <w:sz w:val="24"/>
          <w:szCs w:val="24"/>
        </w:rPr>
      </w:pPr>
      <w:r>
        <w:rPr>
          <w:rStyle w:val="Corpsdutexte"/>
          <w:rFonts w:eastAsiaTheme="minorHAnsi"/>
        </w:rPr>
        <w:t>3.</w:t>
      </w:r>
      <w:r>
        <w:rPr>
          <w:rStyle w:val="Corpsdutexte"/>
          <w:rFonts w:eastAsiaTheme="minorHAnsi"/>
        </w:rPr>
        <w:tab/>
      </w:r>
      <w:r>
        <w:rPr>
          <w:rStyle w:val="Corpsdutexte"/>
          <w:rFonts w:eastAsiaTheme="minorHAnsi"/>
          <w:noProof/>
          <w:sz w:val="24"/>
        </w:rPr>
        <w:t>Οι δράσεις της Ένωσης μ</w:t>
      </w:r>
      <w:r>
        <w:rPr>
          <w:rStyle w:val="Corpsdutexte"/>
          <w:rFonts w:eastAsiaTheme="minorHAnsi"/>
          <w:noProof/>
          <w:sz w:val="24"/>
        </w:rPr>
        <w:t xml:space="preserve">πορούν να παρέχουν χρηματοδότηση σε οποιαδήποτε από τις μορφές που ορίζονται στον δημοσιονομικό κανονισμό, ιδίως επιδοτήσεις, βραβεία και δημόσιες συμβάσεις. Μπορεί επίσης να παρέχει χρηματοδότηση υπό μορφή χρηματοπιστωτικών μέσων στο πλαίσιο συνδυαστικών </w:t>
      </w:r>
      <w:r>
        <w:rPr>
          <w:rStyle w:val="Corpsdutexte"/>
          <w:rFonts w:eastAsiaTheme="minorHAnsi"/>
          <w:noProof/>
          <w:sz w:val="24"/>
        </w:rPr>
        <w:t>πράξεων.</w:t>
      </w:r>
    </w:p>
    <w:p w:rsidR="00E506D3" w:rsidRDefault="00A1386A">
      <w:pPr>
        <w:pStyle w:val="ManualNumPar1"/>
        <w:rPr>
          <w:rStyle w:val="Corpsdutexte"/>
          <w:rFonts w:eastAsiaTheme="minorHAnsi"/>
          <w:noProof/>
          <w:sz w:val="24"/>
          <w:szCs w:val="24"/>
        </w:rPr>
      </w:pPr>
      <w:r>
        <w:rPr>
          <w:rStyle w:val="Corpsdutexte"/>
          <w:rFonts w:eastAsiaTheme="minorHAnsi"/>
        </w:rPr>
        <w:t>4.</w:t>
      </w:r>
      <w:r>
        <w:rPr>
          <w:rStyle w:val="Corpsdutexte"/>
          <w:rFonts w:eastAsiaTheme="minorHAnsi"/>
        </w:rPr>
        <w:tab/>
      </w:r>
      <w:r>
        <w:rPr>
          <w:rStyle w:val="Corpsdutexte"/>
          <w:rFonts w:eastAsiaTheme="minorHAnsi"/>
          <w:noProof/>
          <w:sz w:val="24"/>
        </w:rPr>
        <w:t>Οι επιχορηγήσεις που εκτελούνται υπό άμεση διαχείριση χορηγούνται και αποτελούν αντικείμενο διαχείρισης όπως προβλέπεται στον τίτλο VIII του δημοσιονομικού κανονισμού.</w:t>
      </w:r>
    </w:p>
    <w:p w:rsidR="00E506D3" w:rsidRDefault="00A1386A">
      <w:pPr>
        <w:pStyle w:val="ManualNumPar1"/>
        <w:rPr>
          <w:rStyle w:val="Corpsdutexte"/>
          <w:rFonts w:eastAsiaTheme="minorHAnsi"/>
          <w:noProof/>
          <w:sz w:val="24"/>
          <w:szCs w:val="24"/>
        </w:rPr>
      </w:pPr>
      <w:r>
        <w:rPr>
          <w:rStyle w:val="Corpsdutexte"/>
          <w:rFonts w:eastAsiaTheme="minorHAnsi"/>
        </w:rPr>
        <w:t>5.</w:t>
      </w:r>
      <w:r>
        <w:rPr>
          <w:rStyle w:val="Corpsdutexte"/>
          <w:rFonts w:eastAsiaTheme="minorHAnsi"/>
        </w:rPr>
        <w:tab/>
      </w:r>
      <w:r>
        <w:rPr>
          <w:rStyle w:val="Corpsdutexte"/>
          <w:rFonts w:eastAsiaTheme="minorHAnsi"/>
          <w:noProof/>
          <w:sz w:val="24"/>
        </w:rPr>
        <w:t xml:space="preserve">Η επιτροπή αξιολόγησης που αξιολογεί τις προτάσεις μπορεί να αποτελείται </w:t>
      </w:r>
      <w:r>
        <w:rPr>
          <w:rStyle w:val="Corpsdutexte"/>
          <w:rFonts w:eastAsiaTheme="minorHAnsi"/>
          <w:noProof/>
          <w:sz w:val="24"/>
        </w:rPr>
        <w:t>από εξωτερικούς εμπειρογνώμονες.</w:t>
      </w:r>
    </w:p>
    <w:p w:rsidR="00E506D3" w:rsidRDefault="00A1386A">
      <w:pPr>
        <w:pStyle w:val="ManualNumPar1"/>
        <w:rPr>
          <w:noProof/>
          <w:szCs w:val="24"/>
        </w:rPr>
      </w:pPr>
      <w:r>
        <w:t>6.</w:t>
      </w:r>
      <w:r>
        <w:tab/>
      </w:r>
      <w:r>
        <w:rPr>
          <w:noProof/>
        </w:rPr>
        <w:t xml:space="preserve">Οι συνεισφορές σε μηχανισμό αλληλασφάλισης μπορούν να καλύπτουν τον κίνδυνο που συνδέεται με την είσπραξη των χρηματικών ποσών που οφείλονται από δικαιούχους και θεωρούνται επαρκής εγγύηση στο πλαίσιο του δημοσιονομικού </w:t>
      </w:r>
      <w:r>
        <w:rPr>
          <w:noProof/>
        </w:rPr>
        <w:t>κανονισμού. Εφαρμόζονται οι διατάξεις του άρθρου [Χ] του κανονισμού XXX [διαδόχου του κανονισμού για το Ταμείο Εγγυήσεων].</w:t>
      </w:r>
    </w:p>
    <w:p w:rsidR="00E506D3" w:rsidRDefault="00A1386A">
      <w:pPr>
        <w:pStyle w:val="Titrearticle"/>
        <w:rPr>
          <w:noProof/>
          <w:szCs w:val="24"/>
        </w:rPr>
      </w:pPr>
      <w:r>
        <w:rPr>
          <w:noProof/>
        </w:rPr>
        <w:t>Άρθρο 18</w:t>
      </w:r>
    </w:p>
    <w:p w:rsidR="00E506D3" w:rsidRDefault="00A1386A">
      <w:pPr>
        <w:keepNext/>
        <w:jc w:val="center"/>
        <w:rPr>
          <w:b/>
          <w:noProof/>
          <w:szCs w:val="24"/>
        </w:rPr>
      </w:pPr>
      <w:r>
        <w:rPr>
          <w:b/>
          <w:noProof/>
        </w:rPr>
        <w:t>Συνδυαστικές πράξεις</w:t>
      </w:r>
    </w:p>
    <w:p w:rsidR="00E506D3" w:rsidRDefault="00A1386A">
      <w:pPr>
        <w:rPr>
          <w:rStyle w:val="En-tte1"/>
          <w:rFonts w:eastAsiaTheme="minorHAnsi"/>
          <w:noProof/>
          <w:sz w:val="24"/>
          <w:szCs w:val="24"/>
        </w:rPr>
      </w:pPr>
      <w:r>
        <w:rPr>
          <w:rStyle w:val="En-tte1"/>
          <w:rFonts w:eastAsiaTheme="minorHAnsi"/>
          <w:noProof/>
          <w:sz w:val="24"/>
        </w:rPr>
        <w:t xml:space="preserve">Οι συνδυαστικές πράξεις που αποφασίζονται βάσει του Ταμείου υλοποιούνται σύμφωνα με τον κανονισμό </w:t>
      </w:r>
      <w:r>
        <w:rPr>
          <w:rStyle w:val="En-tte1"/>
          <w:rFonts w:eastAsiaTheme="minorHAnsi"/>
          <w:noProof/>
          <w:sz w:val="24"/>
        </w:rPr>
        <w:t>InvestEU</w:t>
      </w:r>
      <w:r>
        <w:rPr>
          <w:rStyle w:val="FootnoteReference"/>
          <w:noProof/>
          <w:color w:val="1A171C"/>
        </w:rPr>
        <w:footnoteReference w:id="37"/>
      </w:r>
      <w:r>
        <w:rPr>
          <w:rStyle w:val="En-tte1"/>
          <w:rFonts w:eastAsiaTheme="minorHAnsi"/>
          <w:noProof/>
          <w:sz w:val="24"/>
        </w:rPr>
        <w:t xml:space="preserve"> και τον τίτλο X του δημοσιονομικού κανονισμού.</w:t>
      </w:r>
    </w:p>
    <w:p w:rsidR="00E506D3" w:rsidRDefault="00A1386A">
      <w:pPr>
        <w:pStyle w:val="Titrearticle"/>
        <w:rPr>
          <w:noProof/>
          <w:szCs w:val="24"/>
        </w:rPr>
      </w:pPr>
      <w:r>
        <w:rPr>
          <w:noProof/>
        </w:rPr>
        <w:t>Άρθρο 19</w:t>
      </w:r>
    </w:p>
    <w:p w:rsidR="00E506D3" w:rsidRDefault="00A1386A">
      <w:pPr>
        <w:keepNext/>
        <w:jc w:val="center"/>
        <w:rPr>
          <w:b/>
          <w:noProof/>
          <w:szCs w:val="24"/>
        </w:rPr>
      </w:pPr>
      <w:r>
        <w:rPr>
          <w:b/>
          <w:noProof/>
        </w:rPr>
        <w:t xml:space="preserve">Τεχνική </w:t>
      </w:r>
      <w:r>
        <w:rPr>
          <w:rStyle w:val="En-tte1"/>
          <w:rFonts w:eastAsiaTheme="minorHAnsi"/>
          <w:b/>
          <w:noProof/>
          <w:sz w:val="24"/>
        </w:rPr>
        <w:t>βοήθεια με πρωτοβουλία της Επιτροπής</w:t>
      </w:r>
    </w:p>
    <w:p w:rsidR="00E506D3" w:rsidRDefault="00A1386A">
      <w:pPr>
        <w:rPr>
          <w:rStyle w:val="En-tte1"/>
          <w:rFonts w:eastAsiaTheme="minorHAnsi"/>
          <w:noProof/>
          <w:sz w:val="24"/>
          <w:szCs w:val="24"/>
        </w:rPr>
      </w:pPr>
      <w:r>
        <w:rPr>
          <w:rStyle w:val="En-tte1"/>
          <w:rFonts w:eastAsiaTheme="minorHAnsi"/>
          <w:noProof/>
          <w:sz w:val="24"/>
        </w:rPr>
        <w:t xml:space="preserve">Το Ταμείο μπορεί να στηρίζει μέτρα τεχνικής βοήθειας που εκτελούνται με πρωτοβουλία της Επιτροπής ή εξ ονόματός της. Τα εν λόγω μέτρα μπορούν να </w:t>
      </w:r>
      <w:r>
        <w:rPr>
          <w:rStyle w:val="En-tte1"/>
          <w:rFonts w:eastAsiaTheme="minorHAnsi"/>
          <w:noProof/>
          <w:sz w:val="24"/>
        </w:rPr>
        <w:t>χρηματοδοτούνται σε ποσοστό 100 %.</w:t>
      </w:r>
    </w:p>
    <w:p w:rsidR="00E506D3" w:rsidRDefault="00A1386A">
      <w:pPr>
        <w:pStyle w:val="Titrearticle"/>
        <w:rPr>
          <w:noProof/>
        </w:rPr>
      </w:pPr>
      <w:r>
        <w:rPr>
          <w:noProof/>
        </w:rPr>
        <w:t>Άρθρο 20</w:t>
      </w:r>
    </w:p>
    <w:p w:rsidR="00E506D3" w:rsidRDefault="00A1386A">
      <w:pPr>
        <w:keepNext/>
        <w:jc w:val="center"/>
        <w:rPr>
          <w:b/>
          <w:noProof/>
        </w:rPr>
      </w:pPr>
      <w:r>
        <w:rPr>
          <w:b/>
          <w:noProof/>
        </w:rPr>
        <w:t>Έλεγχοι</w:t>
      </w:r>
    </w:p>
    <w:p w:rsidR="00E506D3" w:rsidRDefault="00A1386A">
      <w:pPr>
        <w:pStyle w:val="Text1"/>
        <w:ind w:left="0"/>
        <w:rPr>
          <w:noProof/>
        </w:rPr>
      </w:pPr>
      <w:r>
        <w:rPr>
          <w:noProof/>
        </w:rPr>
        <w:t>Έλεγχοι σχετικά με τη χρήση της συνεισφοράς της Ένωσης που πραγματοποιούνται από πρόσωπα ή οντότητες, συμπεριλαμβανομένων άλλων από εκείνα που έχουν λάβει εντολή από τα θεσμικά όργανα ή οργανισμούς της Έν</w:t>
      </w:r>
      <w:r>
        <w:rPr>
          <w:noProof/>
        </w:rPr>
        <w:t>ωσης, αποτελούν τη βάση της συνολικής διαβεβαίωσης σύμφωνα με το άρθρο 127 του κανονισμού (ΕΕ) αριθ. [κανονισμός σχετικά με τους δημοσιονομικούς κανόνες που εφαρμόζονται στον γενικό προϋπολογισμό της Ένωσης].</w:t>
      </w:r>
    </w:p>
    <w:p w:rsidR="00E506D3" w:rsidRDefault="00A1386A">
      <w:pPr>
        <w:pStyle w:val="Titrearticle"/>
        <w:rPr>
          <w:noProof/>
        </w:rPr>
      </w:pPr>
      <w:r>
        <w:rPr>
          <w:noProof/>
        </w:rPr>
        <w:t>Άρθρο 21</w:t>
      </w:r>
    </w:p>
    <w:p w:rsidR="00E506D3" w:rsidRDefault="00A1386A">
      <w:pPr>
        <w:keepNext/>
        <w:jc w:val="center"/>
        <w:rPr>
          <w:b/>
          <w:noProof/>
        </w:rPr>
      </w:pPr>
      <w:r>
        <w:rPr>
          <w:b/>
          <w:noProof/>
        </w:rPr>
        <w:t>Πληροφόρηση, επικοινωνία και δημοσιότη</w:t>
      </w:r>
      <w:r>
        <w:rPr>
          <w:b/>
          <w:noProof/>
        </w:rPr>
        <w:t>τα</w:t>
      </w:r>
    </w:p>
    <w:p w:rsidR="00E506D3" w:rsidRDefault="00A1386A">
      <w:pPr>
        <w:pStyle w:val="ManualNumPar1"/>
        <w:rPr>
          <w:noProof/>
        </w:rPr>
      </w:pPr>
      <w:r>
        <w:t>1.</w:t>
      </w:r>
      <w:r>
        <w:tab/>
      </w:r>
      <w:r>
        <w:rPr>
          <w:noProof/>
        </w:rPr>
        <w:t>Οι αποδέκτες της χρηματοδότησης της Ένωσης γνωστοποιούν την προέλευση και εξασφαλίζουν την προβολή της ενωσιακής χρηματοδότησης, ιδίως όταν προωθούν τις δράσεις και τα αποτελέσματά τους, παρέχοντας συνεκτική, αποτελεσματική και αναλογική στοχευμένη π</w:t>
      </w:r>
      <w:r>
        <w:rPr>
          <w:noProof/>
        </w:rPr>
        <w:t>ληροφόρηση σε πολλαπλά ακροατήρια, συμπεριλαμβανομένων των μέσων ενημέρωσης και του κοινού.</w:t>
      </w:r>
    </w:p>
    <w:p w:rsidR="00E506D3" w:rsidRDefault="00A1386A">
      <w:pPr>
        <w:pStyle w:val="ManualNumPar1"/>
        <w:rPr>
          <w:rStyle w:val="En-tte1"/>
          <w:rFonts w:eastAsiaTheme="minorHAnsi"/>
          <w:noProof/>
          <w:color w:val="auto"/>
          <w:sz w:val="24"/>
          <w:szCs w:val="22"/>
        </w:rPr>
      </w:pPr>
      <w:r>
        <w:rPr>
          <w:rStyle w:val="En-tte1"/>
          <w:rFonts w:eastAsiaTheme="minorHAnsi"/>
        </w:rPr>
        <w:t>2.</w:t>
      </w:r>
      <w:r>
        <w:rPr>
          <w:rStyle w:val="En-tte1"/>
          <w:rFonts w:eastAsiaTheme="minorHAnsi"/>
        </w:rPr>
        <w:tab/>
      </w:r>
      <w:r>
        <w:rPr>
          <w:noProof/>
        </w:rPr>
        <w:t>Η Επιτροπή προβαίνει σε ενέργειες πληροφόρησης και επικοινωνίας για το Ταμείο, τις δράσεις και τα αποτελέσματά του. Οι χρηματοδοτικοί πόροι που διατίθενται στο Τ</w:t>
      </w:r>
      <w:r>
        <w:rPr>
          <w:noProof/>
        </w:rPr>
        <w:t>αμείο συμβάλλουν επίσης στην προβολή των πολιτικών προτεραιοτήτων της Ένωσης, στον βαθμό που αυτές είναι συναφείς με τους στόχους του παρόντος κανονισμού.</w:t>
      </w:r>
    </w:p>
    <w:p w:rsidR="00E506D3" w:rsidRDefault="00A1386A">
      <w:pPr>
        <w:pStyle w:val="SectionTitle"/>
        <w:rPr>
          <w:noProof/>
        </w:rPr>
      </w:pPr>
      <w:r>
        <w:rPr>
          <w:noProof/>
        </w:rPr>
        <w:t>Τμήμα 4</w:t>
      </w:r>
    </w:p>
    <w:p w:rsidR="00E506D3" w:rsidRDefault="00A1386A">
      <w:pPr>
        <w:pStyle w:val="SectionTitle"/>
        <w:rPr>
          <w:noProof/>
        </w:rPr>
      </w:pPr>
      <w:r>
        <w:rPr>
          <w:noProof/>
        </w:rPr>
        <w:t>Στήριξη και εφαρμογή υπο καθεστωσ επιμερισμένης, άμεσης και έμμεσης διαχείριση</w:t>
      </w:r>
    </w:p>
    <w:p w:rsidR="00E506D3" w:rsidRDefault="00A1386A">
      <w:pPr>
        <w:pStyle w:val="Titrearticle"/>
        <w:rPr>
          <w:noProof/>
        </w:rPr>
      </w:pPr>
      <w:r>
        <w:rPr>
          <w:noProof/>
        </w:rPr>
        <w:t>Άρθρο 22</w:t>
      </w:r>
    </w:p>
    <w:p w:rsidR="00E506D3" w:rsidRDefault="00A1386A">
      <w:pPr>
        <w:keepNext/>
        <w:jc w:val="center"/>
        <w:rPr>
          <w:b/>
          <w:noProof/>
        </w:rPr>
      </w:pPr>
      <w:r>
        <w:rPr>
          <w:b/>
          <w:noProof/>
        </w:rPr>
        <w:t>Βοήθε</w:t>
      </w:r>
      <w:r>
        <w:rPr>
          <w:b/>
          <w:noProof/>
        </w:rPr>
        <w:t>ια έκτακτης ανάγκης</w:t>
      </w:r>
    </w:p>
    <w:p w:rsidR="00E506D3" w:rsidRDefault="00A1386A">
      <w:pPr>
        <w:pStyle w:val="ManualNumPar1"/>
        <w:rPr>
          <w:noProof/>
        </w:rPr>
      </w:pPr>
      <w:r>
        <w:t>1.</w:t>
      </w:r>
      <w:r>
        <w:tab/>
      </w:r>
      <w:r>
        <w:rPr>
          <w:noProof/>
        </w:rPr>
        <w:t>Το Ταμείο παρέχει χρηματοδοτική στήριξη για να αντιμετωπισθούν επείγουσες και ειδικές ανάγκες σε περίπτωση κατάστασης έκτακτης ανάγκης που απορρέει από κάθε σχετικό με την ασφάλεια περιστατικό ή νεοεμφανιζόμενη απειλή, εντός του πεδί</w:t>
      </w:r>
      <w:r>
        <w:rPr>
          <w:noProof/>
        </w:rPr>
        <w:t>ου εφαρμογής του παρόντος κανονισμού, που έχει ή μπορεί να έχει σοβαρές συνέπειες για την ασφάλεια των προσώπων σε ένα ή περισσότερα κράτη μέλη·</w:t>
      </w:r>
    </w:p>
    <w:p w:rsidR="00E506D3" w:rsidRDefault="00A1386A">
      <w:pPr>
        <w:pStyle w:val="ManualNumPar1"/>
        <w:rPr>
          <w:noProof/>
          <w:szCs w:val="24"/>
        </w:rPr>
      </w:pPr>
      <w:r>
        <w:t>2.</w:t>
      </w:r>
      <w:r>
        <w:tab/>
      </w:r>
      <w:r>
        <w:rPr>
          <w:noProof/>
        </w:rPr>
        <w:t>Η βοήθεια έκτακτης ανάγκης μπορεί να λάβει τη μορφή επιχορηγήσεων που χορηγούνται απευθείας στους αποκεντρωμ</w:t>
      </w:r>
      <w:r>
        <w:rPr>
          <w:noProof/>
        </w:rPr>
        <w:t>ένους οργανισμούς.</w:t>
      </w:r>
    </w:p>
    <w:p w:rsidR="00E506D3" w:rsidRDefault="00A1386A">
      <w:pPr>
        <w:pStyle w:val="ManualNumPar1"/>
        <w:rPr>
          <w:noProof/>
        </w:rPr>
      </w:pPr>
      <w:r>
        <w:t>3.</w:t>
      </w:r>
      <w:r>
        <w:tab/>
      </w:r>
      <w:r>
        <w:rPr>
          <w:noProof/>
        </w:rPr>
        <w:t xml:space="preserve">Η βοήθεια έκτακτης ανάγκης μπορεί να χορηγηθεί στα προγράμματα των κρατών μελών, εκτός από τη χρηματοδότησή τους που υπολογίζεται σύμφωνα με το άρθρο 10 παράγραφος 1, υπό την προϋπόθεση ότι προβλέπεται ως τέτοια ειδικά στο πρόγραμμα. </w:t>
      </w:r>
      <w:r>
        <w:rPr>
          <w:noProof/>
        </w:rPr>
        <w:t>Η χρηματοδότηση αυτή δεν πρέπει να χρησιμοποιείται για άλλες δράσεις του προγράμματος, εκτός από δεόντως αιτιολογημένες περιστάσεις και όπως εγκρίθηκε από την Επιτροπή μέσω της τροποποίησης του προγράμματος.</w:t>
      </w:r>
    </w:p>
    <w:p w:rsidR="00E506D3" w:rsidRDefault="00A1386A">
      <w:pPr>
        <w:pStyle w:val="ManualNumPar1"/>
        <w:rPr>
          <w:rStyle w:val="Corpsdutexte"/>
          <w:rFonts w:eastAsiaTheme="minorHAnsi"/>
          <w:noProof/>
          <w:sz w:val="24"/>
          <w:szCs w:val="24"/>
        </w:rPr>
      </w:pPr>
      <w:r>
        <w:rPr>
          <w:rStyle w:val="Corpsdutexte"/>
          <w:rFonts w:eastAsiaTheme="minorHAnsi"/>
        </w:rPr>
        <w:t>4.</w:t>
      </w:r>
      <w:r>
        <w:rPr>
          <w:rStyle w:val="Corpsdutexte"/>
          <w:rFonts w:eastAsiaTheme="minorHAnsi"/>
        </w:rPr>
        <w:tab/>
      </w:r>
      <w:r>
        <w:rPr>
          <w:rStyle w:val="Corpsdutexte"/>
          <w:rFonts w:eastAsiaTheme="minorHAnsi"/>
          <w:noProof/>
          <w:sz w:val="24"/>
        </w:rPr>
        <w:t xml:space="preserve">Οι επιχορηγήσεις που εκτελούνται υπό άμεση </w:t>
      </w:r>
      <w:r>
        <w:rPr>
          <w:rStyle w:val="Corpsdutexte"/>
          <w:rFonts w:eastAsiaTheme="minorHAnsi"/>
          <w:noProof/>
          <w:sz w:val="24"/>
        </w:rPr>
        <w:t>διαχείριση χορηγούνται και αποτελούν αντικείμενο διαχείρισης όπως προβλέπεται στον τίτλο VIII του δημοσιονομικού κανονισμού.</w:t>
      </w:r>
    </w:p>
    <w:p w:rsidR="00E506D3" w:rsidRDefault="00A1386A">
      <w:pPr>
        <w:pStyle w:val="Titrearticle"/>
        <w:rPr>
          <w:noProof/>
        </w:rPr>
      </w:pPr>
      <w:r>
        <w:rPr>
          <w:noProof/>
        </w:rPr>
        <w:t>Άρθρο 23</w:t>
      </w:r>
    </w:p>
    <w:p w:rsidR="00E506D3" w:rsidRDefault="00A1386A">
      <w:pPr>
        <w:keepNext/>
        <w:jc w:val="center"/>
        <w:rPr>
          <w:b/>
          <w:i/>
          <w:noProof/>
        </w:rPr>
      </w:pPr>
      <w:r>
        <w:rPr>
          <w:b/>
          <w:noProof/>
        </w:rPr>
        <w:t>Σωρευτική, συμπληρωματική και συνδυασμένη χρηματοδότηση</w:t>
      </w:r>
    </w:p>
    <w:p w:rsidR="00E506D3" w:rsidRDefault="00A1386A">
      <w:pPr>
        <w:pStyle w:val="ManualNumPar1"/>
        <w:rPr>
          <w:noProof/>
        </w:rPr>
      </w:pPr>
      <w:r>
        <w:t>1.</w:t>
      </w:r>
      <w:r>
        <w:tab/>
      </w:r>
      <w:r>
        <w:rPr>
          <w:noProof/>
        </w:rPr>
        <w:t>Δράση που έχει λάβει χρηματοδοτική συνεισφορά στο πλαίσιο του π</w:t>
      </w:r>
      <w:r>
        <w:rPr>
          <w:noProof/>
        </w:rPr>
        <w:t>ρογράμματος μπορεί επίσης να λάβει χρηματοδοτική συνεισφορά από οποιοδήποτε άλλο ενωσιακό πρόγραμμα, συμπεριλαμβανομένων Ταμείων υπό επιμερισμένη διαχείριση, με την προϋπόθεση ότι οι δύο συνεισφορές δεν καλύπτουν τις ίδιες δαπάνες. Οι κανόνες εκάστου συμβά</w:t>
      </w:r>
      <w:r>
        <w:rPr>
          <w:noProof/>
        </w:rPr>
        <w:t>λλοντος πρόγραμμα της Ένωσης εφαρμόζονται στην αντίστοιχη συνεισφορά του στη δράση. Η σωρευτική χρηματοδότηση δεν υπερβαίνει τις συνολικές επιλέξιμες δαπάνες της δράσης και η στήριξη από τα διάφορα προγράμματα της Ένωσης μπορεί να υπολογίζεται κατ’ αναλογί</w:t>
      </w:r>
      <w:r>
        <w:rPr>
          <w:noProof/>
        </w:rPr>
        <w:t>α, σύμφωνα με τα έγγραφα που καθορίζουν τους όρους της στήριξης.</w:t>
      </w:r>
    </w:p>
    <w:p w:rsidR="00E506D3" w:rsidRDefault="00A1386A">
      <w:pPr>
        <w:pStyle w:val="ManualNumPar1"/>
        <w:rPr>
          <w:noProof/>
        </w:rPr>
      </w:pPr>
      <w:r>
        <w:t>2.</w:t>
      </w:r>
      <w:r>
        <w:tab/>
      </w:r>
      <w:r>
        <w:rPr>
          <w:noProof/>
        </w:rPr>
        <w:t>Δράσεις που λαμβάνουν την πιστοποίηση «σφραγίδα Αριστείας» ή τα οποία πληρούν τις ακόλουθες σωρευτικές, συγκριτικές προϋποθέσεις:</w:t>
      </w:r>
    </w:p>
    <w:p w:rsidR="00E506D3" w:rsidRDefault="00A1386A">
      <w:pPr>
        <w:pStyle w:val="Point1"/>
        <w:rPr>
          <w:noProof/>
        </w:rPr>
      </w:pPr>
      <w:r>
        <w:rPr>
          <w:noProof/>
        </w:rPr>
        <w:t>α)</w:t>
      </w:r>
      <w:r>
        <w:rPr>
          <w:noProof/>
        </w:rPr>
        <w:tab/>
        <w:t>έχουν αξιολογηθεί σε πρόσκληση υποβολής προτάσεων στο π</w:t>
      </w:r>
      <w:r>
        <w:rPr>
          <w:noProof/>
        </w:rPr>
        <w:t>λαίσιο του Ταμείου·</w:t>
      </w:r>
    </w:p>
    <w:p w:rsidR="00E506D3" w:rsidRDefault="00A1386A">
      <w:pPr>
        <w:pStyle w:val="Point1"/>
        <w:rPr>
          <w:noProof/>
        </w:rPr>
      </w:pPr>
      <w:r>
        <w:rPr>
          <w:noProof/>
        </w:rPr>
        <w:t>β)</w:t>
      </w:r>
      <w:r>
        <w:rPr>
          <w:noProof/>
        </w:rPr>
        <w:tab/>
        <w:t>συμμορφώνονται με τις ελάχιστες ποιοτικές απαιτήσεις της εν λόγω πρόσκλησης υποβολής προτάσεων·</w:t>
      </w:r>
    </w:p>
    <w:p w:rsidR="00E506D3" w:rsidRDefault="00A1386A">
      <w:pPr>
        <w:pStyle w:val="Point1"/>
        <w:rPr>
          <w:noProof/>
        </w:rPr>
      </w:pPr>
      <w:r>
        <w:rPr>
          <w:noProof/>
        </w:rPr>
        <w:t>γ)</w:t>
      </w:r>
      <w:r>
        <w:rPr>
          <w:noProof/>
        </w:rPr>
        <w:tab/>
        <w:t>δεν μπορούν να χρηματοδοτηθούν στο πλαίσιο της εν λόγω πρόσκλησης υποβολής προτάσεων λόγω δημοσιονομικών περιορισμών·</w:t>
      </w:r>
    </w:p>
    <w:p w:rsidR="00E506D3" w:rsidRDefault="00A1386A">
      <w:pPr>
        <w:pStyle w:val="Text1"/>
        <w:rPr>
          <w:noProof/>
        </w:rPr>
      </w:pPr>
      <w:r>
        <w:rPr>
          <w:noProof/>
        </w:rPr>
        <w:t xml:space="preserve">μπορούν να </w:t>
      </w:r>
      <w:r>
        <w:rPr>
          <w:noProof/>
        </w:rPr>
        <w:t>λάβουν στήριξη από το Ευρωπαϊκό Ταμείο Περιφερειακής Ανάπτυξης, το Ταμείο Συνοχής, το Ευρωπαϊκό Κοινωνικό Ταμείο + ή το Ευρωπαϊκό Γεωργικό Ταμείο Αγροτικής Ανάπτυξης, σύμφωνα με την παράγραφο 5 του άρθρου [67] του κανονισμού (ΕΕ) αριθ.../... [ΚΚΔ] και το ά</w:t>
      </w:r>
      <w:r>
        <w:rPr>
          <w:noProof/>
        </w:rPr>
        <w:t>ρθρο 8 του κανονισμού (ΕΕ) αριθ..../... [χρηματοδότηση, διαχείριση και παρακολούθηση της Κοινής Γεωργικής Πολιτικής], υπό την προϋπόθεση ότι οι εν λόγω δράσεις συνάδουν με τους στόχους του σχετικού προγράμματος. Εφαρμόζονται οι κανόνες που διέπουν το Ταμεί</w:t>
      </w:r>
      <w:r>
        <w:rPr>
          <w:noProof/>
        </w:rPr>
        <w:t>ο για την παροχή ενίσχυσης.</w:t>
      </w:r>
    </w:p>
    <w:p w:rsidR="00E506D3" w:rsidRDefault="00A1386A">
      <w:pPr>
        <w:pStyle w:val="SectionTitle"/>
        <w:rPr>
          <w:noProof/>
        </w:rPr>
      </w:pPr>
      <w:r>
        <w:rPr>
          <w:noProof/>
        </w:rPr>
        <w:t>Τμήμα 5</w:t>
      </w:r>
    </w:p>
    <w:p w:rsidR="00E506D3" w:rsidRDefault="00A1386A">
      <w:pPr>
        <w:pStyle w:val="SectionTitle"/>
        <w:rPr>
          <w:noProof/>
        </w:rPr>
      </w:pPr>
      <w:r>
        <w:rPr>
          <w:noProof/>
        </w:rPr>
        <w:t>Παρακολούθηση, υποβολή εκθέσεων και αξιολόγηση</w:t>
      </w:r>
    </w:p>
    <w:p w:rsidR="00E506D3" w:rsidRDefault="00A1386A">
      <w:pPr>
        <w:pStyle w:val="Sectio"/>
        <w:keepLines w:val="0"/>
        <w:rPr>
          <w:noProof/>
        </w:rPr>
      </w:pPr>
      <w:r>
        <w:rPr>
          <w:noProof/>
        </w:rPr>
        <w:t>Υποτμήμα 1 Κοινές διατάξεις</w:t>
      </w:r>
    </w:p>
    <w:p w:rsidR="00E506D3" w:rsidRDefault="00A1386A">
      <w:pPr>
        <w:pStyle w:val="Titrearticle"/>
        <w:rPr>
          <w:noProof/>
        </w:rPr>
      </w:pPr>
      <w:r>
        <w:rPr>
          <w:noProof/>
        </w:rPr>
        <w:t>Άρθρο 24</w:t>
      </w:r>
    </w:p>
    <w:p w:rsidR="00E506D3" w:rsidRDefault="00A1386A">
      <w:pPr>
        <w:keepNext/>
        <w:jc w:val="center"/>
        <w:rPr>
          <w:smallCaps/>
          <w:noProof/>
        </w:rPr>
      </w:pPr>
      <w:r>
        <w:rPr>
          <w:b/>
          <w:noProof/>
        </w:rPr>
        <w:t>Παρακολούθηση και υποβολή εκθέσεων</w:t>
      </w:r>
    </w:p>
    <w:p w:rsidR="00E506D3" w:rsidRDefault="00A1386A">
      <w:pPr>
        <w:pStyle w:val="ManualNumPar1"/>
        <w:rPr>
          <w:noProof/>
          <w:szCs w:val="24"/>
        </w:rPr>
      </w:pPr>
      <w:r>
        <w:t>1.</w:t>
      </w:r>
      <w:r>
        <w:tab/>
      </w:r>
      <w:r>
        <w:rPr>
          <w:noProof/>
        </w:rPr>
        <w:t>Σύμφωνα με τις απαιτήσεις υποβολής εκθέσεων δυνάμει του άρθρου [43 παράγραφος 3 στοιχείο η) σημεία</w:t>
      </w:r>
      <w:r>
        <w:rPr>
          <w:noProof/>
        </w:rPr>
        <w:t xml:space="preserve"> i) iii)] του δημοσιονομικού κανονισμού, η Επιτροπή υποβάλλει στο Ευρωπαϊκό Κοινοβούλιο και το Συμβούλιο πληροφορίες σχετικά με τις επιδόσεις σύμφωνα με το παράρτημα V.</w:t>
      </w:r>
    </w:p>
    <w:p w:rsidR="00E506D3" w:rsidRDefault="00A1386A">
      <w:pPr>
        <w:pStyle w:val="ManualNumPar1"/>
        <w:rPr>
          <w:rStyle w:val="En-tte1"/>
          <w:rFonts w:eastAsiaTheme="minorHAnsi"/>
          <w:noProof/>
          <w:sz w:val="24"/>
          <w:szCs w:val="24"/>
        </w:rPr>
      </w:pPr>
      <w:r>
        <w:rPr>
          <w:rStyle w:val="En-tte1"/>
          <w:rFonts w:eastAsiaTheme="minorHAnsi"/>
        </w:rPr>
        <w:t>2.</w:t>
      </w:r>
      <w:r>
        <w:rPr>
          <w:rStyle w:val="En-tte1"/>
          <w:rFonts w:eastAsiaTheme="minorHAnsi"/>
        </w:rPr>
        <w:tab/>
      </w:r>
      <w:r>
        <w:rPr>
          <w:noProof/>
        </w:rPr>
        <w:t xml:space="preserve">Ανατίθεται στην Επιτροπή η εξουσία να εκδίδει κατ’ εξουσιοδότηση πράξεις σύμφωνα με </w:t>
      </w:r>
      <w:r>
        <w:rPr>
          <w:noProof/>
        </w:rPr>
        <w:t>το άρθρο 28 για την τροποποίηση του παραρτήματος V, ώστε να γίνουν οι αναγκαίες προσαρμογές για τις πληροφορίες σχετικά με τις επιδόσεις που πρέπει να παρέχονται στο Ευρωπαϊκό Κοινοβούλιο και το Συμβούλιο.</w:t>
      </w:r>
      <w:r>
        <w:rPr>
          <w:rStyle w:val="En-tte1"/>
          <w:rFonts w:eastAsiaTheme="minorHAnsi"/>
          <w:noProof/>
          <w:sz w:val="24"/>
        </w:rPr>
        <w:t xml:space="preserve"> </w:t>
      </w:r>
    </w:p>
    <w:p w:rsidR="00E506D3" w:rsidRDefault="00A1386A">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 xml:space="preserve">Οι δείκτες για την κατάρτιση εκθέσεων σχετικά </w:t>
      </w:r>
      <w:r>
        <w:rPr>
          <w:rStyle w:val="En-tte1"/>
          <w:rFonts w:eastAsiaTheme="minorHAnsi"/>
          <w:noProof/>
          <w:sz w:val="24"/>
        </w:rPr>
        <w:t>με την πρόοδο του Ταμείου ως προς την επίτευξη των ειδικών στόχων που καθορίζονται στο άρθρο 3, παρατίθενται στο παράρτημα VIII. Για τους δείκτες εκροών, οι τιμές βάσης ορίζονται σε μηδέν. Τα ορόσημα που έχουν καθοριστεί για το 2024 και οι στόχοι που έχουν</w:t>
      </w:r>
      <w:r>
        <w:rPr>
          <w:rStyle w:val="En-tte1"/>
          <w:rFonts w:eastAsiaTheme="minorHAnsi"/>
          <w:noProof/>
          <w:sz w:val="24"/>
        </w:rPr>
        <w:t xml:space="preserve"> τεθεί για το 2029 είναι σωρευτικοί.</w:t>
      </w:r>
    </w:p>
    <w:p w:rsidR="00E506D3" w:rsidRDefault="00A1386A">
      <w:pPr>
        <w:pStyle w:val="ManualNumPar1"/>
        <w:rPr>
          <w:rStyle w:val="En-tte1"/>
          <w:rFonts w:eastAsiaTheme="minorHAnsi"/>
          <w:noProof/>
          <w:sz w:val="24"/>
          <w:szCs w:val="24"/>
        </w:rPr>
      </w:pPr>
      <w:r>
        <w:rPr>
          <w:rStyle w:val="En-tte1"/>
          <w:rFonts w:eastAsiaTheme="minorHAnsi"/>
        </w:rPr>
        <w:t>4.</w:t>
      </w:r>
      <w:r>
        <w:rPr>
          <w:rStyle w:val="En-tte1"/>
          <w:rFonts w:eastAsiaTheme="minorHAnsi"/>
        </w:rPr>
        <w:tab/>
      </w:r>
      <w:r>
        <w:rPr>
          <w:rStyle w:val="En-tte1"/>
          <w:rFonts w:eastAsiaTheme="minorHAnsi"/>
          <w:noProof/>
          <w:sz w:val="24"/>
        </w:rPr>
        <w:t>Το σύστημα υποβολής εκθέσεων για τις επιδόσεις διασφαλίζει ότι τα στοιχεία με τα οποία παρακολουθούνται η υλοποίηση του προγράμματος και τα αποτελέσματα συλλέγονται κατά τρόπο αποδοτικό, αποτελεσματικό και έγκαιρο. Γ</w:t>
      </w:r>
      <w:r>
        <w:rPr>
          <w:rStyle w:val="En-tte1"/>
          <w:rFonts w:eastAsiaTheme="minorHAnsi"/>
          <w:noProof/>
          <w:sz w:val="24"/>
        </w:rPr>
        <w:t>ια το σκοπό αυτό, επιβάλλονται αναλογικές απαιτήσεις υποβολής εκθέσεων στους αποδέκτες κονδυλίων της Ένωσης και, κατά περίπτωση, στα κράτη μέλη.</w:t>
      </w:r>
    </w:p>
    <w:p w:rsidR="00E506D3" w:rsidRDefault="00A1386A">
      <w:pPr>
        <w:pStyle w:val="ManualNumPar1"/>
        <w:rPr>
          <w:rStyle w:val="En-tte1"/>
          <w:rFonts w:eastAsiaTheme="minorHAnsi"/>
          <w:noProof/>
          <w:sz w:val="24"/>
          <w:szCs w:val="24"/>
        </w:rPr>
      </w:pPr>
      <w:r>
        <w:rPr>
          <w:rStyle w:val="En-tte1"/>
          <w:rFonts w:eastAsiaTheme="minorHAnsi"/>
        </w:rPr>
        <w:t>5.</w:t>
      </w:r>
      <w:r>
        <w:rPr>
          <w:rStyle w:val="En-tte1"/>
          <w:rFonts w:eastAsiaTheme="minorHAnsi"/>
        </w:rPr>
        <w:tab/>
      </w:r>
      <w:r>
        <w:rPr>
          <w:rStyle w:val="En-tte1"/>
          <w:rFonts w:eastAsiaTheme="minorHAnsi"/>
          <w:noProof/>
          <w:sz w:val="24"/>
        </w:rPr>
        <w:t>Προκειμένου να διασφαλιστεί η αποτελεσματική αξιολόγηση της προόδου του Ταμείου ως προς την επίτευξη των στό</w:t>
      </w:r>
      <w:r>
        <w:rPr>
          <w:rStyle w:val="En-tte1"/>
          <w:rFonts w:eastAsiaTheme="minorHAnsi"/>
          <w:noProof/>
          <w:sz w:val="24"/>
        </w:rPr>
        <w:t>χων του, η Επιτροπή εξουσιοδοτείται να εκδίδει κατ’ εξουσιοδότηση πράξεις σύμφωνα με το άρθρο 28 για την τροποποίηση του παραρτήματος VIII, να επανεξετάσει και να συμπληρώσει τους δείκτες όπου είναι απαραίτητο και να συμπληρώσει τον παρόντα κανονισμό με δι</w:t>
      </w:r>
      <w:r>
        <w:rPr>
          <w:rStyle w:val="En-tte1"/>
          <w:rFonts w:eastAsiaTheme="minorHAnsi"/>
          <w:noProof/>
          <w:sz w:val="24"/>
        </w:rPr>
        <w:t>ατάξεις για τη δημιουργία ενός πλαισίου παρακολούθησης και αξιολόγησης, συμπεριλαμβανομένων των πληροφοριών για τα έργα που πρέπει να υποβάλλουν τα κράτη μέλη.</w:t>
      </w:r>
    </w:p>
    <w:p w:rsidR="00E506D3" w:rsidRDefault="00A1386A">
      <w:pPr>
        <w:pStyle w:val="Titrearticle"/>
        <w:rPr>
          <w:noProof/>
        </w:rPr>
      </w:pPr>
      <w:r>
        <w:rPr>
          <w:noProof/>
        </w:rPr>
        <w:t>Άρθρο 25</w:t>
      </w:r>
    </w:p>
    <w:p w:rsidR="00E506D3" w:rsidRDefault="00A1386A">
      <w:pPr>
        <w:keepNext/>
        <w:jc w:val="center"/>
        <w:rPr>
          <w:b/>
          <w:noProof/>
        </w:rPr>
      </w:pPr>
      <w:r>
        <w:rPr>
          <w:b/>
          <w:noProof/>
        </w:rPr>
        <w:t>Αξιολόγηση</w:t>
      </w:r>
    </w:p>
    <w:p w:rsidR="00E506D3" w:rsidRDefault="00A1386A">
      <w:pPr>
        <w:pStyle w:val="ManualNumPar1"/>
        <w:rPr>
          <w:noProof/>
        </w:rPr>
      </w:pPr>
      <w:r>
        <w:t>1.</w:t>
      </w:r>
      <w:r>
        <w:tab/>
      </w:r>
      <w:r>
        <w:rPr>
          <w:noProof/>
        </w:rPr>
        <w:t>Η Επιτροπή προβαίνει σε ενδιάμεση και σε αναδρομική αξιολόγηση της εφαρμο</w:t>
      </w:r>
      <w:r>
        <w:rPr>
          <w:noProof/>
        </w:rPr>
        <w:t>γής του παρόντος κανονισμού, συμπεριλαμβανομένων των δράσεων που υλοποιούνται στο πλαίσιο του παρόντος Ταμείου.</w:t>
      </w:r>
      <w:r>
        <w:rPr>
          <w:noProof/>
        </w:rPr>
        <w:noBreakHyphen/>
      </w:r>
    </w:p>
    <w:p w:rsidR="00E506D3" w:rsidRDefault="00A1386A">
      <w:pPr>
        <w:pStyle w:val="ManualNumPar1"/>
        <w:rPr>
          <w:noProof/>
        </w:rPr>
      </w:pPr>
      <w:r>
        <w:t>2.</w:t>
      </w:r>
      <w:r>
        <w:tab/>
      </w:r>
      <w:r>
        <w:rPr>
          <w:noProof/>
        </w:rPr>
        <w:t>Η ενδιάμεση αξιολόγηση και η αναδρομική αξιολόγηση διενεργούνται εγκαίρως ώστε να τροφοδοτούν με στοιχεία τη διαδικασία λήψης αποφάσεων, σύμ</w:t>
      </w:r>
      <w:r>
        <w:rPr>
          <w:noProof/>
        </w:rPr>
        <w:t>φωνα με το χρονοδιάγραμμα που καθορίζεται στο άρθρο 40 του κανονισμού (ΕΕ) αριθ. .../... [ΚΚΔ].</w:t>
      </w:r>
    </w:p>
    <w:p w:rsidR="00E506D3" w:rsidRDefault="00A1386A">
      <w:pPr>
        <w:pStyle w:val="Sectio"/>
        <w:rPr>
          <w:noProof/>
        </w:rPr>
      </w:pPr>
      <w:r>
        <w:rPr>
          <w:noProof/>
        </w:rPr>
        <w:t>Υποτμήμα 2 Κανόνες για την επιμερισμένη διαχείριση</w:t>
      </w:r>
    </w:p>
    <w:p w:rsidR="00E506D3" w:rsidRDefault="00A1386A">
      <w:pPr>
        <w:pStyle w:val="Titrearticle"/>
        <w:keepLines/>
        <w:rPr>
          <w:noProof/>
        </w:rPr>
      </w:pPr>
      <w:r>
        <w:rPr>
          <w:noProof/>
        </w:rPr>
        <w:t>Άρθρο 26</w:t>
      </w:r>
    </w:p>
    <w:p w:rsidR="00E506D3" w:rsidRDefault="00A1386A">
      <w:pPr>
        <w:keepNext/>
        <w:jc w:val="center"/>
        <w:rPr>
          <w:b/>
          <w:noProof/>
        </w:rPr>
      </w:pPr>
      <w:r>
        <w:rPr>
          <w:b/>
          <w:noProof/>
        </w:rPr>
        <w:t>Ετήσιες εκθέσεις επιδόσεων</w:t>
      </w:r>
    </w:p>
    <w:p w:rsidR="00E506D3" w:rsidRDefault="00A1386A">
      <w:pPr>
        <w:pStyle w:val="ManualNumPar1"/>
        <w:rPr>
          <w:noProof/>
        </w:rPr>
      </w:pPr>
      <w:r>
        <w:t>1.</w:t>
      </w:r>
      <w:r>
        <w:tab/>
      </w:r>
      <w:r>
        <w:rPr>
          <w:noProof/>
        </w:rPr>
        <w:t xml:space="preserve">Έως τις 15 Φεβρουαρίου 2023 και έως αυτή την ημερομηνία κάθε επόμενου </w:t>
      </w:r>
      <w:r>
        <w:rPr>
          <w:noProof/>
        </w:rPr>
        <w:t>έτους μέχρι και το 2031, τα κράτη μέλη υποβάλλουν στην Επιτροπή ετήσια έκθεση επιδόσεων όπως αναφέρεται στο άρθρο 36 παράγραφος 6 του κανονισμού (ΕΕ) .../2021 [ΚΚΔ]. Η έκθεση που θα υποβληθεί το 2023 θα καλύπτει την εφαρμογή του προγράμματος μέχρι τις 30 Ι</w:t>
      </w:r>
      <w:r>
        <w:rPr>
          <w:noProof/>
        </w:rPr>
        <w:t>ουνίου 2022.</w:t>
      </w:r>
    </w:p>
    <w:p w:rsidR="00E506D3" w:rsidRDefault="00A1386A">
      <w:pPr>
        <w:pStyle w:val="ManualNumPar1"/>
        <w:rPr>
          <w:noProof/>
        </w:rPr>
      </w:pPr>
      <w:r>
        <w:t>2.</w:t>
      </w:r>
      <w:r>
        <w:tab/>
      </w:r>
      <w:r>
        <w:rPr>
          <w:noProof/>
        </w:rPr>
        <w:t>Η ετήσια έκθεση επιδόσεων περιλαμβάνει ιδίως στοιχεία όσον αφορά:</w:t>
      </w:r>
    </w:p>
    <w:p w:rsidR="00E506D3" w:rsidRDefault="00A1386A">
      <w:pPr>
        <w:pStyle w:val="Point1"/>
        <w:rPr>
          <w:noProof/>
        </w:rPr>
      </w:pPr>
      <w:r>
        <w:rPr>
          <w:noProof/>
        </w:rPr>
        <w:t>α)</w:t>
      </w:r>
      <w:r>
        <w:rPr>
          <w:noProof/>
        </w:rPr>
        <w:tab/>
        <w:t xml:space="preserve">την πρόοδο κατά την εφαρμογή του προγράμματος και την επίτευξη των ορόσημων και των στόχων, λαμβανομένων υπόψη των πλέον πρόσφατων στοιχείων, όπως απαιτείται από το άρθρο </w:t>
      </w:r>
      <w:r>
        <w:rPr>
          <w:noProof/>
        </w:rPr>
        <w:t>37 του κανονισμού (ΕΕ) .... [ΚΚΔ]·</w:t>
      </w:r>
    </w:p>
    <w:p w:rsidR="00E506D3" w:rsidRDefault="00A1386A">
      <w:pPr>
        <w:pStyle w:val="Point1"/>
        <w:rPr>
          <w:noProof/>
        </w:rPr>
      </w:pPr>
      <w:r>
        <w:rPr>
          <w:noProof/>
        </w:rPr>
        <w:t>β)</w:t>
      </w:r>
      <w:r>
        <w:rPr>
          <w:noProof/>
        </w:rPr>
        <w:tab/>
        <w:t>οποιοδήποτε ζήτημα που επηρεάζει την επίδοση του προγράμματος και τα μέτρα που λαμβάνονται για την αντιμετώπισή του·</w:t>
      </w:r>
    </w:p>
    <w:p w:rsidR="00E506D3" w:rsidRDefault="00A1386A">
      <w:pPr>
        <w:pStyle w:val="Point1"/>
        <w:rPr>
          <w:noProof/>
        </w:rPr>
      </w:pPr>
      <w:r>
        <w:rPr>
          <w:noProof/>
        </w:rPr>
        <w:t>γ)</w:t>
      </w:r>
      <w:r>
        <w:rPr>
          <w:noProof/>
        </w:rPr>
        <w:tab/>
        <w:t>τη συμπληρωματικότητα μεταξύ των δράσεων που χρηματοδοτούνται από το Ταμείο και τη στήριξη που παρ</w:t>
      </w:r>
      <w:r>
        <w:rPr>
          <w:noProof/>
        </w:rPr>
        <w:t>έχεται από άλλα ταμεία της Ένωσης, και ιδίως εκείνες στις ή σε σχέση με τις τρίτες χώρες·</w:t>
      </w:r>
    </w:p>
    <w:p w:rsidR="00E506D3" w:rsidRDefault="00A1386A">
      <w:pPr>
        <w:pStyle w:val="Point1"/>
        <w:rPr>
          <w:noProof/>
        </w:rPr>
      </w:pPr>
      <w:r>
        <w:rPr>
          <w:noProof/>
        </w:rPr>
        <w:t>δ)</w:t>
      </w:r>
      <w:r>
        <w:rPr>
          <w:noProof/>
        </w:rPr>
        <w:tab/>
        <w:t>τη συμβολή του προγράμματος στην εφαρμογή του σχετικού ενωσιακού κεκτημένου και σχεδίων δράσης·</w:t>
      </w:r>
    </w:p>
    <w:p w:rsidR="00E506D3" w:rsidRDefault="00A1386A">
      <w:pPr>
        <w:pStyle w:val="Point1"/>
        <w:rPr>
          <w:noProof/>
        </w:rPr>
      </w:pPr>
      <w:r>
        <w:rPr>
          <w:noProof/>
        </w:rPr>
        <w:t>ε)</w:t>
      </w:r>
      <w:r>
        <w:rPr>
          <w:noProof/>
        </w:rPr>
        <w:tab/>
        <w:t>την υλοποίηση δράσεων επικοινωνίας και προβολής·</w:t>
      </w:r>
    </w:p>
    <w:p w:rsidR="00E506D3" w:rsidRDefault="00A1386A">
      <w:pPr>
        <w:pStyle w:val="Point1"/>
        <w:rPr>
          <w:noProof/>
        </w:rPr>
      </w:pPr>
      <w:r>
        <w:rPr>
          <w:noProof/>
        </w:rPr>
        <w:t>στ)</w:t>
      </w:r>
      <w:r>
        <w:rPr>
          <w:noProof/>
        </w:rPr>
        <w:tab/>
        <w:t>την εκπλήρω</w:t>
      </w:r>
      <w:r>
        <w:rPr>
          <w:noProof/>
        </w:rPr>
        <w:t>ση των ευνοϊκών προϋποθέσεων και την εφαρμογή τους καθ’ όλη τη διάρκεια της περιόδου προγραμματισμού·</w:t>
      </w:r>
    </w:p>
    <w:p w:rsidR="00E506D3" w:rsidRDefault="00A1386A">
      <w:pPr>
        <w:pStyle w:val="ManualNumPar1"/>
        <w:rPr>
          <w:noProof/>
        </w:rPr>
      </w:pPr>
      <w:r>
        <w:t>3.</w:t>
      </w:r>
      <w:r>
        <w:tab/>
      </w:r>
      <w:r>
        <w:rPr>
          <w:noProof/>
        </w:rPr>
        <w:t>Η Επιτροπή μπορεί να υποβάλει παρατηρήσεις σχετικά με την ετήσια έκθεση επιδόσεων εντός δύο μηνών από την ημερομηνία της παραλαβής της. Όταν η Επιτροπή</w:t>
      </w:r>
      <w:r>
        <w:rPr>
          <w:noProof/>
        </w:rPr>
        <w:t xml:space="preserve"> δεν κοινοποιεί παρατηρήσεις εντός αυτής της προθεσμίας, οι εκθέσεις θεωρείται ότι έχουν γίνει αποδεκτές.</w:t>
      </w:r>
    </w:p>
    <w:p w:rsidR="00E506D3" w:rsidRDefault="00A1386A">
      <w:pPr>
        <w:pStyle w:val="ManualNumPar1"/>
        <w:rPr>
          <w:noProof/>
        </w:rPr>
      </w:pPr>
      <w:r>
        <w:t>4.</w:t>
      </w:r>
      <w:r>
        <w:tab/>
      </w:r>
      <w:r>
        <w:rPr>
          <w:noProof/>
        </w:rPr>
        <w:t xml:space="preserve">Προκειμένου να διασφαλιστούν ενιαίες προϋποθέσεις για την εφαρμογή του παρόντος άρθρου, η Επιτροπή εκδίδει εκτελεστική πράξη για τον καθορισμό του </w:t>
      </w:r>
      <w:r>
        <w:rPr>
          <w:noProof/>
        </w:rPr>
        <w:t>υποδείγματος για την ετήσια έκθεση επιδόσεων. Η εν λόγω εκτελεστική πράξη εκδίδεται με τη συμβουλευτική διαδικασία που προβλέπεται στο άρθρο 29 παράγραφος 2.</w:t>
      </w:r>
    </w:p>
    <w:p w:rsidR="00E506D3" w:rsidRDefault="00A1386A">
      <w:pPr>
        <w:pStyle w:val="Titrearticle"/>
        <w:rPr>
          <w:noProof/>
        </w:rPr>
      </w:pPr>
      <w:r>
        <w:rPr>
          <w:noProof/>
        </w:rPr>
        <w:t>Άρθρο 27</w:t>
      </w:r>
    </w:p>
    <w:p w:rsidR="00E506D3" w:rsidRDefault="00A1386A">
      <w:pPr>
        <w:keepNext/>
        <w:jc w:val="center"/>
        <w:rPr>
          <w:b/>
          <w:noProof/>
        </w:rPr>
      </w:pPr>
      <w:r>
        <w:rPr>
          <w:b/>
          <w:noProof/>
        </w:rPr>
        <w:t>Παρακολούθηση και υποβολή εκθέσεων</w:t>
      </w:r>
    </w:p>
    <w:p w:rsidR="00E506D3" w:rsidRDefault="00A1386A">
      <w:pPr>
        <w:pStyle w:val="ManualNumPar1"/>
        <w:rPr>
          <w:rStyle w:val="En-tte1"/>
          <w:rFonts w:eastAsiaTheme="minorHAnsi"/>
          <w:noProof/>
          <w:szCs w:val="24"/>
        </w:rPr>
      </w:pPr>
      <w:r>
        <w:rPr>
          <w:rStyle w:val="En-tte1"/>
          <w:rFonts w:eastAsiaTheme="minorHAnsi"/>
        </w:rPr>
        <w:t>1.</w:t>
      </w:r>
      <w:r>
        <w:rPr>
          <w:rStyle w:val="En-tte1"/>
          <w:rFonts w:eastAsiaTheme="minorHAnsi"/>
        </w:rPr>
        <w:tab/>
      </w:r>
      <w:r>
        <w:rPr>
          <w:noProof/>
        </w:rPr>
        <w:t>Η παρακολούθηση και η υποβολή εκθέσεων σύμφωνα με τ</w:t>
      </w:r>
      <w:r>
        <w:rPr>
          <w:noProof/>
        </w:rPr>
        <w:t>ις διατάξεις του τίτλου IV του κανονισμού (ΕΕ).../... [ΚΚΔ] βασίζονται στους τύπους παρέμβασης που καθορίζονται στους πίνακες 1, 2 και 3 του παραρτήματος VI. Για την αντιμετώπιση απρόβλεπτων ή νέων περιστάσεων ή για να διασφαλιστεί η αποτελεσματική εφαρμογ</w:t>
      </w:r>
      <w:r>
        <w:rPr>
          <w:noProof/>
        </w:rPr>
        <w:t>ή της χρηματοδότησης, η Επιτροπή εξουσιοδοτείται να εκδίδει κατ’ εξουσιοδότηση πράξεις για την τροποποίηση του παραρτήματος VI σύμφωνα με το άρθρο 28.</w:t>
      </w:r>
    </w:p>
    <w:p w:rsidR="00E506D3" w:rsidRDefault="00A1386A">
      <w:pPr>
        <w:pStyle w:val="ManualNumPar1"/>
        <w:rPr>
          <w:rStyle w:val="En-tte1"/>
          <w:rFonts w:eastAsiaTheme="minorHAnsi"/>
          <w:noProof/>
          <w:sz w:val="24"/>
        </w:rPr>
      </w:pPr>
      <w:bookmarkStart w:id="7" w:name="_Toc488508094"/>
      <w:bookmarkStart w:id="8" w:name="_Toc488508896"/>
      <w:bookmarkStart w:id="9" w:name="_Toc491098053"/>
      <w:bookmarkStart w:id="10" w:name="_Toc491098662"/>
      <w:bookmarkStart w:id="11" w:name="_Toc491099052"/>
      <w:r>
        <w:rPr>
          <w:rStyle w:val="En-tte1"/>
          <w:rFonts w:eastAsiaTheme="minorHAnsi"/>
        </w:rPr>
        <w:t>2.</w:t>
      </w:r>
      <w:r>
        <w:rPr>
          <w:rStyle w:val="En-tte1"/>
          <w:rFonts w:eastAsiaTheme="minorHAnsi"/>
        </w:rPr>
        <w:tab/>
      </w:r>
      <w:r>
        <w:rPr>
          <w:rStyle w:val="En-tte1"/>
          <w:rFonts w:eastAsiaTheme="minorHAnsi"/>
          <w:noProof/>
          <w:sz w:val="24"/>
        </w:rPr>
        <w:t>Οι δείκτες χρησιμοποιούνται σύμφωνα με το άρθρο 12 παράγραφος 1, και τα άρθρα 17 και 37 του κανονισμού</w:t>
      </w:r>
      <w:r>
        <w:rPr>
          <w:rStyle w:val="En-tte1"/>
          <w:rFonts w:eastAsiaTheme="minorHAnsi"/>
          <w:noProof/>
          <w:sz w:val="24"/>
        </w:rPr>
        <w:t xml:space="preserve"> (ΕΕ) .... [ΚΚΔ].</w:t>
      </w:r>
    </w:p>
    <w:p w:rsidR="00E506D3" w:rsidRDefault="00A1386A">
      <w:pPr>
        <w:pStyle w:val="ChapterTitle"/>
        <w:rPr>
          <w:noProof/>
        </w:rPr>
      </w:pPr>
      <w:r>
        <w:rPr>
          <w:noProof/>
        </w:rPr>
        <w:t>ΚΕΦΑΛΑΙΟ III</w:t>
      </w:r>
      <w:r>
        <w:rPr>
          <w:noProof/>
        </w:rPr>
        <w:br/>
      </w:r>
      <w:r>
        <w:rPr>
          <w:noProof/>
        </w:rPr>
        <w:br/>
        <w:t>ΜΕΤΑΒΑΤΙΚΕΣ ΚΑΙ ΤΕΛΙΚΕΣ ΔΙΑΤΑΞΕΙΣ</w:t>
      </w:r>
      <w:bookmarkEnd w:id="7"/>
      <w:bookmarkEnd w:id="8"/>
      <w:bookmarkEnd w:id="9"/>
      <w:bookmarkEnd w:id="10"/>
      <w:bookmarkEnd w:id="11"/>
    </w:p>
    <w:p w:rsidR="00E506D3" w:rsidRDefault="00A1386A">
      <w:pPr>
        <w:pStyle w:val="Titrearticle"/>
        <w:rPr>
          <w:noProof/>
        </w:rPr>
      </w:pPr>
      <w:r>
        <w:rPr>
          <w:noProof/>
        </w:rPr>
        <w:t>Άρθρο 28</w:t>
      </w:r>
    </w:p>
    <w:p w:rsidR="00E506D3" w:rsidRDefault="00A1386A">
      <w:pPr>
        <w:keepNext/>
        <w:jc w:val="center"/>
        <w:rPr>
          <w:b/>
          <w:noProof/>
        </w:rPr>
      </w:pPr>
      <w:r>
        <w:rPr>
          <w:b/>
          <w:noProof/>
        </w:rPr>
        <w:t>Άσκηση της εξουσιοδότησης</w:t>
      </w:r>
    </w:p>
    <w:p w:rsidR="00E506D3" w:rsidRDefault="00A1386A">
      <w:pPr>
        <w:pStyle w:val="ManualNumPar1"/>
        <w:rPr>
          <w:rStyle w:val="En-tte1"/>
          <w:rFonts w:eastAsiaTheme="minorHAnsi"/>
          <w:noProof/>
          <w:sz w:val="24"/>
          <w:szCs w:val="24"/>
        </w:rPr>
      </w:pPr>
      <w:r>
        <w:rPr>
          <w:rStyle w:val="En-tte1"/>
          <w:rFonts w:eastAsiaTheme="minorHAnsi"/>
        </w:rPr>
        <w:t>1.</w:t>
      </w:r>
      <w:r>
        <w:rPr>
          <w:rStyle w:val="En-tte1"/>
          <w:rFonts w:eastAsiaTheme="minorHAnsi"/>
        </w:rPr>
        <w:tab/>
      </w:r>
      <w:r>
        <w:rPr>
          <w:rStyle w:val="En-tte1"/>
          <w:rFonts w:eastAsiaTheme="minorHAnsi"/>
          <w:noProof/>
          <w:sz w:val="24"/>
        </w:rPr>
        <w:t>Ανατίθεται στην Επιτροπή η εξουσία έκδοσης κατ’ εξουσιοδότηση πράξεων υπό τις προϋποθέσεις του παρόντος άρθρου.</w:t>
      </w:r>
    </w:p>
    <w:p w:rsidR="00E506D3" w:rsidRDefault="00A1386A">
      <w:pPr>
        <w:pStyle w:val="ManualNumPar1"/>
        <w:rPr>
          <w:rStyle w:val="En-tte1"/>
          <w:rFonts w:eastAsiaTheme="minorHAnsi"/>
          <w:noProof/>
          <w:sz w:val="24"/>
          <w:szCs w:val="24"/>
        </w:rPr>
      </w:pPr>
      <w:r>
        <w:rPr>
          <w:rStyle w:val="En-tte1"/>
          <w:rFonts w:eastAsiaTheme="minorHAnsi"/>
        </w:rPr>
        <w:t>2.</w:t>
      </w:r>
      <w:r>
        <w:rPr>
          <w:rStyle w:val="En-tte1"/>
          <w:rFonts w:eastAsiaTheme="minorHAnsi"/>
        </w:rPr>
        <w:tab/>
      </w:r>
      <w:r>
        <w:rPr>
          <w:rStyle w:val="En-tte1"/>
          <w:rFonts w:eastAsiaTheme="minorHAnsi"/>
          <w:noProof/>
          <w:sz w:val="24"/>
        </w:rPr>
        <w:t>Η εξουσία για την έκδοση των κατ’ εξο</w:t>
      </w:r>
      <w:r>
        <w:rPr>
          <w:rStyle w:val="En-tte1"/>
          <w:rFonts w:eastAsiaTheme="minorHAnsi"/>
          <w:noProof/>
          <w:sz w:val="24"/>
        </w:rPr>
        <w:t>υσιοδότηση πράξεων στις οποίες αναφέρονται τα άρθρα 12, 15, 24 και 27, ανατίθεται στην Επιτροπή έως τις 31 Δεκεμβρίου 2028.</w:t>
      </w:r>
    </w:p>
    <w:p w:rsidR="00E506D3" w:rsidRDefault="00A1386A">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Το Ευρωπαϊκό Κοινοβούλιο ή το Συμβούλιο δύναται να ανακαλέσει ανά πάσα στιγμή την ανάθεση αρμοδιοτήτων που αναφέρεται στα άρθρα 1</w:t>
      </w:r>
      <w:r>
        <w:rPr>
          <w:rStyle w:val="En-tte1"/>
          <w:rFonts w:eastAsiaTheme="minorHAnsi"/>
          <w:noProof/>
          <w:sz w:val="24"/>
        </w:rPr>
        <w:t xml:space="preserve">2, 15, 24 και 27. Η απόφαση ανάκλησης περατώνει την εξουσιοδότηση που προσδιορίζεται στην εν λόγω απόφαση. Αρχίζει να ισχύει την επομένη της δημοσίευσης της απόφασης στην </w:t>
      </w:r>
      <w:r>
        <w:rPr>
          <w:rStyle w:val="En-tte1"/>
          <w:rFonts w:eastAsiaTheme="minorHAnsi"/>
          <w:i/>
          <w:noProof/>
          <w:sz w:val="24"/>
        </w:rPr>
        <w:t>Επίσημη Εφημερίδα της Ευρωπαϊκής Ένωσης</w:t>
      </w:r>
      <w:r>
        <w:rPr>
          <w:rStyle w:val="En-tte1"/>
          <w:rFonts w:eastAsiaTheme="minorHAnsi"/>
          <w:noProof/>
          <w:sz w:val="24"/>
        </w:rPr>
        <w:t xml:space="preserve"> ή σε μεταγενέστερη ημερομηνία την οποία ορίζε</w:t>
      </w:r>
      <w:r>
        <w:rPr>
          <w:rStyle w:val="En-tte1"/>
          <w:rFonts w:eastAsiaTheme="minorHAnsi"/>
          <w:noProof/>
          <w:sz w:val="24"/>
        </w:rPr>
        <w:t>ι η απόφαση. Δεν θίγει το κύρος των κατ' εξουσιοδότηση πράξεων που ήδη ισχύουν.</w:t>
      </w:r>
    </w:p>
    <w:p w:rsidR="00E506D3" w:rsidRDefault="00A1386A">
      <w:pPr>
        <w:pStyle w:val="ManualNumPar1"/>
        <w:rPr>
          <w:rStyle w:val="En-tte1"/>
          <w:rFonts w:eastAsiaTheme="minorHAnsi"/>
          <w:noProof/>
          <w:sz w:val="24"/>
          <w:szCs w:val="24"/>
        </w:rPr>
      </w:pPr>
      <w:r>
        <w:rPr>
          <w:rStyle w:val="En-tte1"/>
          <w:rFonts w:eastAsiaTheme="minorHAnsi"/>
        </w:rPr>
        <w:t>4.</w:t>
      </w:r>
      <w:r>
        <w:rPr>
          <w:rStyle w:val="En-tte1"/>
          <w:rFonts w:eastAsiaTheme="minorHAnsi"/>
        </w:rPr>
        <w:tab/>
      </w:r>
      <w:r>
        <w:rPr>
          <w:rStyle w:val="En-tte1"/>
          <w:rFonts w:eastAsiaTheme="minorHAnsi"/>
          <w:noProof/>
          <w:sz w:val="24"/>
        </w:rPr>
        <w:t>Πριν από την έκδοση κατ’ εξουσιοδότηση πράξης η Επιτροπή διαβουλεύεται με εμπειρογνώμονες που ορίζονται από κάθε κράτος μέλος σύμφωνα με τις αρχές που ορίζονται στη διοργανι</w:t>
      </w:r>
      <w:r>
        <w:rPr>
          <w:rStyle w:val="En-tte1"/>
          <w:rFonts w:eastAsiaTheme="minorHAnsi"/>
          <w:noProof/>
          <w:sz w:val="24"/>
        </w:rPr>
        <w:t>κή συμφωνία για τη βελτίωση της νομοθεσίας της 13ης Απριλίου 2016.</w:t>
      </w:r>
    </w:p>
    <w:p w:rsidR="00E506D3" w:rsidRDefault="00A1386A">
      <w:pPr>
        <w:pStyle w:val="ManualNumPar1"/>
        <w:rPr>
          <w:rStyle w:val="En-tte1"/>
          <w:rFonts w:eastAsiaTheme="minorHAnsi"/>
          <w:noProof/>
          <w:sz w:val="24"/>
          <w:szCs w:val="24"/>
        </w:rPr>
      </w:pPr>
      <w:r>
        <w:rPr>
          <w:rStyle w:val="En-tte1"/>
          <w:rFonts w:eastAsiaTheme="minorHAnsi"/>
        </w:rPr>
        <w:t>5.</w:t>
      </w:r>
      <w:r>
        <w:rPr>
          <w:rStyle w:val="En-tte1"/>
          <w:rFonts w:eastAsiaTheme="minorHAnsi"/>
        </w:rPr>
        <w:tab/>
      </w:r>
      <w:r>
        <w:rPr>
          <w:rStyle w:val="En-tte1"/>
          <w:rFonts w:eastAsiaTheme="minorHAnsi"/>
          <w:noProof/>
          <w:sz w:val="24"/>
        </w:rPr>
        <w:t>Μόλις εκδώσει μια κατ’ εξουσιοδότηση πράξη, η Επιτροπή την κοινοποιεί ταυτόχρονα στο Ευρωπαϊκό Κοινοβούλιο και στο Συμβούλιο.</w:t>
      </w:r>
    </w:p>
    <w:p w:rsidR="00E506D3" w:rsidRDefault="00A1386A">
      <w:pPr>
        <w:pStyle w:val="ManualNumPar1"/>
        <w:rPr>
          <w:noProof/>
          <w:szCs w:val="24"/>
        </w:rPr>
      </w:pPr>
      <w:r>
        <w:t>6.</w:t>
      </w:r>
      <w:r>
        <w:tab/>
      </w:r>
      <w:r>
        <w:rPr>
          <w:rStyle w:val="En-tte1"/>
          <w:rFonts w:eastAsiaTheme="minorHAnsi"/>
          <w:noProof/>
          <w:sz w:val="24"/>
        </w:rPr>
        <w:t xml:space="preserve">Η κατ’ εξουσιοδότηση πράξη που εκδίδεται δυνάμει των </w:t>
      </w:r>
      <w:r>
        <w:rPr>
          <w:rStyle w:val="En-tte1"/>
          <w:rFonts w:eastAsiaTheme="minorHAnsi"/>
          <w:noProof/>
          <w:sz w:val="24"/>
        </w:rPr>
        <w:t>άρθρων 12, 15, 24 και 27 αρχίζει να ισχύει μόνο εφόσον δεν διατυπωθεί αντίρρηση από το Ευρωπαϊκό Κοινοβούλιο ή το Συμβούλιο εντός δύο μηνών από την κοινοποίηση της πράξης ή εάν, πριν εκπνεύσει αυτή η περίοδος, το Ευρωπαϊκό Κοινοβούλιο και το Συμβούλιο ενημ</w:t>
      </w:r>
      <w:r>
        <w:rPr>
          <w:rStyle w:val="En-tte1"/>
          <w:rFonts w:eastAsiaTheme="minorHAnsi"/>
          <w:noProof/>
          <w:sz w:val="24"/>
        </w:rPr>
        <w:t>ερώσουν αμφότερα την Επιτροπή ότι δεν θα προβάλουν αντιρρήσεις. Η εν λόγω προθεσμία παρατείνεται κατά δύο μήνες με πρωτοβουλία του Ευρωπαϊκού Κοινοβουλίου ή του Συμβουλίου.</w:t>
      </w:r>
    </w:p>
    <w:p w:rsidR="00E506D3" w:rsidRDefault="00A1386A">
      <w:pPr>
        <w:pStyle w:val="Titrearticle"/>
        <w:rPr>
          <w:noProof/>
        </w:rPr>
      </w:pPr>
      <w:r>
        <w:rPr>
          <w:noProof/>
        </w:rPr>
        <w:t>Άρθρο 29</w:t>
      </w:r>
    </w:p>
    <w:p w:rsidR="00E506D3" w:rsidRDefault="00A1386A">
      <w:pPr>
        <w:keepNext/>
        <w:jc w:val="center"/>
        <w:rPr>
          <w:b/>
          <w:noProof/>
        </w:rPr>
      </w:pPr>
      <w:r>
        <w:rPr>
          <w:b/>
          <w:noProof/>
        </w:rPr>
        <w:t>Διαδικασία επιτροπής</w:t>
      </w:r>
    </w:p>
    <w:p w:rsidR="00E506D3" w:rsidRDefault="00A1386A">
      <w:pPr>
        <w:pStyle w:val="ManualNumPar1"/>
        <w:rPr>
          <w:rStyle w:val="En-tte1"/>
          <w:rFonts w:eastAsiaTheme="minorHAnsi"/>
          <w:noProof/>
          <w:sz w:val="24"/>
          <w:szCs w:val="24"/>
        </w:rPr>
      </w:pPr>
      <w:r>
        <w:rPr>
          <w:rStyle w:val="En-tte1"/>
          <w:rFonts w:eastAsiaTheme="minorHAnsi"/>
        </w:rPr>
        <w:t>1.</w:t>
      </w:r>
      <w:r>
        <w:rPr>
          <w:rStyle w:val="En-tte1"/>
          <w:rFonts w:eastAsiaTheme="minorHAnsi"/>
        </w:rPr>
        <w:tab/>
      </w:r>
      <w:r>
        <w:rPr>
          <w:rStyle w:val="En-tte1"/>
          <w:rFonts w:eastAsiaTheme="minorHAnsi"/>
          <w:noProof/>
          <w:sz w:val="24"/>
        </w:rPr>
        <w:t>Η Επιτροπή επικουρείται από επιτροπή συντονισμού γ</w:t>
      </w:r>
      <w:r>
        <w:rPr>
          <w:rStyle w:val="En-tte1"/>
          <w:rFonts w:eastAsiaTheme="minorHAnsi"/>
          <w:noProof/>
          <w:sz w:val="24"/>
        </w:rPr>
        <w:t>ια το Ταμείο Ασύλου και Μετανάστευσης, το Ταμείο Εσωτερικής Ασφάλειας και το μέσο για τη διαχείριση των συνόρων και των θεωρήσεων. Η εν λόγω επιτροπή αποτελεί επιτροπή κατά την έννοια του κανονισμού (ΕΕ) αριθ. 182/2011.</w:t>
      </w:r>
    </w:p>
    <w:p w:rsidR="00E506D3" w:rsidRDefault="00A1386A">
      <w:pPr>
        <w:pStyle w:val="ManualNumPar1"/>
        <w:rPr>
          <w:rStyle w:val="En-tte1"/>
          <w:rFonts w:eastAsiaTheme="minorHAnsi"/>
          <w:noProof/>
          <w:sz w:val="24"/>
          <w:szCs w:val="24"/>
        </w:rPr>
      </w:pPr>
      <w:r>
        <w:rPr>
          <w:rStyle w:val="En-tte1"/>
          <w:rFonts w:eastAsiaTheme="minorHAnsi"/>
        </w:rPr>
        <w:t>2.</w:t>
      </w:r>
      <w:r>
        <w:rPr>
          <w:rStyle w:val="En-tte1"/>
          <w:rFonts w:eastAsiaTheme="minorHAnsi"/>
        </w:rPr>
        <w:tab/>
      </w:r>
      <w:r>
        <w:rPr>
          <w:rStyle w:val="En-tte1"/>
          <w:rFonts w:eastAsiaTheme="minorHAnsi"/>
          <w:noProof/>
          <w:sz w:val="24"/>
        </w:rPr>
        <w:t>Όποτε γίνεται αναφορά στην παρούσ</w:t>
      </w:r>
      <w:r>
        <w:rPr>
          <w:rStyle w:val="En-tte1"/>
          <w:rFonts w:eastAsiaTheme="minorHAnsi"/>
          <w:noProof/>
          <w:sz w:val="24"/>
        </w:rPr>
        <w:t>α παράγραφο, εφαρμόζεται το άρθρο 4 του κανονισμού (ΕΕ) αριθ. 182/2011.</w:t>
      </w:r>
    </w:p>
    <w:p w:rsidR="00E506D3" w:rsidRDefault="00A1386A">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Εάν η επιτροπή δεν εκδώσει γνώμη, η Επιτροπή δεν εγκρίνει το σχέδιο εκτελεστικής πράξης. Αυτό δεν ισχύει για την έκδοση της εκτελεστικής πράξης που αναφέρεται στο άρθρο 26 παράγραφο</w:t>
      </w:r>
      <w:r>
        <w:rPr>
          <w:rStyle w:val="En-tte1"/>
          <w:rFonts w:eastAsiaTheme="minorHAnsi"/>
          <w:noProof/>
          <w:sz w:val="24"/>
        </w:rPr>
        <w:t>ς 4.</w:t>
      </w:r>
    </w:p>
    <w:p w:rsidR="00E506D3" w:rsidRDefault="00A1386A">
      <w:pPr>
        <w:pStyle w:val="Titrearticle"/>
        <w:rPr>
          <w:noProof/>
        </w:rPr>
      </w:pPr>
      <w:r>
        <w:rPr>
          <w:noProof/>
        </w:rPr>
        <w:t>Άρθρο 30</w:t>
      </w:r>
    </w:p>
    <w:p w:rsidR="00E506D3" w:rsidRDefault="00A1386A">
      <w:pPr>
        <w:keepNext/>
        <w:jc w:val="center"/>
        <w:rPr>
          <w:b/>
          <w:noProof/>
        </w:rPr>
      </w:pPr>
      <w:r>
        <w:rPr>
          <w:b/>
          <w:noProof/>
        </w:rPr>
        <w:t>Μεταβατικές διατάξεις</w:t>
      </w:r>
    </w:p>
    <w:p w:rsidR="00E506D3" w:rsidRDefault="00A1386A">
      <w:pPr>
        <w:pStyle w:val="ManualNumPar1"/>
        <w:rPr>
          <w:noProof/>
        </w:rPr>
      </w:pPr>
      <w:r>
        <w:t>1.</w:t>
      </w:r>
      <w:r>
        <w:tab/>
      </w:r>
      <w:r>
        <w:rPr>
          <w:noProof/>
        </w:rPr>
        <w:t>Ο κανονισμός (ΕΕ) αριθ. 513/2014 καταργείται με ισχύ από την 1η Ιανουαρίου 2021.</w:t>
      </w:r>
    </w:p>
    <w:p w:rsidR="00E506D3" w:rsidRDefault="00A1386A">
      <w:pPr>
        <w:pStyle w:val="ManualNumPar1"/>
        <w:rPr>
          <w:noProof/>
        </w:rPr>
      </w:pPr>
      <w:r>
        <w:t>2.</w:t>
      </w:r>
      <w:r>
        <w:tab/>
      </w:r>
      <w:r>
        <w:rPr>
          <w:noProof/>
        </w:rPr>
        <w:t>Με την επιφύλαξη της παραγράφου 1, ο παρών κανονισμός δεν θίγει τη συνέχιση ή την τροποποίηση των σχετικών δράσεων, μέχρι την περάτωσ</w:t>
      </w:r>
      <w:r>
        <w:rPr>
          <w:noProof/>
        </w:rPr>
        <w:t xml:space="preserve">ή τους, δυνάμει </w:t>
      </w:r>
      <w:r>
        <w:rPr>
          <w:noProof/>
          <w:color w:val="1A171C"/>
        </w:rPr>
        <w:t>του αστυνομικού μέσου του Ταμείου Εσωτερικής Ασφάλειας,</w:t>
      </w:r>
      <w:r>
        <w:rPr>
          <w:noProof/>
        </w:rPr>
        <w:t xml:space="preserve"> που εξακολουθεί να εφαρμόζεται στις εν λόγω δράσεις μέχρι την περάτωσή τους.</w:t>
      </w:r>
    </w:p>
    <w:p w:rsidR="00E506D3" w:rsidRDefault="00A1386A">
      <w:pPr>
        <w:pStyle w:val="ManualNumPar1"/>
        <w:rPr>
          <w:noProof/>
        </w:rPr>
      </w:pPr>
      <w:r>
        <w:t>3.</w:t>
      </w:r>
      <w:r>
        <w:tab/>
      </w:r>
      <w:r>
        <w:rPr>
          <w:noProof/>
        </w:rPr>
        <w:t>Το χρηματοδοτικό κονδύλιο για το Ταμείο μπορεί επίσης να καλύπτει τις δαπάνες τεχνικής και διοικητικής β</w:t>
      </w:r>
      <w:r>
        <w:rPr>
          <w:noProof/>
        </w:rPr>
        <w:t xml:space="preserve">οήθειας που απαιτούνται για να εξασφαλισθεί η μετάβαση μεταξύ του Ταμείου και των μέτρων που εγκρίθηκαν στο πλαίσιο του προηγούμενου μέσου, </w:t>
      </w:r>
      <w:r>
        <w:rPr>
          <w:noProof/>
          <w:color w:val="1A171C"/>
        </w:rPr>
        <w:t>το αστυνομικό μέσο του Ταμείου Εσωτερικής Ασφάλειας</w:t>
      </w:r>
      <w:r>
        <w:rPr>
          <w:noProof/>
        </w:rPr>
        <w:t xml:space="preserve"> που θεσπίστηκε με τον κανονισμό (ΕΕ) αριθ. 513/2014.</w:t>
      </w:r>
    </w:p>
    <w:p w:rsidR="00E506D3" w:rsidRDefault="00A1386A">
      <w:pPr>
        <w:pStyle w:val="Titrearticle"/>
        <w:rPr>
          <w:noProof/>
        </w:rPr>
      </w:pPr>
      <w:r>
        <w:rPr>
          <w:noProof/>
        </w:rPr>
        <w:t>Άρθρο 31</w:t>
      </w:r>
    </w:p>
    <w:p w:rsidR="00E506D3" w:rsidRDefault="00A1386A">
      <w:pPr>
        <w:keepNext/>
        <w:jc w:val="center"/>
        <w:rPr>
          <w:b/>
          <w:noProof/>
        </w:rPr>
      </w:pPr>
      <w:r>
        <w:rPr>
          <w:b/>
          <w:noProof/>
        </w:rPr>
        <w:t>Έν</w:t>
      </w:r>
      <w:r>
        <w:rPr>
          <w:b/>
          <w:noProof/>
        </w:rPr>
        <w:t>αρξη ισχύος και εφαρμογή</w:t>
      </w:r>
    </w:p>
    <w:p w:rsidR="00E506D3" w:rsidRDefault="00A1386A">
      <w:pPr>
        <w:rPr>
          <w:rFonts w:ascii="EC Square Sans Cond Pro" w:hAnsi="EC Square Sans Cond Pro"/>
          <w:noProof/>
          <w:szCs w:val="24"/>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rsidR="00E506D3" w:rsidRDefault="00A1386A">
      <w:pPr>
        <w:rPr>
          <w:noProof/>
          <w:szCs w:val="24"/>
        </w:rPr>
      </w:pPr>
      <w:r>
        <w:rPr>
          <w:rStyle w:val="Corpsdutexte"/>
          <w:rFonts w:eastAsiaTheme="minorHAnsi"/>
          <w:noProof/>
          <w:sz w:val="24"/>
        </w:rPr>
        <w:t xml:space="preserve">Εφαρμόζεται από την </w:t>
      </w:r>
      <w:r>
        <w:rPr>
          <w:noProof/>
          <w:color w:val="0070C0"/>
        </w:rPr>
        <w:t>1η Ιανουαρίου 2021</w:t>
      </w:r>
      <w:r>
        <w:rPr>
          <w:rStyle w:val="Corpsdutexte"/>
          <w:rFonts w:eastAsiaTheme="minorHAnsi"/>
          <w:noProof/>
          <w:sz w:val="24"/>
        </w:rPr>
        <w:t>.</w:t>
      </w:r>
    </w:p>
    <w:p w:rsidR="00E506D3" w:rsidRDefault="00A1386A">
      <w:pPr>
        <w:pStyle w:val="Applicationdirecte"/>
        <w:spacing w:before="120"/>
        <w:rPr>
          <w:noProof/>
        </w:rPr>
      </w:pPr>
      <w:r>
        <w:rPr>
          <w:noProof/>
        </w:rPr>
        <w:t xml:space="preserve">Ο παρών κανονισμός είναι δεσμευτικός ως προς όλα τα μέρη του και </w:t>
      </w:r>
      <w:r>
        <w:rPr>
          <w:noProof/>
        </w:rPr>
        <w:t>ισχύει άμεσα στα κράτη μέλη σύμφωνα με τις Συνθήκες.</w:t>
      </w:r>
    </w:p>
    <w:p w:rsidR="00E506D3" w:rsidRDefault="00A1386A" w:rsidP="00A1386A">
      <w:pPr>
        <w:pStyle w:val="Fait"/>
        <w:rPr>
          <w:noProof/>
        </w:rPr>
      </w:pPr>
      <w:r w:rsidRPr="00A1386A">
        <w:t>Βρυξέλλες,</w:t>
      </w:r>
    </w:p>
    <w:p w:rsidR="00E506D3" w:rsidRDefault="00A1386A">
      <w:pPr>
        <w:pStyle w:val="Institutionquisigne"/>
        <w:rPr>
          <w:noProof/>
        </w:rPr>
      </w:pPr>
      <w:r>
        <w:rPr>
          <w:noProof/>
        </w:rPr>
        <w:t>Για το Ευρωπαϊκό Κοινοβούλιο</w:t>
      </w:r>
      <w:r>
        <w:rPr>
          <w:noProof/>
        </w:rPr>
        <w:tab/>
        <w:t>Για το Συμβούλιο</w:t>
      </w:r>
    </w:p>
    <w:p w:rsidR="00E506D3" w:rsidRDefault="00A1386A">
      <w:pPr>
        <w:pStyle w:val="Personnequisigne"/>
        <w:rPr>
          <w:noProof/>
        </w:rPr>
      </w:pPr>
      <w:r>
        <w:rPr>
          <w:noProof/>
        </w:rPr>
        <w:t>Ο Πρόεδρος</w:t>
      </w:r>
      <w:r>
        <w:rPr>
          <w:noProof/>
        </w:rPr>
        <w:tab/>
        <w:t>Ο Πρόεδρος</w:t>
      </w:r>
      <w:r>
        <w:rPr>
          <w:noProof/>
        </w:rPr>
        <w:br/>
      </w:r>
    </w:p>
    <w:p w:rsidR="00E506D3" w:rsidRDefault="00E506D3">
      <w:pPr>
        <w:rPr>
          <w:noProof/>
        </w:rPr>
        <w:sectPr w:rsidR="00E506D3" w:rsidSect="00A1386A">
          <w:pgSz w:w="11907" w:h="16839"/>
          <w:pgMar w:top="1134" w:right="1417" w:bottom="1134" w:left="1417" w:header="709" w:footer="709" w:gutter="0"/>
          <w:cols w:space="708"/>
          <w:docGrid w:linePitch="360"/>
        </w:sectPr>
      </w:pPr>
    </w:p>
    <w:p w:rsidR="00E506D3" w:rsidRDefault="00A1386A">
      <w:pPr>
        <w:pStyle w:val="Fichefinanciretitre"/>
        <w:rPr>
          <w:noProof/>
        </w:rPr>
      </w:pPr>
      <w:r>
        <w:rPr>
          <w:noProof/>
        </w:rPr>
        <w:t>ΝΟΜΟΘΕΤΙΚΟ ΔΗΜΟΣΙΟΝΟΜΙΚΟ ΔΕΛΤΙΟ</w:t>
      </w:r>
    </w:p>
    <w:p w:rsidR="00E506D3" w:rsidRDefault="00A1386A">
      <w:pPr>
        <w:pStyle w:val="ManualHeading1"/>
        <w:rPr>
          <w:noProof/>
        </w:rPr>
      </w:pPr>
      <w:r>
        <w:rPr>
          <w:noProof/>
        </w:rPr>
        <w:t>1.</w:t>
      </w:r>
      <w:r>
        <w:rPr>
          <w:noProof/>
        </w:rPr>
        <w:tab/>
        <w:t>ΠΛΑΙΣΙΟ ΤΗΣ ΠΡΟΤΑΣΗΣ/ΠΡΩΤΟΒΟΥΛΙΑΣ</w:t>
      </w:r>
    </w:p>
    <w:p w:rsidR="00E506D3" w:rsidRDefault="00A1386A">
      <w:pPr>
        <w:pStyle w:val="ManualHeading2"/>
        <w:rPr>
          <w:b w:val="0"/>
          <w:noProof/>
        </w:rPr>
      </w:pPr>
      <w:r>
        <w:rPr>
          <w:noProof/>
        </w:rPr>
        <w:tab/>
      </w:r>
      <w:r>
        <w:rPr>
          <w:b w:val="0"/>
          <w:noProof/>
        </w:rPr>
        <w:t>1.1.</w:t>
      </w:r>
      <w:r>
        <w:rPr>
          <w:noProof/>
        </w:rPr>
        <w:tab/>
      </w:r>
      <w:r>
        <w:rPr>
          <w:b w:val="0"/>
          <w:noProof/>
        </w:rPr>
        <w:t xml:space="preserve">Τίτλος της </w:t>
      </w:r>
      <w:r>
        <w:rPr>
          <w:b w:val="0"/>
          <w:noProof/>
        </w:rPr>
        <w:t>πρότασης/πρωτοβουλίας</w:t>
      </w:r>
    </w:p>
    <w:p w:rsidR="00E506D3" w:rsidRDefault="00A1386A">
      <w:pPr>
        <w:pStyle w:val="ManualHeading2"/>
        <w:rPr>
          <w:b w:val="0"/>
          <w:noProof/>
        </w:rPr>
      </w:pPr>
      <w:r>
        <w:rPr>
          <w:noProof/>
        </w:rPr>
        <w:tab/>
      </w:r>
      <w:r>
        <w:rPr>
          <w:b w:val="0"/>
          <w:noProof/>
        </w:rPr>
        <w:t>1.2.</w:t>
      </w:r>
      <w:r>
        <w:rPr>
          <w:noProof/>
        </w:rPr>
        <w:tab/>
      </w:r>
      <w:r>
        <w:rPr>
          <w:b w:val="0"/>
          <w:noProof/>
        </w:rPr>
        <w:t xml:space="preserve">Σχετικοί τομείς πολιτικής </w:t>
      </w:r>
      <w:r>
        <w:rPr>
          <w:b w:val="0"/>
          <w:i/>
          <w:noProof/>
        </w:rPr>
        <w:t>(ομάδα προγραμμάτων)</w:t>
      </w:r>
    </w:p>
    <w:p w:rsidR="00E506D3" w:rsidRDefault="00A1386A">
      <w:pPr>
        <w:pStyle w:val="ManualHeading2"/>
        <w:rPr>
          <w:b w:val="0"/>
          <w:noProof/>
        </w:rPr>
      </w:pPr>
      <w:r>
        <w:rPr>
          <w:noProof/>
        </w:rPr>
        <w:tab/>
      </w:r>
      <w:r>
        <w:rPr>
          <w:b w:val="0"/>
          <w:noProof/>
        </w:rPr>
        <w:t>1.3.</w:t>
      </w:r>
      <w:r>
        <w:rPr>
          <w:noProof/>
        </w:rPr>
        <w:tab/>
      </w:r>
      <w:r>
        <w:rPr>
          <w:b w:val="0"/>
          <w:noProof/>
        </w:rPr>
        <w:t>Χαρακτήρας της πρότασης/πρωτοβουλίας</w:t>
      </w:r>
    </w:p>
    <w:p w:rsidR="00E506D3" w:rsidRDefault="00A1386A">
      <w:pPr>
        <w:pStyle w:val="ManualHeading2"/>
        <w:rPr>
          <w:b w:val="0"/>
          <w:noProof/>
        </w:rPr>
      </w:pPr>
      <w:r>
        <w:rPr>
          <w:noProof/>
        </w:rPr>
        <w:tab/>
      </w:r>
      <w:r>
        <w:rPr>
          <w:b w:val="0"/>
          <w:noProof/>
        </w:rPr>
        <w:t>1.4.</w:t>
      </w:r>
      <w:r>
        <w:rPr>
          <w:noProof/>
        </w:rPr>
        <w:tab/>
      </w:r>
      <w:r>
        <w:rPr>
          <w:b w:val="0"/>
          <w:noProof/>
        </w:rPr>
        <w:t>Αιτιολόγηση της πρότασης/πρωτοβουλίας</w:t>
      </w:r>
    </w:p>
    <w:p w:rsidR="00E506D3" w:rsidRDefault="00A1386A">
      <w:pPr>
        <w:pStyle w:val="ManualHeading2"/>
        <w:rPr>
          <w:b w:val="0"/>
          <w:noProof/>
        </w:rPr>
      </w:pPr>
      <w:r>
        <w:rPr>
          <w:noProof/>
        </w:rPr>
        <w:tab/>
      </w:r>
      <w:r>
        <w:rPr>
          <w:b w:val="0"/>
          <w:noProof/>
        </w:rPr>
        <w:t>1.5.</w:t>
      </w:r>
      <w:r>
        <w:rPr>
          <w:noProof/>
        </w:rPr>
        <w:tab/>
      </w:r>
      <w:r>
        <w:rPr>
          <w:b w:val="0"/>
          <w:noProof/>
        </w:rPr>
        <w:t>Διάρκεια και δημοσιονομικές επιπτώσεις</w:t>
      </w:r>
    </w:p>
    <w:p w:rsidR="00E506D3" w:rsidRDefault="00A1386A">
      <w:pPr>
        <w:pStyle w:val="ManualHeading2"/>
        <w:rPr>
          <w:b w:val="0"/>
          <w:noProof/>
        </w:rPr>
      </w:pPr>
      <w:r>
        <w:rPr>
          <w:noProof/>
        </w:rPr>
        <w:tab/>
      </w:r>
      <w:r>
        <w:rPr>
          <w:b w:val="0"/>
          <w:noProof/>
        </w:rPr>
        <w:t>1.6.</w:t>
      </w:r>
      <w:r>
        <w:rPr>
          <w:noProof/>
        </w:rPr>
        <w:tab/>
      </w:r>
      <w:r>
        <w:rPr>
          <w:b w:val="0"/>
          <w:noProof/>
        </w:rPr>
        <w:t>Προβλεπόμενοι τρόποι διαχείρισης</w:t>
      </w:r>
    </w:p>
    <w:p w:rsidR="00E506D3" w:rsidRDefault="00A1386A">
      <w:pPr>
        <w:pStyle w:val="ManualHeading1"/>
        <w:rPr>
          <w:noProof/>
        </w:rPr>
      </w:pPr>
      <w:r>
        <w:rPr>
          <w:noProof/>
        </w:rPr>
        <w:t>2.</w:t>
      </w:r>
      <w:r>
        <w:rPr>
          <w:noProof/>
        </w:rPr>
        <w:tab/>
        <w:t>ΜΕΤΡΑ Δ</w:t>
      </w:r>
      <w:r>
        <w:rPr>
          <w:noProof/>
        </w:rPr>
        <w:t>ΙΑΧΕΙΡΙΣΗΣ</w:t>
      </w:r>
    </w:p>
    <w:p w:rsidR="00E506D3" w:rsidRDefault="00A1386A">
      <w:pPr>
        <w:pStyle w:val="ManualHeading2"/>
        <w:rPr>
          <w:b w:val="0"/>
          <w:noProof/>
        </w:rPr>
      </w:pPr>
      <w:r>
        <w:rPr>
          <w:noProof/>
        </w:rPr>
        <w:tab/>
      </w:r>
      <w:r>
        <w:rPr>
          <w:b w:val="0"/>
          <w:noProof/>
        </w:rPr>
        <w:t>2.1.</w:t>
      </w:r>
      <w:r>
        <w:rPr>
          <w:noProof/>
        </w:rPr>
        <w:tab/>
      </w:r>
      <w:r>
        <w:rPr>
          <w:b w:val="0"/>
          <w:noProof/>
        </w:rPr>
        <w:t>Κανόνες παρακολούθησης και υποβολής εκθέσεων</w:t>
      </w:r>
    </w:p>
    <w:p w:rsidR="00E506D3" w:rsidRDefault="00A1386A">
      <w:pPr>
        <w:pStyle w:val="ManualHeading2"/>
        <w:rPr>
          <w:b w:val="0"/>
          <w:noProof/>
        </w:rPr>
      </w:pPr>
      <w:r>
        <w:rPr>
          <w:noProof/>
        </w:rPr>
        <w:tab/>
      </w:r>
      <w:r>
        <w:rPr>
          <w:b w:val="0"/>
          <w:noProof/>
        </w:rPr>
        <w:t>2.2.</w:t>
      </w:r>
      <w:r>
        <w:rPr>
          <w:noProof/>
        </w:rPr>
        <w:tab/>
      </w:r>
      <w:r>
        <w:rPr>
          <w:b w:val="0"/>
          <w:noProof/>
        </w:rPr>
        <w:t>Σύστημα διαχείρισης και ελέγχου</w:t>
      </w:r>
    </w:p>
    <w:p w:rsidR="00E506D3" w:rsidRDefault="00A1386A">
      <w:pPr>
        <w:pStyle w:val="ManualHeading2"/>
        <w:rPr>
          <w:b w:val="0"/>
          <w:noProof/>
        </w:rPr>
      </w:pPr>
      <w:r>
        <w:rPr>
          <w:noProof/>
        </w:rPr>
        <w:tab/>
      </w:r>
      <w:r>
        <w:rPr>
          <w:b w:val="0"/>
          <w:noProof/>
        </w:rPr>
        <w:t>2.3.</w:t>
      </w:r>
      <w:r>
        <w:rPr>
          <w:noProof/>
        </w:rPr>
        <w:tab/>
      </w:r>
      <w:r>
        <w:rPr>
          <w:b w:val="0"/>
          <w:noProof/>
        </w:rPr>
        <w:t>Μέτρα για την πρόληψη περιπτώσεων απάτης και παρατυπίας</w:t>
      </w:r>
    </w:p>
    <w:p w:rsidR="00E506D3" w:rsidRDefault="00A1386A">
      <w:pPr>
        <w:pStyle w:val="ManualHeading1"/>
        <w:rPr>
          <w:noProof/>
        </w:rPr>
      </w:pPr>
      <w:r>
        <w:rPr>
          <w:noProof/>
        </w:rPr>
        <w:t>3.</w:t>
      </w:r>
      <w:r>
        <w:rPr>
          <w:noProof/>
        </w:rPr>
        <w:tab/>
        <w:t>ΕΚΤΙΜΩΜΕΝΕΣ ΔΗΜΟΣΙΟΝΟΜΙΚΕΣ ΕΠΙΠΤΩΣΕΙΣ ΤΗΣ ΠΡΟΤΑΣΗΣ/ΠΡΩΤΟΒΟΥΛΙΑΣ</w:t>
      </w:r>
    </w:p>
    <w:p w:rsidR="00E506D3" w:rsidRDefault="00A1386A">
      <w:pPr>
        <w:pStyle w:val="ManualHeading2"/>
        <w:rPr>
          <w:b w:val="0"/>
          <w:noProof/>
        </w:rPr>
      </w:pPr>
      <w:r>
        <w:rPr>
          <w:noProof/>
        </w:rPr>
        <w:tab/>
      </w:r>
      <w:r>
        <w:rPr>
          <w:b w:val="0"/>
          <w:noProof/>
        </w:rPr>
        <w:t>3.1.</w:t>
      </w:r>
      <w:r>
        <w:rPr>
          <w:noProof/>
        </w:rPr>
        <w:tab/>
      </w:r>
      <w:r>
        <w:rPr>
          <w:b w:val="0"/>
          <w:noProof/>
        </w:rPr>
        <w:t xml:space="preserve">Τομείς του πολυετούς </w:t>
      </w:r>
      <w:r>
        <w:rPr>
          <w:b w:val="0"/>
          <w:noProof/>
        </w:rPr>
        <w:t>δημοσιονομικού πλαισίου και γραμμές δαπανών του προϋπολογισμού που επηρεάζονται</w:t>
      </w:r>
    </w:p>
    <w:p w:rsidR="00E506D3" w:rsidRDefault="00A1386A">
      <w:pPr>
        <w:pStyle w:val="ManualHeading2"/>
        <w:rPr>
          <w:noProof/>
        </w:rPr>
      </w:pPr>
      <w:r>
        <w:rPr>
          <w:noProof/>
        </w:rPr>
        <w:tab/>
      </w:r>
      <w:r>
        <w:rPr>
          <w:b w:val="0"/>
          <w:noProof/>
        </w:rPr>
        <w:t>3.2.</w:t>
      </w:r>
      <w:r>
        <w:rPr>
          <w:noProof/>
        </w:rPr>
        <w:tab/>
      </w:r>
      <w:r>
        <w:rPr>
          <w:b w:val="0"/>
          <w:noProof/>
        </w:rPr>
        <w:t>Εκτιμώμενες επιπτώσεις στις δαπάνες</w:t>
      </w:r>
    </w:p>
    <w:p w:rsidR="00E506D3" w:rsidRDefault="00A1386A">
      <w:pPr>
        <w:pStyle w:val="ManualHeading3"/>
        <w:rPr>
          <w:noProof/>
        </w:rPr>
      </w:pPr>
      <w:r>
        <w:rPr>
          <w:noProof/>
        </w:rPr>
        <w:tab/>
        <w:t>3.2.1.</w:t>
      </w:r>
      <w:r>
        <w:rPr>
          <w:noProof/>
        </w:rPr>
        <w:tab/>
        <w:t>Συνοπτική παρουσίαση των εκτιμώμενων επιπτώσεων στις δαπάνες</w:t>
      </w:r>
    </w:p>
    <w:p w:rsidR="00E506D3" w:rsidRDefault="00A1386A">
      <w:pPr>
        <w:pStyle w:val="ManualHeading3"/>
        <w:rPr>
          <w:noProof/>
        </w:rPr>
      </w:pPr>
      <w:r>
        <w:rPr>
          <w:noProof/>
        </w:rPr>
        <w:tab/>
        <w:t>3.2.2.</w:t>
      </w:r>
      <w:r>
        <w:rPr>
          <w:noProof/>
        </w:rPr>
        <w:tab/>
        <w:t>Εκτιμώμενες επιπτώσεις στις πιστώσεις διοικητικού χαρακτή</w:t>
      </w:r>
      <w:r>
        <w:rPr>
          <w:noProof/>
        </w:rPr>
        <w:t>ρα</w:t>
      </w:r>
    </w:p>
    <w:p w:rsidR="00E506D3" w:rsidRDefault="00A1386A">
      <w:pPr>
        <w:pStyle w:val="ManualHeading3"/>
        <w:rPr>
          <w:noProof/>
        </w:rPr>
      </w:pPr>
      <w:r>
        <w:rPr>
          <w:noProof/>
        </w:rPr>
        <w:tab/>
        <w:t>3.2.3.</w:t>
      </w:r>
      <w:r>
        <w:rPr>
          <w:noProof/>
        </w:rPr>
        <w:tab/>
        <w:t>Συμμετοχή τρίτων στη χρηματοδότηση</w:t>
      </w:r>
    </w:p>
    <w:p w:rsidR="00E506D3" w:rsidRDefault="00A1386A">
      <w:pPr>
        <w:pStyle w:val="ManualHeading2"/>
        <w:jc w:val="left"/>
        <w:rPr>
          <w:b w:val="0"/>
          <w:noProof/>
        </w:rPr>
        <w:sectPr w:rsidR="00E506D3" w:rsidSect="00A1386A">
          <w:headerReference w:type="default" r:id="rId19"/>
          <w:footerReference w:type="default" r:id="rId20"/>
          <w:headerReference w:type="first" r:id="rId21"/>
          <w:footerReference w:type="first" r:id="rId22"/>
          <w:footnotePr>
            <w:numRestart w:val="eachSect"/>
          </w:footnotePr>
          <w:pgSz w:w="11907" w:h="16840" w:code="9"/>
          <w:pgMar w:top="709" w:right="992" w:bottom="851" w:left="993" w:header="709" w:footer="709" w:gutter="0"/>
          <w:cols w:space="720"/>
          <w:docGrid w:linePitch="360"/>
        </w:sectPr>
      </w:pPr>
      <w:r>
        <w:rPr>
          <w:noProof/>
        </w:rPr>
        <w:tab/>
      </w:r>
      <w:r>
        <w:rPr>
          <w:b w:val="0"/>
          <w:noProof/>
        </w:rPr>
        <w:t>3.3.</w:t>
      </w:r>
      <w:r>
        <w:rPr>
          <w:noProof/>
        </w:rPr>
        <w:tab/>
      </w:r>
      <w:r>
        <w:rPr>
          <w:b w:val="0"/>
          <w:noProof/>
        </w:rPr>
        <w:t>Εκτιμώμενες επιπτώσεις στα έσοδα</w:t>
      </w:r>
    </w:p>
    <w:p w:rsidR="00E506D3" w:rsidRDefault="00A1386A">
      <w:pPr>
        <w:jc w:val="center"/>
        <w:rPr>
          <w:b/>
          <w:noProof/>
          <w:u w:val="single"/>
        </w:rPr>
      </w:pPr>
      <w:r>
        <w:rPr>
          <w:b/>
          <w:noProof/>
          <w:u w:val="single"/>
        </w:rPr>
        <w:t>ΝΟΜΟΘΕΤΙΚΟ ΔΗΜΟΣΙΟΝΟΜΙΚΟ ΔΕΛΤΙΟ</w:t>
      </w:r>
    </w:p>
    <w:p w:rsidR="00E506D3" w:rsidRDefault="00A1386A">
      <w:pPr>
        <w:pStyle w:val="ManualHeading1"/>
        <w:rPr>
          <w:noProof/>
        </w:rPr>
      </w:pPr>
      <w:r>
        <w:t>1.</w:t>
      </w:r>
      <w:r>
        <w:tab/>
      </w:r>
      <w:r>
        <w:rPr>
          <w:noProof/>
        </w:rPr>
        <w:t>ΠΛΑΙΣΙΟ ΤΗΣ ΠΡΟΤΑΣΗΣ/ΠΡΩΤΟΒΟΥΛΙΑΣ</w:t>
      </w:r>
    </w:p>
    <w:p w:rsidR="00E506D3" w:rsidRDefault="00A1386A">
      <w:pPr>
        <w:pStyle w:val="ManualHeading2"/>
        <w:rPr>
          <w:noProof/>
        </w:rPr>
      </w:pPr>
      <w:r>
        <w:t>1.1.</w:t>
      </w:r>
      <w:r>
        <w:tab/>
      </w:r>
      <w:r>
        <w:rPr>
          <w:noProof/>
        </w:rPr>
        <w:t>Τίτλος της πρότασης/πρωτοβουλίας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Πρόταση κανονισμού του Ευρωπαϊκού Κοινοβουλίου και του Συμβουλίου για το Ταμείο Εσωτερικής Ασφάλειας (ΤΕΑ)</w:t>
      </w:r>
    </w:p>
    <w:p w:rsidR="00E506D3" w:rsidRDefault="00A1386A">
      <w:pPr>
        <w:pStyle w:val="ManualHeading2"/>
        <w:rPr>
          <w:noProof/>
          <w:szCs w:val="24"/>
        </w:rPr>
      </w:pPr>
      <w:r>
        <w:t>1.2.</w:t>
      </w:r>
      <w:r>
        <w:tab/>
      </w:r>
      <w:r>
        <w:rPr>
          <w:noProof/>
        </w:rPr>
        <w:t xml:space="preserve">Σχετικοί τομείς πολιτικής </w:t>
      </w:r>
      <w:r>
        <w:rPr>
          <w:i/>
          <w:noProof/>
        </w:rPr>
        <w:t>(ομάδα προγραμμάτων)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Τομέας 5 (Ασφάλεια και άμυνα)· Τίτλος 12. Ασφάλεια</w:t>
      </w:r>
    </w:p>
    <w:p w:rsidR="00E506D3" w:rsidRDefault="00A1386A">
      <w:pPr>
        <w:pStyle w:val="ManualHeading2"/>
        <w:rPr>
          <w:bCs/>
          <w:noProof/>
          <w:szCs w:val="24"/>
        </w:rPr>
      </w:pPr>
      <w:r>
        <w:t>1.3.</w:t>
      </w:r>
      <w:r>
        <w:tab/>
      </w:r>
      <w:r>
        <w:rPr>
          <w:noProof/>
        </w:rPr>
        <w:t>Η πρόταση/πρωτοβουλία αφορά:</w:t>
      </w:r>
    </w:p>
    <w:p w:rsidR="00E506D3" w:rsidRDefault="00A1386A">
      <w:pPr>
        <w:pStyle w:val="Text1"/>
        <w:rPr>
          <w:b/>
          <w:noProof/>
          <w:sz w:val="22"/>
        </w:rPr>
      </w:pPr>
      <w:r>
        <w:rPr>
          <w:noProof/>
          <w:sz w:val="22"/>
        </w:rPr>
        <w:sym w:font="Wingdings" w:char="F0FE"/>
      </w:r>
      <w:r>
        <w:rPr>
          <w:b/>
          <w:i/>
          <w:noProof/>
          <w:sz w:val="22"/>
        </w:rPr>
        <w:t xml:space="preserve"> </w:t>
      </w:r>
      <w:r>
        <w:rPr>
          <w:b/>
          <w:noProof/>
        </w:rPr>
        <w:t>νέα δράση</w:t>
      </w:r>
    </w:p>
    <w:p w:rsidR="00E506D3" w:rsidRDefault="00A1386A">
      <w:pPr>
        <w:pStyle w:val="Text1"/>
        <w:rPr>
          <w:noProof/>
          <w:sz w:val="22"/>
        </w:rPr>
      </w:pPr>
      <w:r>
        <w:rPr>
          <w:noProof/>
          <w:sz w:val="22"/>
        </w:rPr>
        <w:sym w:font="Wingdings" w:char="F0A8"/>
      </w:r>
      <w:r>
        <w:rPr>
          <w:i/>
          <w:noProof/>
          <w:sz w:val="22"/>
        </w:rPr>
        <w:t xml:space="preserve"> </w:t>
      </w:r>
      <w:r>
        <w:rPr>
          <w:b/>
          <w:noProof/>
        </w:rPr>
        <w:t>νέα δράση μετά από πιλοτικό έργο/προπαρασκευαστική δράση</w:t>
      </w:r>
      <w:r>
        <w:rPr>
          <w:rStyle w:val="FootnoteReference"/>
          <w:b/>
          <w:noProof/>
        </w:rPr>
        <w:footnoteReference w:id="38"/>
      </w:r>
    </w:p>
    <w:p w:rsidR="00E506D3" w:rsidRDefault="00A1386A">
      <w:pPr>
        <w:pStyle w:val="Text1"/>
        <w:rPr>
          <w:noProof/>
          <w:sz w:val="22"/>
        </w:rPr>
      </w:pPr>
      <w:r>
        <w:rPr>
          <w:noProof/>
          <w:sz w:val="22"/>
        </w:rPr>
        <w:sym w:font="Wingdings" w:char="F0A8"/>
      </w:r>
      <w:r>
        <w:rPr>
          <w:i/>
          <w:noProof/>
          <w:sz w:val="22"/>
        </w:rPr>
        <w:t xml:space="preserve"> </w:t>
      </w:r>
      <w:r>
        <w:rPr>
          <w:b/>
          <w:noProof/>
        </w:rPr>
        <w:t>την παράταση υφιστάμενης δράσης</w:t>
      </w:r>
    </w:p>
    <w:p w:rsidR="00E506D3" w:rsidRDefault="00A1386A">
      <w:pPr>
        <w:pStyle w:val="Text1"/>
        <w:rPr>
          <w:noProof/>
        </w:rPr>
      </w:pPr>
      <w:r>
        <w:rPr>
          <w:noProof/>
          <w:sz w:val="22"/>
        </w:rPr>
        <w:sym w:font="Wingdings" w:char="F0A8"/>
      </w:r>
      <w:r>
        <w:rPr>
          <w:i/>
          <w:noProof/>
          <w:sz w:val="22"/>
        </w:rPr>
        <w:t xml:space="preserve"> </w:t>
      </w:r>
      <w:r>
        <w:rPr>
          <w:b/>
          <w:noProof/>
        </w:rPr>
        <w:t>συγχώνευση ή επαναπροσανατολισμό μίας ή περισσότερων δράσεων προς άλλη/νέα δράση</w:t>
      </w:r>
    </w:p>
    <w:p w:rsidR="00E506D3" w:rsidRDefault="00A1386A">
      <w:pPr>
        <w:pStyle w:val="ManualHeading2"/>
        <w:rPr>
          <w:bCs/>
          <w:noProof/>
          <w:szCs w:val="24"/>
        </w:rPr>
      </w:pPr>
      <w:r>
        <w:t>1.4.</w:t>
      </w:r>
      <w:r>
        <w:tab/>
      </w:r>
      <w:r>
        <w:rPr>
          <w:noProof/>
        </w:rPr>
        <w:t>Αιτιολόγηση της πρότασης/πρωτοβουλίας</w:t>
      </w:r>
    </w:p>
    <w:p w:rsidR="00E506D3" w:rsidRDefault="00A1386A">
      <w:pPr>
        <w:pStyle w:val="ManualHeading3"/>
        <w:rPr>
          <w:noProof/>
        </w:rPr>
      </w:pPr>
      <w:r>
        <w:t>1.4.1.</w:t>
      </w:r>
      <w:r>
        <w:tab/>
      </w:r>
      <w:r>
        <w:rPr>
          <w:noProof/>
        </w:rPr>
        <w:t>Βραχυπρόθεσμη ή μακροπρόθεσμη</w:t>
      </w:r>
      <w:r>
        <w:rPr>
          <w:noProof/>
        </w:rPr>
        <w:t xml:space="preserve"> κάλυψη αναγκών, συμπεριλαμβανομένου λεπτομερούς χρονοδιαγράμματος για τη σταδιακή υλοποίηση της πρωτοβουλίας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Το Ταμείο θα πρέπει να βασίζεται στα αποτελέσματα και τις επενδύσεις που πραγματοποιήθηκαν με τη στήριξη των προηγούμενων μέσων, κυρίως με την παρ</w:t>
      </w:r>
      <w:r>
        <w:rPr>
          <w:noProof/>
        </w:rPr>
        <w:t>οχή στήριξης στις γενικές πολιτικές της ΕΕ στον τομέα της εσωτερικής ασφάλειας, όπως αστυνομική συνεργασία, πρόληψη και καταστολή της εγκληματικότητας και διαχείριση των κρίσεων (προστασία των προσώπων, των δημόσιων χώρων και της υποδομής ζωτικής σημασίας)</w:t>
      </w:r>
      <w:r>
        <w:rPr>
          <w:noProof/>
        </w:rPr>
        <w:t>, καταπολέμηση των ναρκωτικών.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Επιπλέον, η χρηματοδότηση της ΕΕ θα πρέπει να είναι σε θέση να ανταποκρίνεται σε καταστάσεις που προκύπτουν από νέες, αναδυόμενες απειλές κατά της ασφάλειας ή άλλες καταστάσεις που απαιτούν άμεση δράση και δεν μπορούν να αντι</w:t>
      </w:r>
      <w:r>
        <w:rPr>
          <w:noProof/>
        </w:rPr>
        <w:t xml:space="preserve">μετωπιστούν με τη μεμονωμένη δράση των κρατών μελών. </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Με την επιφύλαξη οποιαδήποτε μελλοντικής εξέλιξης πολιτικής, οι μελλοντικές προτάσεις σε αυτόν τον τομέα θα περιλαμβάνουν δικό τους, χωριστό νομοθετικό δημοσιονομικό δελτίο για το οποίο οι αντίστοιχοι χ</w:t>
      </w:r>
      <w:r>
        <w:rPr>
          <w:noProof/>
        </w:rPr>
        <w:t>ρηματοδοτικοί πόροι μπορούν να καλύπτονται είτε από το κονδύλιο του παρόντος Ταμείου είτε από οποιαδήποτε άλλη πρόσθετη χρηματοδότηση που διατίθεται στο πλαίσιο του κονδυλίου για το ΠΔΠ.</w:t>
      </w:r>
    </w:p>
    <w:p w:rsidR="00E506D3" w:rsidRDefault="00A1386A">
      <w:pPr>
        <w:pStyle w:val="ManualHeading3"/>
        <w:rPr>
          <w:bCs/>
          <w:noProof/>
          <w:szCs w:val="24"/>
        </w:rPr>
      </w:pPr>
      <w:r>
        <w:t>1.4.2.</w:t>
      </w:r>
      <w:r>
        <w:tab/>
      </w:r>
      <w:r>
        <w:rPr>
          <w:noProof/>
        </w:rPr>
        <w:t xml:space="preserve">Προστιθέμενη αξία της ενωσιακής παρέμβασης (που μπορεί να </w:t>
      </w:r>
      <w:r>
        <w:rPr>
          <w:noProof/>
        </w:rPr>
        <w:t>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π</w:t>
      </w:r>
      <w:r>
        <w:rPr>
          <w:noProof/>
        </w:rPr>
        <w:t>αρέμβαση της Ένωσης και η οποία είναι επιπρόσθετη στην αξία που θα είχε δημιουργηθεί αν τα κράτη μέλη ενεργούσαν μεμονωμένα.</w:t>
      </w:r>
    </w:p>
    <w:p w:rsidR="00E506D3" w:rsidRDefault="00A1386A">
      <w:pPr>
        <w:pStyle w:val="Text1"/>
        <w:pBdr>
          <w:top w:val="single" w:sz="4" w:space="1" w:color="auto"/>
          <w:left w:val="single" w:sz="4" w:space="4" w:color="auto"/>
          <w:bottom w:val="single" w:sz="4" w:space="1" w:color="auto"/>
          <w:right w:val="single" w:sz="4" w:space="4" w:color="auto"/>
        </w:pBdr>
        <w:rPr>
          <w:noProof/>
          <w:highlight w:val="yellow"/>
        </w:rPr>
      </w:pPr>
      <w:r>
        <w:rPr>
          <w:noProof/>
        </w:rPr>
        <w:t>Για διαχείριση των απειλών κατά της ασφάλειας υπάρχουν προκλήσεις που δεν είναι δυνατό να αντιμετωπιστούν με τη μεμονωμένη δράση το</w:t>
      </w:r>
      <w:r>
        <w:rPr>
          <w:noProof/>
        </w:rPr>
        <w:t>υ κάθε κράτους μέλους.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Στον τομέα της ασφάλειας, το σοβαρό και οργανωμένο έγκλημα, η τρομοκρατία και άλλες απειλές κατά της ασφάλειας αποκτούν ολοένα και περισσότερο διασυνοριακό χαρακτήρα. Η διακρατική συνεργασία και ο συντονισμός μεταξύ των αρχών επιβολή</w:t>
      </w:r>
      <w:r>
        <w:rPr>
          <w:noProof/>
        </w:rPr>
        <w:t>ς του νόμου έχει καθοριστική σημασία για την επιτυχή πρόληψη και καταπολέμηση αυτών των εγκλημάτων, παραδείγματος χάρη μέσω της ανταλλαγής πληροφοριών, κοινών ερευνών, διαλειτουργικών τεχνολογιών και κοινών εκτιμήσεων των απειλών και των κινδύνων. Η χρηματ</w:t>
      </w:r>
      <w:r>
        <w:rPr>
          <w:noProof/>
        </w:rPr>
        <w:t>οδοτική στήριξη που προβλέπεται στον παρόντα κανονισμό συμβάλλει ιδίως στην ενίσχυση των εθνικών και ευρωπαϊκών ικανοτήτων σε αυτούς τους τομείς πολιτικής, καθώς διευκολύνει την Ένωση να παρέχει ένα πλαίσιο για την εκδήλωση της αλληλεγγύης της Ένωσης και ν</w:t>
      </w:r>
      <w:r>
        <w:rPr>
          <w:noProof/>
        </w:rPr>
        <w:t>α παρέχει μια πλατφόρμα για την ανάπτυξη κοινών συστημάτων ΤΠ που θα στηρίζουν τις εν λόγω πολιτικές.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xml:space="preserve">Για τη διαχείριση της ασφάλειας της ΕΕ απαιτούνται σημαντικοί πόροι και ικανότητες από τα κράτη μέλη. Η βελτιωμένη επιχειρησιακή συνεργασία και ο </w:t>
      </w:r>
      <w:r>
        <w:rPr>
          <w:noProof/>
        </w:rPr>
        <w:t>συντονισμός, που συνεπάγεται τη συγκέντρωση πόρων σε τομείς όπως η κατάρτιση και ο εξοπλισμός δημιουργούν οικονομίες κλίμακας και συνέργειες, διασφαλίζοντας με τον τρόπο αυτό την αποτελεσματικότερη χρήση των δημόσιων κεφαλαίων και την ενίσχυση της αλληλεγγ</w:t>
      </w:r>
      <w:r>
        <w:rPr>
          <w:noProof/>
        </w:rPr>
        <w:t>ύης, της αμοιβαίας εμπιστοσύνης και του επιμερισμού ευθυνών για τις κοινές ενωσιακές πολιτικές μεταξύ των κρατών μελών. Αυτό έχει ιδιαίτερη σημασία στον τομέα της ασφάλειας, όπου η χρηματοδοτική στήριξη για όλες τις μορφές κοινών διασυνοριακών επιχειρήσεων</w:t>
      </w:r>
      <w:r>
        <w:rPr>
          <w:noProof/>
        </w:rPr>
        <w:t xml:space="preserve"> έχει καθοριστική σημασία για τη βελτίωση της συνεργασίας μεταξύ των αστυνομικών, τελωνειακών, συνοριακών και δικαστικών αρχών.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Σε σχέση με την εξωτερική διάσταση των εσωτερικών υποθέσεων, είναι σαφές ότι η λήψη μέτρων και η συγκέντρωση πόρων στο επίπεδο τ</w:t>
      </w:r>
      <w:r>
        <w:rPr>
          <w:noProof/>
        </w:rPr>
        <w:t>ης ΕΕ θα αυξήσει σημαντικά τη μόχλευση που είναι απαραίτητη στο επίπεδο της ΕΕ, ώστε να πειστούν οι τρίτες χώρες να συνεργαστούν με την ΕΕ για τα θέματα της ασφάλειας τα οποία είναι πρωτίστως προς το συμφέρον της ΕΕ και των κρατών μελών.</w:t>
      </w:r>
    </w:p>
    <w:p w:rsidR="00E506D3" w:rsidRDefault="00A1386A">
      <w:pPr>
        <w:pStyle w:val="ManualHeading3"/>
        <w:rPr>
          <w:bCs/>
          <w:noProof/>
          <w:szCs w:val="24"/>
        </w:rPr>
      </w:pPr>
      <w:r>
        <w:t>1.4.3.</w:t>
      </w:r>
      <w:r>
        <w:tab/>
      </w:r>
      <w:r>
        <w:rPr>
          <w:noProof/>
        </w:rPr>
        <w:t>Διδάγματα α</w:t>
      </w:r>
      <w:r>
        <w:rPr>
          <w:noProof/>
        </w:rPr>
        <w:t>πό ανάλογες εμπειρίες του παρελθόντος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Από την ενδιάμεση αξιολόγηση του ΤΕΑ Αστυνομική συνεργασία για την περίοδο προγραμματισμού 2014-2020, καθώς και από τις εκ των υστέρων αξιολογήσεις των κονδυλίων της περιόδου 2007-2013 [«πρόληψη και καταπολέμηση της εγ</w:t>
      </w:r>
      <w:r>
        <w:rPr>
          <w:noProof/>
        </w:rPr>
        <w:t>κληματικότητας» (ISEC) και «πρόληψη, ετοιμότητα για αντιμετώπιση και διαχείριση των συνεπειών της τρομοκρατίας και άλλων κινδύνων σχετικών με την ασφάλεια» (CIPS)] προέκυψαν τα ακόλουθα πορίσματα. Αξίζει να σημειωθεί ότι το ΤΕΑ Αστυνομική συνεργασία αποτελ</w:t>
      </w:r>
      <w:r>
        <w:rPr>
          <w:noProof/>
        </w:rPr>
        <w:t>εί το πρώτο χρηματοδοτικό πρόγραμμα της ΕΕ σε αυτόν τον τομέα πολιτικής που υλοποιείται επίσης στο πλαίσιο επιμερισμένης διαχείρισης με τα κράτη μέλη· η διάθεση των προηγούμενων πόρων γινόταν αποκλειστικά απευθείας από την Επιτροπή.</w:t>
      </w:r>
    </w:p>
    <w:p w:rsidR="00E506D3" w:rsidRDefault="00A1386A">
      <w:pPr>
        <w:pStyle w:val="Tiret1"/>
        <w:numPr>
          <w:ilvl w:val="0"/>
          <w:numId w:val="17"/>
        </w:numPr>
        <w:rPr>
          <w:noProof/>
        </w:rPr>
      </w:pPr>
      <w:r>
        <w:rPr>
          <w:noProof/>
        </w:rPr>
        <w:t>Συνάφεια, πεδίο εφαρμογ</w:t>
      </w:r>
      <w:r>
        <w:rPr>
          <w:noProof/>
        </w:rPr>
        <w:t>ής και μέγεθος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Το ευρύ πεδίο εφαρμογής του τρέχοντος ΤΕΑ Αστυνομική συνεργασία διασφαλίζει ότι μπορεί να στηρίζει την υλοποίηση των απαραίτητων δράσεων σε επίπεδο ΕΕ στον τομέα της ασφάλειας. Η ευελιξία που παρέχει το Ταμείο (δυνατότητα μεταφοράς χρηματοδό</w:t>
      </w:r>
      <w:r>
        <w:rPr>
          <w:noProof/>
        </w:rPr>
        <w:t>τησης μεταξύ στόχων) συνέβαλε στην εκπλήρωση των μεταβαλλόμενων αναγκών, ωστόσο τα κράτη μέλη θα εκτιμούσαν την ακόμη μεγαλύτερη ευελιξία με την κατάργηση των ελάχιστων επιπέδων κατανομής των κονδυλίων στους στόχους και τη μείωση του αριθμού των εθνικών στ</w:t>
      </w:r>
      <w:r>
        <w:rPr>
          <w:noProof/>
        </w:rPr>
        <w:t>όχων. Επιπλέον, οι πιστώσεις που καθορίζονται στην αρχή της περιόδου προγραμματισμού, με βάση στατιστικά δεδομένα, δεν αποτυπώνουν τις μεταβολές στις ανάγκες των κρατών μελών κατά την περίοδο εφαρμογής. Κατά την παροχή πρόσθετης χρηματοδοτικής στήριξης κατ</w:t>
      </w:r>
      <w:r>
        <w:rPr>
          <w:noProof/>
        </w:rPr>
        <w:t>ά την περίοδο προγραμματισμού, η κλείδα κατανομής που καθορίζεται στην αρχή της περιόδου προγραμματισμού δεν αφήνει περιθώρια για ευελιξία, γεγονός που ενδεχομένως επηρεάζει την αποτελεσματικότητα και αποδοτικότητα του Ταμείου.</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Αποτελεσματικότητα</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Το τρέχ</w:t>
      </w:r>
      <w:r>
        <w:rPr>
          <w:noProof/>
        </w:rPr>
        <w:t>ον ΤΕΑ Αστυνομική συνεργασία θεωρείται αποτελεσματικό, καθώς συνεισφέρει στους στόχους του. Από τις αξιολογήσεις προκύπτει ότι ένα μείγμα τρόπων υλοποίησης στους τομείς της ασφάλειας, της μετανάστευσης και της διαχείρισης των συνόρων έδωσαν τη δυνατότητα γ</w:t>
      </w:r>
      <w:r>
        <w:rPr>
          <w:noProof/>
        </w:rPr>
        <w:t xml:space="preserve">ια έναν αποτελεσματικό τρόπο επίτευξης των στόχων των Ταμείων. Η ολιστική προσέγγιση του σχεδιασμού των μηχανισμών υλοποίησης θα πρέπει να διατηρηθεί. Από την άλλη πλευρά, στις αξιολογήσεις τονίζεται ότι η εναπομένουσα έλλειψη ευελιξίας, η οποία πρέπει να </w:t>
      </w:r>
      <w:r>
        <w:rPr>
          <w:noProof/>
        </w:rPr>
        <w:t>εξισορροπηθεί με την προβλεψιμότητα, καθώς οι αρχές των κρατών μελών και οι δικαιούχοι χρειάζονται δημοσιονομική ασφάλεια και ασφάλεια δικαίου για να σχεδιάσουν την εκτέλεση του Ταμείου καθ’ όλη τη διάρκεια της περιόδου προγραμματισμού, αποτελεί περιορισμό</w:t>
      </w:r>
      <w:r>
        <w:rPr>
          <w:noProof/>
        </w:rPr>
        <w:t xml:space="preserve"> στην αποτελεσματικότητά τους. Το τρέχον ΤΕΑ Αστυνομική συνεργασία δεν περιλαμβάνει χρηματοδοτικό κονδύλιο που θα κατανεμηθεί στα εθνικά προγράμματα στο πλαίσιο της ενδιάμεσης επανεξέτασης, γεγονός που περιορίζει την πιθανότητα παροχής πρόσθετης χρηματοδότ</w:t>
      </w:r>
      <w:r>
        <w:rPr>
          <w:noProof/>
        </w:rPr>
        <w:t>ησης στα εθνικά προγράμματα. Ένας άλλος περιορισμός σχετίζεται με το γεγονός ότι η ενδιάμεση επανεξέταση μπορεί να χρησιμοποιηθεί μόνο σε προκαθορισμένο χρονικό σημείο κατά τη διάρκεια της περιόδου εκτέλεσης. Η μεταναστευτική κρίση και οι αυξημένες απειλές</w:t>
      </w:r>
      <w:r>
        <w:rPr>
          <w:noProof/>
        </w:rPr>
        <w:t xml:space="preserve"> κατά της ασφάλειας στην ΕΕ τα τελευταία χρόνια κατέδειξαν ότι υπήρχε ανάγκη για ευελιξία από την αρχή της περιόδου προγραμματισμού και έπειτα, προκειμένου να υπάρχει δυνατότητα επιτόπιας αντίδρασης στις αλλαγές. Στις ενδιάμεσες αξιολογήσεις σημειώθηκε επί</w:t>
      </w:r>
      <w:r>
        <w:rPr>
          <w:noProof/>
        </w:rPr>
        <w:t>σης η ανάγκη για σαφή λογική παρέμβασης, καθώς και ότι η αύξηση της εστίασης των εθνικών προγραμμάτων θα οδηγούσε σε αύξηση της αποτελεσματικότητας, καθώς θα επέτρεπε τη θέση ορισμένων στόχων σε προτεραιότητα, αλλά και τη σημασία ενός ολοκληρωμένου συστήμα</w:t>
      </w:r>
      <w:r>
        <w:rPr>
          <w:noProof/>
        </w:rPr>
        <w:t>τος παρακολούθησης και αξιολόγησης, τόσο για την άμεση όσο και για την επιμερισμένη διαχείριση. Εφόσον σχεδιαστεί σε πρώιμο στάδιο, το εν λόγω σύστημα διασφαλίζει συνεπή και ενιαία παρακολούθηση της προόδου και της αποτελεσματικότητας εξαρχής.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Αποδοτικότ</w:t>
      </w:r>
      <w:r>
        <w:rPr>
          <w:noProof/>
        </w:rPr>
        <w:t>ητα (συμπεριλαμβανομένης της απλούστευσης και της μείωσης της διοικητικής επιβάρυνσης)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Τα ενδιαφερόμενα μέρη σημείωσαν την επίτευξη προόδου στην απλούστευση των διαδικασιών. Τα καινοτόμα μέτρα (απλουστευμένες επιλογές κόστους, πολυετής προγραμματισμός) θεω</w:t>
      </w:r>
      <w:r>
        <w:rPr>
          <w:noProof/>
        </w:rPr>
        <w:t>ρούνται επωφελή. Ο καθορισμός κοινών κανόνων σχετικά με την εκτέλεση του ΤΑΜΕ και του ΤΕΑ στήριξε τους δεσμούς της διαχείρισης των τριών χρηματοδοτικών μέσων και αυτό οδήγησε σε στενή συνεργασία μεταξύ —και, σε ορισμένες περιπτώσεις, σε ενοποίηση— των οντο</w:t>
      </w:r>
      <w:r>
        <w:rPr>
          <w:noProof/>
        </w:rPr>
        <w:t>τήτων που ήταν αρμόδιες για τη διαχείριση των δύο ταμείων.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Ωστόσο, η διοικητική επιβάρυνση εξακολουθεί να θεωρείται υψηλή τόσο από τις διοικήσεις όσο και από τους δικαιούχους, γεγονός που υπονομεύει την αποδοτικότητα των Ταμείων. Για παράδειγμα, παρότι η χ</w:t>
      </w:r>
      <w:r>
        <w:rPr>
          <w:noProof/>
        </w:rPr>
        <w:t>ρήση εθνικών κανόνων επιλεξιμότητας έχει τη δυνατότητα να μειώσει τη διοικητική επιβάρυνση, οι κανόνες επιλεξιμότητας που εφαρμόζονται κατά καιρούς εξακολουθούν να είναι ιδιαίτερα αυστηροί. Οι απλουστευμένες επιλογές κόστους δεν εφαρμόζονται πλήρως. Επίσης</w:t>
      </w:r>
      <w:r>
        <w:rPr>
          <w:noProof/>
        </w:rPr>
        <w:t>, υφίσταται σχετικά υψηλή διοικητική επιβάρυνση τόσο για τα κράτη μέλη όσο και για την Επιτροπή όσον αφορά την παροχή βοήθειας έκτακτης ανάγκης στο πλαίσιο της άμεσης διαχείρισης. Αυτό προϋποθέτει την κατάρτιση λεπτομερούς συμφωνίας επιδότησης σε σύντομο χ</w:t>
      </w:r>
      <w:r>
        <w:rPr>
          <w:noProof/>
        </w:rPr>
        <w:t>ρονικό διάστημα, καθώς και πιο λεπτομερείς απαιτήσεις υποβολής εκθέσεων προς την Επιτροπή για τους δικαιούχους (σε σύγκριση με την επιμερισμένη διαχείριση). Υπάρχει ανάγκη για επαρκές επίπεδο τεχνικής βοήθειας για τη διευκόλυνση της επιτυχούς διαχείρισης τ</w:t>
      </w:r>
      <w:r>
        <w:rPr>
          <w:noProof/>
        </w:rPr>
        <w:t xml:space="preserve">ου Ταμείου, καθώς και για περαιτέρω προσπάθειες απλούστευσης της πρόσβασης στα Ταμεία για τους δυνητικούς δικαιούχους με παροχή πληροφοριών σχετικά με τις δράσεις και τις ευκαιρίες χρηματοδότησης. Επιπλέον, στο τρέχον ΤΕΑ Αστυνομική συνεργασία δεν υπάρχει </w:t>
      </w:r>
      <w:r>
        <w:rPr>
          <w:noProof/>
        </w:rPr>
        <w:t xml:space="preserve">μηχανισμός που έχει ως στόχο τη βελτίωση της απόδοσης, όπως, π.χ., σύστημα κινήτρων που θα συνέβαλε στην περαιτέρω βελτίωση της αποτελεσματικότητας και αποδοτικότητας των Ταμείων. Ελλείψει ενός τέτοιου μηχανισμού, δεν είναι δυνατή η επιβράβευση των κρατών </w:t>
      </w:r>
      <w:r>
        <w:rPr>
          <w:noProof/>
        </w:rPr>
        <w:t>μελών που σημειώνουν καλή απόδοση ως προς την εκτέλεση των Ταμείων. Αυτό θα μπορούσε να αυξήσει την αποτελεσματικότητα των Ταμείων ως προς την επίτευξη των στόχων τους.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Συνοχή</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xml:space="preserve">Το Ταμείο θεωρείται ότι χαρακτηρίζεται από συνοχή και ότι οι στόχοι του είναι </w:t>
      </w:r>
      <w:r>
        <w:rPr>
          <w:noProof/>
        </w:rPr>
        <w:t>συμπληρωματικοί προς άλλες εθνικές πολιτικές. Η συνοχή και η συμπληρωματικότητα με άλλα χρηματοδοτικά μέσα της ΕΕ διασφαλίστηκαν κατά τα στάδια σχεδιασμού, προγραμματισμού και εκτέλεσης. Θεσπίστηκαν μηχανισμοί συντονισμού ώστε να διασφαλίζεται η συνοχή και</w:t>
      </w:r>
      <w:r>
        <w:rPr>
          <w:noProof/>
        </w:rPr>
        <w:t xml:space="preserve"> η συμπληρωματικότητα κατά το στάδιο εκτέλεσης. Η μορφή των ταμείων (εθνικά προγράμματα που στοχεύουν σε μακροπρόθεσμες ικανότητες, βοήθεια έκτακτης ανάγκης που στοχεύει στην ελάφρυνση της άμεσης πίεσης και δράσεις της Ένωσης που είναι σχεδιασμένες να στηρ</w:t>
      </w:r>
      <w:r>
        <w:rPr>
          <w:noProof/>
        </w:rPr>
        <w:t>ίζουν τη διακρατική συνεργασία) θεωρήθηκε θετική. Εντούτοις, η διασφάλιση συνοχής και συνεργειών εξακολουθεί να θέτει προκλήσεις σε τρεις βασικούς τομείς: στήριξη των στόχων για το άσυλο και την ένταξη μέσω των ΕΔΕΤ, στήριξη της διαχείρισης των συνόρων και</w:t>
      </w:r>
      <w:r>
        <w:rPr>
          <w:noProof/>
        </w:rPr>
        <w:t xml:space="preserve"> μέτρα για την επιστροφή και την επανένταξη, καθώς και ανάπτυξη συστημάτων προστασίας σε τρίτες χώρες και, τέλος, διασφάλιση της συνοχής μεταξύ των παρεμβάσεων των ταμείων της ΕΕ στον τομέα της ασφάλειας.</w:t>
      </w:r>
    </w:p>
    <w:p w:rsidR="00E506D3" w:rsidRDefault="00A1386A">
      <w:pPr>
        <w:pStyle w:val="ManualHeading3"/>
        <w:rPr>
          <w:bCs/>
          <w:noProof/>
          <w:szCs w:val="24"/>
        </w:rPr>
      </w:pPr>
      <w:r>
        <w:t>1.4.4.</w:t>
      </w:r>
      <w:r>
        <w:tab/>
      </w:r>
      <w:r>
        <w:rPr>
          <w:noProof/>
        </w:rPr>
        <w:t>Συμβατότητα και ενδεχόμενη συνέργεια με άλλα</w:t>
      </w:r>
      <w:r>
        <w:rPr>
          <w:noProof/>
        </w:rPr>
        <w:t xml:space="preserve"> κατάλληλα μέσα</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Οι στόχοι του Ταμείου στον τομέα της ασφάλειας θα στηριχθούν μέσω πλήρως συντονισμένης δέσμης χρηματοδοτικών μέσων, στην οποία θα περιλαμβάνονται τόσο οι εσωτερικές όσο και οι εξωτερικές πτυχές τους. Είναι σημαντικό να αποφεύγονται οι αλληλ</w:t>
      </w:r>
      <w:r>
        <w:rPr>
          <w:noProof/>
        </w:rPr>
        <w:t>επικαλύψεις με χρηματοδότηση που παρέχεται μέσω άλλων ενωσιακών μέσων, με τον καθορισμό διαχωριστικής γραμμής και αποτελεσματικών μηχανισμών συντονισμού.</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Το μελλοντικό ΤΕΑ θα ενεργεί ως το ειδικό μέσο της Ένωσης στον τομέα της ασφάλειας. Θα διασφαλίζεται ι</w:t>
      </w:r>
      <w:r>
        <w:rPr>
          <w:noProof/>
        </w:rPr>
        <w:t xml:space="preserve">δίως η συμπληρωματικότητα με την πολιτική για τη συνοχή, το Ταμείο για την Ολοκληρωμένη Διαχείριση των Συνόρων που αποτελείται από το μέσο για τη διαχείριση των συνόρων και των θεωρήσεων και το μέσο για τον εξοπλισμό τελωνειακών ελέγχων, το σκέλος έρευνας </w:t>
      </w:r>
      <w:r>
        <w:rPr>
          <w:noProof/>
        </w:rPr>
        <w:t xml:space="preserve">για την ασφάλεια του προγράμματος «Ορίζων Ευρώπη» και το μελλοντικό πρόγραμμα «Δικαιώματα και αξίες». Πιο συγκεκριμένα, θα επιδιωχθούν συνέργειες όσον αφορά τη διαχείριση των συνόρων και τον εξοπλισμό τελωνειακών ελέγχων, την ασφάλεια των υποδομών και των </w:t>
      </w:r>
      <w:r>
        <w:rPr>
          <w:noProof/>
        </w:rPr>
        <w:t>δημόσιων χώρων, την ασφάλεια στον κυβερνοχώρο και την πρόληψη της ριζοσπαστικοποίησης. Οι αποτελεσματικοί μηχανισμοί συντονισμού είναι καθοριστικής σημασίας για τη μεγιστοποίηση της αποτελεσματικότητας ως προς την επίτευξη των στόχων πολιτικής, την αξιοποί</w:t>
      </w:r>
      <w:r>
        <w:rPr>
          <w:noProof/>
        </w:rPr>
        <w:t>ηση των οικονομιών κλίμακας και την αποφυγή των αλληλεπικαλύψεων μεταξύ δράσεων.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Μέτρα που εφαρμόζονται σε τρίτες χώρες και σε σχέση με τρίτες χώρες, τα οποία χρηματοδοτούνται μέσω του Ταμείου, θα πρέπει να λαμβάνονται σε συνέργεια και σε συνέπεια με άλλες</w:t>
      </w:r>
      <w:r>
        <w:rPr>
          <w:noProof/>
        </w:rPr>
        <w:t xml:space="preserve"> δράσεις εκτός της Ένωσης που χρηματοδοτούνται από τα μέσα εξωτερικής βοήθειας της Ένωσης. Συγκεκριμένα, κατά την εφαρμογή των εν λόγω δράσεων, θα πρέπει να επιδιώκεται η συνοχή με τις αρχές και τους γενικούς στόχους της εξωτερικής δράσης και της εξωτερική</w:t>
      </w:r>
      <w:r>
        <w:rPr>
          <w:noProof/>
        </w:rPr>
        <w:t>ς πολιτικής της Ένωσης σε σχέση με την εκάστοτε χώρα ή περιφέρεια. Όσον αφορά την εξωτερική διάσταση, το Ταμείο θα εστιάζει τη στήριξη στη βελτίωση της συνεργασίας με τρίτες χώρες σε τομείς που παρουσιάζουν ενδιαφέρον για την εσωτερική ασφάλεια της Ένωσης,</w:t>
      </w:r>
      <w:r>
        <w:rPr>
          <w:noProof/>
        </w:rPr>
        <w:t xml:space="preserve"> όπως, ιδίως, η καταπολέμηση της τρομοκρατίας και της ριζοσπαστικοποίησης, η ασφάλεια του εμπορίου και των μεταφορών, η συνεργασία με αρχές επιβολής του νόμου τρίτων χωρών όσον αφορά την καταπολέμηση της τρομοκρατίας (συμπεριλαμβανομένων αποσπάσεων και κοι</w:t>
      </w:r>
      <w:r>
        <w:rPr>
          <w:noProof/>
        </w:rPr>
        <w:t>νών ομάδων έρευνας), του σοβαρού και οργανωμένου εγκλήματος και της διαφθοράς, της εμπορίας ανθρώπων και της παράνομης διακίνησης μεταναστών.</w:t>
      </w:r>
    </w:p>
    <w:p w:rsidR="00E506D3" w:rsidRDefault="00A1386A">
      <w:pPr>
        <w:pStyle w:val="ManualHeading2"/>
        <w:rPr>
          <w:bCs/>
          <w:noProof/>
          <w:szCs w:val="24"/>
        </w:rPr>
      </w:pPr>
      <w:r>
        <w:rPr>
          <w:noProof/>
        </w:rPr>
        <w:br w:type="page"/>
      </w:r>
      <w:r>
        <w:t>1.5.</w:t>
      </w:r>
      <w:r>
        <w:tab/>
      </w:r>
      <w:r>
        <w:rPr>
          <w:noProof/>
        </w:rPr>
        <w:t>Διάρκεια και δημοσιονομικές επιπτώσεις</w:t>
      </w:r>
    </w:p>
    <w:p w:rsidR="00E506D3" w:rsidRDefault="00A1386A">
      <w:pPr>
        <w:pStyle w:val="Text1"/>
        <w:rPr>
          <w:noProof/>
        </w:rPr>
      </w:pPr>
      <w:r>
        <w:rPr>
          <w:noProof/>
        </w:rPr>
        <w:sym w:font="Wingdings" w:char="F0FE"/>
      </w:r>
      <w:r>
        <w:rPr>
          <w:b/>
          <w:i/>
          <w:noProof/>
        </w:rPr>
        <w:t xml:space="preserve"> </w:t>
      </w:r>
      <w:r>
        <w:rPr>
          <w:b/>
          <w:noProof/>
        </w:rPr>
        <w:t>περιορισμένη διάρκεια</w:t>
      </w:r>
    </w:p>
    <w:p w:rsidR="00E506D3" w:rsidRDefault="00A1386A">
      <w:pPr>
        <w:pStyle w:val="ListDash2"/>
        <w:rPr>
          <w:noProof/>
        </w:rPr>
      </w:pPr>
      <w:r>
        <w:rPr>
          <w:noProof/>
        </w:rPr>
        <w:sym w:font="Wingdings" w:char="F0FE"/>
      </w:r>
      <w:r>
        <w:rPr>
          <w:noProof/>
        </w:rPr>
        <w:tab/>
        <w:t xml:space="preserve">με ισχύ από 1.1.2021 έως 31.12.2027 </w:t>
      </w:r>
    </w:p>
    <w:p w:rsidR="00E506D3" w:rsidRDefault="00A1386A">
      <w:pPr>
        <w:pStyle w:val="ListDash2"/>
        <w:rPr>
          <w:noProof/>
        </w:rPr>
      </w:pPr>
      <w:r>
        <w:rPr>
          <w:noProof/>
        </w:rPr>
        <w:sym w:font="Wingdings" w:char="F0FE"/>
      </w:r>
      <w:r>
        <w:rPr>
          <w:noProof/>
        </w:rPr>
        <w:tab/>
        <w:t>Δημο</w:t>
      </w:r>
      <w:r>
        <w:rPr>
          <w:noProof/>
        </w:rPr>
        <w:t>σιονομικές επιπτώσεις από το 2021 έως το 2027 για πιστώσεις ανάληψης υποχρεώσεων και από το 2021 για πιστώσεις πληρωμών.</w:t>
      </w:r>
    </w:p>
    <w:p w:rsidR="00E506D3" w:rsidRDefault="00A1386A">
      <w:pPr>
        <w:pStyle w:val="Text1"/>
        <w:rPr>
          <w:noProof/>
        </w:rPr>
      </w:pPr>
      <w:r>
        <w:rPr>
          <w:noProof/>
        </w:rPr>
        <w:sym w:font="Wingdings" w:char="F0A8"/>
      </w:r>
      <w:r>
        <w:rPr>
          <w:b/>
          <w:i/>
          <w:noProof/>
        </w:rPr>
        <w:t xml:space="preserve"> </w:t>
      </w:r>
      <w:r>
        <w:rPr>
          <w:b/>
          <w:noProof/>
        </w:rPr>
        <w:t>απεριόριστη διάρκεια</w:t>
      </w:r>
    </w:p>
    <w:p w:rsidR="00E506D3" w:rsidRDefault="00A1386A">
      <w:pPr>
        <w:pStyle w:val="ListDash1"/>
        <w:rPr>
          <w:noProof/>
        </w:rPr>
      </w:pPr>
      <w:r>
        <w:rPr>
          <w:noProof/>
        </w:rPr>
        <w:t>Περίοδος σταδιακής εφαρμογής από το ΕΕΕΕ έως το ΕΕΕΕ,</w:t>
      </w:r>
    </w:p>
    <w:p w:rsidR="00E506D3" w:rsidRDefault="00A1386A">
      <w:pPr>
        <w:pStyle w:val="ListDash1"/>
        <w:rPr>
          <w:noProof/>
        </w:rPr>
      </w:pPr>
      <w:r>
        <w:rPr>
          <w:noProof/>
        </w:rPr>
        <w:t>και στη συνέχεια πλήρης εφαρμογή.</w:t>
      </w:r>
    </w:p>
    <w:p w:rsidR="00E506D3" w:rsidRDefault="00A1386A">
      <w:pPr>
        <w:pStyle w:val="ManualHeading2"/>
        <w:rPr>
          <w:bCs/>
          <w:noProof/>
          <w:szCs w:val="24"/>
        </w:rPr>
      </w:pPr>
      <w:r>
        <w:t>1.6.</w:t>
      </w:r>
      <w:r>
        <w:tab/>
      </w:r>
      <w:r>
        <w:rPr>
          <w:noProof/>
        </w:rPr>
        <w:t xml:space="preserve">Προβλεπόμενοι </w:t>
      </w:r>
      <w:r>
        <w:rPr>
          <w:noProof/>
        </w:rPr>
        <w:t>τρόποι διαχείρισης</w:t>
      </w:r>
      <w:r>
        <w:rPr>
          <w:rStyle w:val="FootnoteReference"/>
          <w:noProof/>
        </w:rPr>
        <w:footnoteReference w:id="39"/>
      </w:r>
    </w:p>
    <w:p w:rsidR="00E506D3" w:rsidRDefault="00A1386A">
      <w:pPr>
        <w:pStyle w:val="Text1"/>
        <w:rPr>
          <w:noProof/>
        </w:rPr>
      </w:pPr>
      <w:r>
        <w:rPr>
          <w:noProof/>
        </w:rPr>
        <w:sym w:font="Wingdings" w:char="F0FE"/>
      </w:r>
      <w:r>
        <w:rPr>
          <w:i/>
          <w:noProof/>
        </w:rPr>
        <w:t xml:space="preserve"> </w:t>
      </w:r>
      <w:r>
        <w:rPr>
          <w:b/>
          <w:noProof/>
        </w:rPr>
        <w:t>Άμεση διαχείριση</w:t>
      </w:r>
      <w:r>
        <w:rPr>
          <w:noProof/>
        </w:rPr>
        <w:t xml:space="preserve"> από την Επιτροπή</w:t>
      </w:r>
    </w:p>
    <w:p w:rsidR="00E506D3" w:rsidRDefault="00A1386A">
      <w:pPr>
        <w:pStyle w:val="ListDash2"/>
        <w:rPr>
          <w:rFonts w:cs="EUAlbertina"/>
          <w:noProof/>
        </w:rPr>
      </w:pPr>
      <w:r>
        <w:rPr>
          <w:noProof/>
        </w:rPr>
        <w:sym w:font="Wingdings" w:char="F0FE"/>
      </w:r>
      <w:r>
        <w:rPr>
          <w:noProof/>
        </w:rPr>
        <w:t xml:space="preserve"> από τις υπηρεσίες της, συμπεριλαμβανομένου του προσωπικού της στις αντιπροσωπείες της Ένωσης</w:t>
      </w:r>
    </w:p>
    <w:p w:rsidR="00E506D3" w:rsidRDefault="00A1386A">
      <w:pPr>
        <w:pStyle w:val="ListDash2"/>
        <w:rPr>
          <w:noProof/>
        </w:rPr>
      </w:pPr>
      <w:r>
        <w:rPr>
          <w:noProof/>
        </w:rPr>
        <w:sym w:font="Wingdings" w:char="F0A8"/>
      </w:r>
      <w:r>
        <w:rPr>
          <w:noProof/>
        </w:rPr>
        <w:tab/>
        <w:t>από τους εκτελεστικούς οργανισμούς</w:t>
      </w:r>
      <w:r>
        <w:rPr>
          <w:rStyle w:val="FootnoteReference"/>
          <w:noProof/>
        </w:rPr>
        <w:footnoteReference w:id="40"/>
      </w:r>
    </w:p>
    <w:p w:rsidR="00E506D3" w:rsidRDefault="00A1386A">
      <w:pPr>
        <w:pStyle w:val="Text1"/>
        <w:rPr>
          <w:noProof/>
        </w:rPr>
      </w:pPr>
      <w:r>
        <w:rPr>
          <w:noProof/>
        </w:rPr>
        <w:sym w:font="Wingdings" w:char="F0FE"/>
      </w:r>
      <w:r>
        <w:rPr>
          <w:b/>
          <w:i/>
          <w:noProof/>
        </w:rPr>
        <w:t xml:space="preserve"> </w:t>
      </w:r>
      <w:r>
        <w:rPr>
          <w:b/>
          <w:noProof/>
        </w:rPr>
        <w:t>Επιμερισμένη διαχείριση</w:t>
      </w:r>
      <w:r>
        <w:rPr>
          <w:noProof/>
        </w:rPr>
        <w:t xml:space="preserve"> με τα κράτη μέλη</w:t>
      </w:r>
    </w:p>
    <w:p w:rsidR="00E506D3" w:rsidRDefault="00A1386A">
      <w:pPr>
        <w:pStyle w:val="Text1"/>
        <w:rPr>
          <w:noProof/>
        </w:rPr>
      </w:pPr>
      <w:r>
        <w:rPr>
          <w:noProof/>
        </w:rPr>
        <w:sym w:font="Wingdings" w:char="F0FE"/>
      </w:r>
      <w:r>
        <w:rPr>
          <w:i/>
          <w:noProof/>
        </w:rPr>
        <w:t xml:space="preserve"> </w:t>
      </w:r>
      <w:r>
        <w:rPr>
          <w:b/>
          <w:noProof/>
        </w:rPr>
        <w:t>Έμμεση διαχείριση</w:t>
      </w:r>
      <w:r>
        <w:rPr>
          <w:noProof/>
        </w:rPr>
        <w:t xml:space="preserve"> με ανάθεση καθηκόντων εκτέλεσης του προϋπολογισμού:</w:t>
      </w:r>
    </w:p>
    <w:p w:rsidR="00E506D3" w:rsidRDefault="00A1386A">
      <w:pPr>
        <w:pStyle w:val="ListDash2"/>
        <w:rPr>
          <w:noProof/>
        </w:rPr>
      </w:pPr>
      <w:r>
        <w:rPr>
          <w:noProof/>
        </w:rPr>
        <w:sym w:font="Wingdings" w:char="F0FE"/>
      </w:r>
      <w:r>
        <w:rPr>
          <w:noProof/>
        </w:rPr>
        <w:t xml:space="preserve"> σε τρίτες χώρες ή οργανισμούς που αυτές έχουν ορίσει</w:t>
      </w:r>
    </w:p>
    <w:p w:rsidR="00E506D3" w:rsidRDefault="00A1386A">
      <w:pPr>
        <w:pStyle w:val="ListDash2"/>
        <w:rPr>
          <w:noProof/>
        </w:rPr>
      </w:pPr>
      <w:r>
        <w:rPr>
          <w:noProof/>
        </w:rPr>
        <w:sym w:font="Wingdings" w:char="F0FE"/>
      </w:r>
      <w:r>
        <w:rPr>
          <w:noProof/>
        </w:rPr>
        <w:t xml:space="preserve"> σε διεθνείς οργανισμούς και τις οργανώσεις τους (να προσδιοριστούν)</w:t>
      </w:r>
    </w:p>
    <w:p w:rsidR="00E506D3" w:rsidRDefault="00A1386A">
      <w:pPr>
        <w:pStyle w:val="ListDash2"/>
        <w:rPr>
          <w:noProof/>
        </w:rPr>
      </w:pPr>
      <w:r>
        <w:rPr>
          <w:noProof/>
        </w:rPr>
        <w:sym w:font="Wingdings" w:char="F0FE"/>
      </w:r>
      <w:r>
        <w:rPr>
          <w:noProof/>
        </w:rPr>
        <w:t xml:space="preserve"> στην ΕΤΕπ και το Ευρωπαϊκό Ταμείο Επενδύσεων</w:t>
      </w:r>
    </w:p>
    <w:p w:rsidR="00E506D3" w:rsidRDefault="00A1386A">
      <w:pPr>
        <w:pStyle w:val="ListDash2"/>
        <w:rPr>
          <w:noProof/>
        </w:rPr>
      </w:pPr>
      <w:r>
        <w:rPr>
          <w:noProof/>
        </w:rPr>
        <w:sym w:font="Wingdings" w:char="F0FE"/>
      </w:r>
      <w:r>
        <w:rPr>
          <w:noProof/>
        </w:rPr>
        <w:t xml:space="preserve"> στους οργανισμούς που αναφέρο</w:t>
      </w:r>
      <w:r>
        <w:rPr>
          <w:noProof/>
        </w:rPr>
        <w:t>νται στα άρθρα 70 και 71 του δημοσιονομικού κανονισμού</w:t>
      </w:r>
    </w:p>
    <w:p w:rsidR="00E506D3" w:rsidRDefault="00A1386A">
      <w:pPr>
        <w:pStyle w:val="ListDash2"/>
        <w:rPr>
          <w:noProof/>
        </w:rPr>
      </w:pPr>
      <w:r>
        <w:rPr>
          <w:noProof/>
        </w:rPr>
        <w:sym w:font="Wingdings" w:char="F0FE"/>
      </w:r>
      <w:r>
        <w:rPr>
          <w:noProof/>
        </w:rPr>
        <w:t xml:space="preserve"> σε οργανισμούς δημοσίου δικαίου</w:t>
      </w:r>
    </w:p>
    <w:p w:rsidR="00E506D3" w:rsidRDefault="00A1386A">
      <w:pPr>
        <w:pStyle w:val="ListDash2"/>
        <w:rPr>
          <w:noProof/>
        </w:rPr>
      </w:pPr>
      <w:r>
        <w:rPr>
          <w:noProof/>
        </w:rPr>
        <w:sym w:font="Wingdings" w:char="F0FE"/>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rsidR="00E506D3" w:rsidRDefault="00A1386A">
      <w:pPr>
        <w:pStyle w:val="ListDash2"/>
        <w:rPr>
          <w:noProof/>
        </w:rPr>
      </w:pPr>
      <w:r>
        <w:rPr>
          <w:noProof/>
        </w:rPr>
        <w:sym w:font="Wingdings" w:char="F0FE"/>
      </w:r>
      <w:r>
        <w:rPr>
          <w:noProof/>
        </w:rPr>
        <w:t xml:space="preserve"> σε οργανισμούς που δ</w:t>
      </w:r>
      <w:r>
        <w:rPr>
          <w:noProof/>
        </w:rPr>
        <w:t>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rsidR="00E506D3" w:rsidRDefault="00A1386A">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w:t>
      </w:r>
      <w:r>
        <w:rPr>
          <w:noProof/>
        </w:rPr>
        <w:t>βάσει του τίτλου V της ΣΕΕ και τα οποία προσδιορίζονται στην αντίστοιχη βασική πράξη</w:t>
      </w:r>
    </w:p>
    <w:p w:rsidR="00E506D3" w:rsidRDefault="00A1386A">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rsidR="00E506D3" w:rsidRDefault="00A1386A">
      <w:pPr>
        <w:rPr>
          <w:noProof/>
        </w:rPr>
      </w:pPr>
      <w:r>
        <w:rPr>
          <w:noProof/>
        </w:rPr>
        <w:t>Παρατηρήσεις</w:t>
      </w:r>
    </w:p>
    <w:p w:rsidR="00E506D3" w:rsidRDefault="00A1386A">
      <w:pPr>
        <w:pBdr>
          <w:top w:val="single" w:sz="4" w:space="1" w:color="auto"/>
          <w:left w:val="single" w:sz="4" w:space="4" w:color="auto"/>
          <w:bottom w:val="single" w:sz="4" w:space="1" w:color="auto"/>
          <w:right w:val="single" w:sz="4" w:space="4" w:color="auto"/>
        </w:pBdr>
        <w:rPr>
          <w:noProof/>
        </w:rPr>
      </w:pPr>
      <w:r>
        <w:rPr>
          <w:noProof/>
        </w:rPr>
        <w:t>Το προτεινόμενο Ταμείο θα εκτελείται μέσω επιμερισμένης ή</w:t>
      </w:r>
      <w:r>
        <w:rPr>
          <w:noProof/>
        </w:rPr>
        <w:t xml:space="preserve"> άμεσης ή έμμεσης διαχείρισης. Το μεγαλύτερο μέρος των πόρων θα κατανέμεται στα εθνικά προγράμματα υπό επιμερισμένη διαχείριση. Το υπόλοιπο θα κατανέμεται σε θεματικό μέσο και θα μπορεί να χρησιμοποιηθεί για συγκεκριμένες δράσεις (που υλοποιούνται από τα κ</w:t>
      </w:r>
      <w:r>
        <w:rPr>
          <w:noProof/>
        </w:rPr>
        <w:t>ράτη μέλη σε εθνικό ή διακρατικό επίπεδο), δράσεις της ΕΕ (άμεση/έμμεση διαχείριση) και βοήθεια έκτακτης ανάγκης (επιμερισμένη, άμεση ή έμμεση διαχείριση).</w:t>
      </w:r>
    </w:p>
    <w:p w:rsidR="00E506D3" w:rsidRDefault="00A1386A">
      <w:pPr>
        <w:pBdr>
          <w:top w:val="single" w:sz="4" w:space="1" w:color="auto"/>
          <w:left w:val="single" w:sz="4" w:space="4" w:color="auto"/>
          <w:bottom w:val="single" w:sz="4" w:space="1" w:color="auto"/>
          <w:right w:val="single" w:sz="4" w:space="4" w:color="auto"/>
        </w:pBdr>
        <w:rPr>
          <w:noProof/>
        </w:rPr>
      </w:pPr>
      <w:r>
        <w:rPr>
          <w:noProof/>
        </w:rPr>
        <w:t>Η τεχνική βοήθεια με πρωτοβουλία της Επιτροπής θα υλοποιείται με άμεση διαχείριση.</w:t>
      </w:r>
    </w:p>
    <w:p w:rsidR="00E506D3" w:rsidRDefault="00E506D3">
      <w:pPr>
        <w:spacing w:before="0" w:after="0"/>
        <w:jc w:val="left"/>
        <w:rPr>
          <w:noProof/>
        </w:rPr>
      </w:pPr>
    </w:p>
    <w:p w:rsidR="00E506D3" w:rsidRDefault="00A1386A">
      <w:pPr>
        <w:pStyle w:val="ManualHeading1"/>
        <w:rPr>
          <w:bCs/>
          <w:noProof/>
          <w:szCs w:val="24"/>
        </w:rPr>
      </w:pPr>
      <w:r>
        <w:t>2.</w:t>
      </w:r>
      <w:r>
        <w:tab/>
      </w:r>
      <w:r>
        <w:rPr>
          <w:noProof/>
        </w:rPr>
        <w:t>ΜΕΤΡΑ ΔΙΑΧΕΙΡ</w:t>
      </w:r>
      <w:r>
        <w:rPr>
          <w:noProof/>
        </w:rPr>
        <w:t>ΙΣΗΣ</w:t>
      </w:r>
    </w:p>
    <w:p w:rsidR="00E506D3" w:rsidRDefault="00A1386A">
      <w:pPr>
        <w:pStyle w:val="ManualHeading2"/>
        <w:rPr>
          <w:noProof/>
        </w:rPr>
      </w:pPr>
      <w:r>
        <w:t>2.1.</w:t>
      </w:r>
      <w:r>
        <w:tab/>
      </w:r>
      <w:r>
        <w:rPr>
          <w:noProof/>
        </w:rPr>
        <w:t>Κανόνες παρακολούθησης και υποβολής εκθέσεων</w:t>
      </w:r>
    </w:p>
    <w:p w:rsidR="00E506D3" w:rsidRDefault="00A1386A">
      <w:pPr>
        <w:pStyle w:val="Text1"/>
        <w:rPr>
          <w:i/>
          <w:noProof/>
          <w:sz w:val="20"/>
          <w:u w:val="single"/>
        </w:rPr>
      </w:pPr>
      <w:r>
        <w:rPr>
          <w:i/>
          <w:noProof/>
          <w:sz w:val="20"/>
        </w:rPr>
        <w:t>Να προσδιοριστούν η συχνότητα και οι όροι.</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Άμεση/έμμεση διαχείριση:</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xml:space="preserve">Η Επιτροπή θα παρακολουθεί άμεσα την υλοποίηση των δράσεων σύμφωνα με τις ρυθμίσεις που ορίζονται στις αντίστοιχες συμφωνίες </w:t>
      </w:r>
      <w:r>
        <w:rPr>
          <w:noProof/>
        </w:rPr>
        <w:t>επιδότησης, τις συμβάσεις εξουσιοδότησης με διεθνείς οργανισμούς όπου συντρέχει περίπτωση και τις συμβάσεις με τους δικαιούχους.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Επιμερισμένη διαχείριση:</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Κάθε κράτος μέλος θα θεσπίσει συστήματα διαχείρισης και ελέγχου για το πρόγραμμά του και θα διασφαλίζε</w:t>
      </w:r>
      <w:r>
        <w:rPr>
          <w:noProof/>
        </w:rPr>
        <w:t xml:space="preserve">ι την ποιότητα και την αξιοπιστία του συστήματος παρακολούθησης και των δεδομένων για του δείκτες, σύμφωνα με τον κανονισμό περί κοινών διατάξεων (ΚΚΔ). Προκειμένου να διευκολυνθεί η ταχεία έναρξη της υλοποίησης, είναι δυνατό να διατηρηθούν υφιστάμενα και </w:t>
      </w:r>
      <w:r>
        <w:rPr>
          <w:noProof/>
        </w:rPr>
        <w:t>εύρυθμα λειτουργούντα συστήματα διαχείρισης και ελέγχου στην επόμενη περίοδο προγραμματισμού.</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Στο πλαίσιο αυτό, θα ζητηθεί από τα κράτη μέλη να συστήσουν επιτροπή παρακολούθησης στην οποία συμμετέχει η Επιτροπή µε συμβουλευτική ιδιότητα. Η επιτροπή παρακολ</w:t>
      </w:r>
      <w:r>
        <w:rPr>
          <w:noProof/>
        </w:rPr>
        <w:t>ούθησης θα συνέρχεται τουλάχιστον μία φορά τον χρόνο. Θα εξετάζει όλα τα ζητήματα που επηρεάζουν την πρόοδο του προγράμματος όσον αφορά την επίτευξη των στόχων του.</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xml:space="preserve">Τα κράτη μέλη θα αποστέλλουν ετήσια έκθεση επιδόσεων στην οποία θα περιέχονται πληροφορίες </w:t>
      </w:r>
      <w:r>
        <w:rPr>
          <w:noProof/>
        </w:rPr>
        <w:t xml:space="preserve">σχετικά με την πρόοδο που σημειώνεται σε σχέση με την υλοποίηση του προγράμματος και την επίτευξη των στόχων και των οροσήμων. Στην έκθεση θα πρέπει επίσης να εγείρονται τυχόν ζητήματα που επηρεάζουν την επίδοση του προγράμματος και να περιγράφει τα μέτρα </w:t>
      </w:r>
      <w:r>
        <w:rPr>
          <w:noProof/>
        </w:rPr>
        <w:t>που ελήφθησαν για την αντιμετώπισή τους.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Στο τέλος της περιόδου, κάθε κράτος μέλος θα υποβάλλει τελική έκθεση επιδόσεων. Η τελική έκθεση θα πρέπει να εστιάζει στην πρόοδο που σημειώθηκε όσον αφορά την επίτευξη των στόχων του προγράμματος και θα πρέπει να π</w:t>
      </w:r>
      <w:r>
        <w:rPr>
          <w:noProof/>
        </w:rPr>
        <w:t>αρουσιάζει τα βασικά ζητήματα που επηρέασαν την επίδοση του προγράμματος, τα μέτρα που ελήφθησαν για την αντιμετώπιση των εν λόγω ζητημάτων και την αξιολόγηση της αποτελεσματικότητας των μέτρων αυτών. Επιπλέον, θα πρέπει να παρουσιάζει τη συμβολή του προγρ</w:t>
      </w:r>
      <w:r>
        <w:rPr>
          <w:noProof/>
        </w:rPr>
        <w:t>άμματος στην αντιμετώπιση των προκλήσεων που επισημαίνονται στις σχετικές συστάσεις της ΕΕ που απευθύνονται στο κράτος μέλος, την πρόοδο που σημειώθηκε όσον αφορά την επίτευξη των στόχων που ορίζονται στο πλαίσιο επίδοσης, τα συμπεράσματα των σχετικών αξιο</w:t>
      </w:r>
      <w:r>
        <w:rPr>
          <w:noProof/>
        </w:rPr>
        <w:t>λογήσεων και της παρακολούθησης των εν λόγω συμπερασμάτων και τα αποτελέσματα των δράσεων επικοινωνίας.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Σύμφωνα με το σχέδιο πρότασης ΚΚΔ, κάθε κράτος μέλος θα στέλνει σε ετήσια βάση δέσμη μέτρων για την εξασφάλιση της αξιοπιστίας που περιλαμβάνει τους ετή</w:t>
      </w:r>
      <w:r>
        <w:rPr>
          <w:noProof/>
        </w:rPr>
        <w:t>σιους λογαριασμούς, τη διαχειριστική δήλωση και τη γνωμοδότηση της ελεγκτικής αρχής όσον αφορά τους λογαριασμούς, το σύστημα διαχείρισης και ελέγχου και τη νομιμότητα και κανονικότητα των δαπανών που δηλώθηκαν στους ετήσιους λογαριασμούς. Η εν λόγω δέσμη μ</w:t>
      </w:r>
      <w:r>
        <w:rPr>
          <w:noProof/>
        </w:rPr>
        <w:t>έτρων για την εξασφάλιση της αξιοπιστίας θα χρησιμοποιείται από την Επιτροπή για τον καθορισμό του ποσού που θα βαρύνει το Ταμείο για τη λογιστική χρήση.</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Κάθε δύο έτη θα οργανώνεται συνεδρίαση επανεξέτασης μεταξύ της Επιτροπής και κάθε κράτους μέλους με σκ</w:t>
      </w:r>
      <w:r>
        <w:rPr>
          <w:noProof/>
        </w:rPr>
        <w:t>οπό την εξέταση της επίδοσης κάθε προγράμματος.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Έξι φορές τον χρόνο, τα κράτη μέλη διαβιβάζουν στοιχεία για κάθε πρόγραμμα κατανεμημένα ανά ειδικό στόχο. Τα εν λόγω στοιχεία πρέπει να αφορούν το κόστος των εργασιών και τις τιμές των κοινών δεικτών εκροών κ</w:t>
      </w:r>
      <w:r>
        <w:rPr>
          <w:noProof/>
        </w:rPr>
        <w:t>αι αποτελεσμάτων.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Γενικά:</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Η Επιτροπή θα διενεργήσει ενδιάμεση αξιολόγηση και εκ των υστέρων αξιολόγηση των δράσεων που εφαρμόζονται στο πλαίσιο του εν λόγω Ταμείου, σύμφωνα με τον ΚΚΔ. Η ενδιάμεση αξιολόγηση θα πρέπει να βασίζεται ιδίως στην ενδιάμεση αξιο</w:t>
      </w:r>
      <w:r>
        <w:rPr>
          <w:noProof/>
        </w:rPr>
        <w:t>λόγηση των προγραμμάτων που θα υποβληθούν στην Επιτροπή από τα κράτη μέλη έως την 31η Δεκεμβρίου 2024.</w:t>
      </w:r>
    </w:p>
    <w:p w:rsidR="00E506D3" w:rsidRDefault="00A1386A">
      <w:pPr>
        <w:pStyle w:val="ManualHeading2"/>
        <w:rPr>
          <w:bCs/>
          <w:noProof/>
          <w:szCs w:val="24"/>
        </w:rPr>
      </w:pPr>
      <w:r>
        <w:t>2.2.</w:t>
      </w:r>
      <w:r>
        <w:tab/>
      </w:r>
      <w:r>
        <w:rPr>
          <w:noProof/>
        </w:rPr>
        <w:t>Σύστημα διαχείρισης και ελέγχου</w:t>
      </w:r>
    </w:p>
    <w:p w:rsidR="00E506D3" w:rsidRDefault="00A1386A">
      <w:pPr>
        <w:pStyle w:val="ManualHeading3"/>
        <w:rPr>
          <w:noProof/>
        </w:rPr>
      </w:pPr>
      <w:r>
        <w:t>2.2.1.</w:t>
      </w:r>
      <w:r>
        <w:tab/>
      </w:r>
      <w:r>
        <w:rPr>
          <w:noProof/>
        </w:rPr>
        <w:t>Αιτιολόγηση των τρόπων διαχείρισης, των μέσων εκτέλεσης της χρηματοδότησης, των όρων πληρωμής και της προτειν</w:t>
      </w:r>
      <w:r>
        <w:rPr>
          <w:noProof/>
        </w:rPr>
        <w:t>όμενης στρατηγικής ελέγχου</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Τόσο από τις εκ των υστέρων αξιολογήσεις των κονδυλίων της περιόδου 2007-2013 της ΓΔ HOME όσο και από τις ενδιάμεσες αξιολογήσεις των τρεχόντων κονδυλίων της ΓΔ HOME προκύπτει ότι ο συνδυασμός τρόπων υλοποίησης στους τομείς της μ</w:t>
      </w:r>
      <w:r>
        <w:rPr>
          <w:noProof/>
        </w:rPr>
        <w:t>ετανάστευσης και των εσωτερικών υποθέσεων έδωσε τη δυνατότητα για έναν αποτελεσματικό τρόπο επίτευξης των στόχων των κονδυλίων. Η ολιστική προσέγγιση του σχεδιασμού των μέσων υλοποίησης θα πρέπει να διατηρηθεί και περιλαμβάνει την επιμερισμένη, την άμεση κ</w:t>
      </w:r>
      <w:r>
        <w:rPr>
          <w:noProof/>
        </w:rPr>
        <w:t>αι την έμμεση διαχείριση.</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Μέσω της επιμερισμένης διαχείρισης τα κράτη μέλη εκτελούν προγράμματα που συμβάλλουν στους στόχους πολιτικής της Ένωσης και είναι προσαρμοσμένα στα εθνικά τους δεδομένα. Μέσω της επιμερισμένης διαχείρισης διασφαλίζεται ότι διατίθε</w:t>
      </w:r>
      <w:r>
        <w:rPr>
          <w:noProof/>
        </w:rPr>
        <w:t>ται χρηματοδοτική στήριξη σε όλα τα συμμετέχοντα κράτη. Επιπλέον, η επιμερισμένη διαχείριση καθιστά εφικτή την προβλεψιμότητα της χρηματοδότησης και δίνει στα κράτη μέλη που γνωρίζουν καλύτερα τις προκλήσεις που αντιμετωπίζουν τη δυνατότητα για σχεδιασμό σ</w:t>
      </w:r>
      <w:r>
        <w:rPr>
          <w:noProof/>
        </w:rPr>
        <w:t>ε βάθος χρόνου. Η συμπληρωματική χρηματοδότηση για συγκεκριμένες δράσεις (που απαιτούν κοινή προσπάθεια μεταξύ των κρατών μελών ή στις περιπτώσεις που λόγω νέων εξελίξεων στην Ένωση απαιτείται η διάθεση επιπλέον χρηματοδότησης σε ένα ή περισσότερα κράτη μέ</w:t>
      </w:r>
      <w:r>
        <w:rPr>
          <w:noProof/>
        </w:rPr>
        <w:t xml:space="preserve">λη) και για δραστηριότητες επανεγκατάστασης και μεταφοράς μπορεί να εκτελεστεί μέσω επιμερισμένης διαχείρισης. Σε περίπτωση νέας εξέλιξης, το Ταμείο μπορεί επίσης να παράσχει βοήθεια έκτακτης ανάγκης μέσω επιμερισμένης διαχείρισης, εκτός από την άμεση και </w:t>
      </w:r>
      <w:r>
        <w:rPr>
          <w:noProof/>
        </w:rPr>
        <w:t>την έμμεση διαχείριση.</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xml:space="preserve">Μέσω άμεσης διαχείρισης, η Επιτροπή στηρίζει άλλες δράσεις που συμβάλλουν στην επιδίωξη των κοινών στόχων πολιτικής της Ένωσης. Οι δράσεις καθιστούν δυνατή την εξατομικευμένη στήριξη για επείγουσες και ειδικές ανάγκες στα επί μέρους </w:t>
      </w:r>
      <w:r>
        <w:rPr>
          <w:noProof/>
        </w:rPr>
        <w:t>κράτη μέλη («βοήθεια έκτακτης ανάγκης»), στηρίζουν τα διακρατικά δίκτυα και δραστηριότητες, δοκιμάζουν καινοτόμες δραστηριότητες που θα μπορούσαν να αναπτυχθούν στο πλαίσιο εθνικών προγραμμάτων και καλύπτουν μελέτες που εξυπηρετούν το συμφέρον της Ένωσης ω</w:t>
      </w:r>
      <w:r>
        <w:rPr>
          <w:noProof/>
        </w:rPr>
        <w:t>ς συνόλου («δράσεις της Ένωσης»).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Μέσω της έμμεσης διαχείρισης το Ταμείο διατηρεί τη δυνατότητα ανάθεσης καθηκόντων εκτέλεσης του προϋπολογισμού, μεταξύ άλλων, σε διεθνείς οργανισμούς και οργανισμούς του τομέα των εσωτερικών υποθέσεων για συγκεκριμένους σκ</w:t>
      </w:r>
      <w:r>
        <w:rPr>
          <w:noProof/>
        </w:rPr>
        <w:t>οπούς.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Λαμβανομένων υπόψη των διαφορετικών στόχων και αναγκών, προτείνεται θεματικό μέσο στο πλαίσιο του Ταμείου ως τρόπος εξισορρόπησης της προβλεψιμότητας της πολυετούς κατανομής χρηματοδότησης στα εθνικά προγράμματα και της ευελιξίας κατά την παροχή χρη</w:t>
      </w:r>
      <w:r>
        <w:rPr>
          <w:noProof/>
        </w:rPr>
        <w:t>ματοδότησης σε περιοδική βάση σε δράσεις με υψηλό επίπεδο ευρωπαϊκής προστιθέμενης αξίας. Το θεματικό μέσο θα χρησιμοποιηθεί για συγκεκριμένες δράσεις εντός και μεταξύ των κρατών μελών, δράσεις της Ένωσης, τη βοήθεια έκτακτης ανάγκης, την επανεγκατάσταση κ</w:t>
      </w:r>
      <w:r>
        <w:rPr>
          <w:noProof/>
        </w:rPr>
        <w:t>αι τη μετεγκατάσταση. Θα διασφαλίσει ότι τα κονδύλια μπορούν να κατανεμηθούν και να μεταφερθούν μεταξύ των διαφόρων τρόπων παραπάνω, με βάση διετή κύκλο προγραμματισμού.</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Οι διαδικασίες πληρωμής για την επιμερισμένη διαχείριση περιγράφονται στο σχέδιο πρότα</w:t>
      </w:r>
      <w:r>
        <w:rPr>
          <w:noProof/>
        </w:rPr>
        <w:t>σης ΚΚΔ, που προβλέπει ετήσια προχρηματοδότηση και στη συνέχεια τέσσερις το πολύ ενδιάμεσες πληρωμές ανά πρόγραμμα και έτος με βάση τις αιτήσεις πληρωμής που αποστέλλονται από τα κράτη μέλη κατά τη λογιστική χρήση. Σύμφωνα με το σχέδιο πρότασης ΚΚΔ, η προχ</w:t>
      </w:r>
      <w:r>
        <w:rPr>
          <w:noProof/>
        </w:rPr>
        <w:t>ρηματοδότηση εκκαθαρίζεται εντός της τελευταίας λογιστικής χρήσης των προγραμμάτων.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Η στρατηγική ελέγχου θα βασίζεται στον νέο δημοσιονομικό κανονισμό και στον ΚΚΔ. Ο νέος δημοσιονομικός κανονισμός και το σχέδιο πρότασης για τον ΚΚΔ αναμένεται να επεκτείνο</w:t>
      </w:r>
      <w:r>
        <w:rPr>
          <w:noProof/>
        </w:rPr>
        <w:t>υν τη χρήση των απλουστευμένων μορφών επιχορηγήσεων, όπως των εφάπαξ ποσών, των κατ’ αποκοπή συντελεστών και των μοναδιαίων δαπανών. Εισάγουν επίσης νέες μορφές πληρωμών, με βάση τα αποτελέσματα που επιτυγχάνονται αντί για το κόστος. Οι δικαιούχοι θα μπορο</w:t>
      </w:r>
      <w:r>
        <w:rPr>
          <w:noProof/>
        </w:rPr>
        <w:t>ύν να λάβουν συγκεκριμένο ποσό εάν αποδείξουν την πραγματοποίηση ορισμένων δράσεων, όπως τα μαθήματα κατάρτισης ή η παροχή βοήθειας έκτακτης ανάγκης. Αυτό αναμένεται να απλουστεύσει τον φόρτο ελέγχου τόσο σε επίπεδο δικαιούχων όσο και σε επίπεδο κρατών μελ</w:t>
      </w:r>
      <w:r>
        <w:rPr>
          <w:noProof/>
        </w:rPr>
        <w:t>ών (π.χ. έλεγχος λογαριασμών και αποδείξεων δαπανών).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Για την επιμερισμένη διαχείριση, το σχέδιο πρότασης ΚΚΔ βασίζεται στη στρατηγική διαχείρισης και ελέγχου για την περίοδο προγραμματισμού 2014-2020 αλλά εισάγει ορισμένα μέτρα με στόχο την απλούστευση τη</w:t>
      </w:r>
      <w:r>
        <w:rPr>
          <w:noProof/>
        </w:rPr>
        <w:t>ς υλοποίησης και τη μείωση του φόρτου ελέγχου τόσο σε επίπεδο δικαιούχων όσο και σε επίπεδο κρατών μελών. Στις νέες εξελίξεις περιλαμβάνονται τα εξής: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xml:space="preserve">- η κατάργηση της διαδικασίας ορισμού (που θα πρέπει να καθιστά δυνατή την επιτάχυνση της υλοποίησης των </w:t>
      </w:r>
      <w:r>
        <w:rPr>
          <w:noProof/>
        </w:rPr>
        <w:t>προγραμμάτων)·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οι επαληθεύσεις διαχείρισης (διοικητικές και επιτόπιες) που θα διενεργούνται από τη διαχειριστική αρχή βάσει κινδύνου (σε σχέση με τους 100 % διοικητικούς ελέγχους που απαιτούνται στην περίοδο προγραμματισμού 2014-2020). Επιπλέον, υπό ορισ</w:t>
      </w:r>
      <w:r>
        <w:rPr>
          <w:noProof/>
        </w:rPr>
        <w:t>μένες προϋποθέσεις, οι διαχειριστικές αρχές μπορούν να εφαρμόζουν ρυθμίσεις αναλογικού ελέγχου σύμφωνα με τις εθνικές διαδικασίες·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οι προϋποθέσεις για την αποφυγή πολλαπλών ελέγχων στην ίδια διαδικασία/δαπάνη.</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Οι αρχές του προγράμματος θα υποβάλουν στην Επιτροπή αιτήσεις ενδιάμεσων πληρωμών με βάση τις δαπάνες που βαρύνουν τους δικαιούχους. Το σχέδιο πρότασης ΚΚΔ δίνει επίσης στις διαχειριστικές αρχές τη δυνατότητα διενέργειας επαληθεύσεων διαχείρισης βάσει κινδ</w:t>
      </w:r>
      <w:r>
        <w:rPr>
          <w:noProof/>
        </w:rPr>
        <w:t>ύνου και προβλέπει ειδικούς ελέγχους (π.χ. επιτόπιους ελέγχους από τη διαχειριστική αρχή και ελέγχους των πράξεων/δαπανών από την ελεγκτική αρχή) μετά τη δήλωση της συναφούς δαπάνης στην Επιτροπή στην αίτηση ενδιάμεσης πληρωμής. Προκειμένου να μετριαστεί ο</w:t>
      </w:r>
      <w:r>
        <w:rPr>
          <w:noProof/>
        </w:rPr>
        <w:t xml:space="preserve"> κίνδυνος επιστροφής μη επιλέξιμων δαπανών, το σχέδιο ΚΚΔ θέτει όριο στις ενδιάμεσες πληρωμές της Επιτροπής στο 90 %, δεδομένου ότι αυτή τη στιγμή έχει πραγματοποιηθεί μόνο ένα μέρος των εθνικών ελέγχων. Η Επιτροπή θα καταβάλει το υπόλοιπο ποσό μετά τη δια</w:t>
      </w:r>
      <w:r>
        <w:rPr>
          <w:noProof/>
        </w:rPr>
        <w:t>δικασία ετήσιας εκκαθάρισης λογαριασμών, αφού λάβει τη δέσμη εγγράφων για τη διασφάλιση της αξιοπιστίας από τις αρχές του προγράμματος. Τυχόν παρατυπίες που εντοπίζονται από την Επιτροπή ή το Ευρωπαϊκό Ελεγκτικό Συνέδριο μετά τη διαβίβαση της ετήσιας δέσμη</w:t>
      </w:r>
      <w:r>
        <w:rPr>
          <w:noProof/>
        </w:rPr>
        <w:t xml:space="preserve">ς εγγράφων για τη διασφάλιση της αξιοπιστίας μπορεί να οδηγήσει σε καθαρή δημοσιονομική διόρθωση. </w:t>
      </w:r>
    </w:p>
    <w:p w:rsidR="00E506D3" w:rsidRDefault="00A1386A">
      <w:pPr>
        <w:pStyle w:val="ManualHeading3"/>
        <w:rPr>
          <w:bCs/>
          <w:noProof/>
          <w:szCs w:val="24"/>
        </w:rPr>
      </w:pPr>
      <w:r>
        <w:t>2.2.2.</w:t>
      </w:r>
      <w:r>
        <w:tab/>
      </w:r>
      <w:r>
        <w:rPr>
          <w:noProof/>
        </w:rPr>
        <w:t>Πληροφορίες σχετικά με τους κινδύνους που έχουν εντοπιστεί και τα συστήματα εσωτερικού ελέγχου που έχουν δημιουργηθεί για τον μετριασμό τους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Επιμερισμ</w:t>
      </w:r>
      <w:r>
        <w:rPr>
          <w:noProof/>
        </w:rPr>
        <w:t>ένη διαχείριση:</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Η ΓΔ HOME δεν αντιμετωπίζει σημαντικούς κινδύνους σφαλμάτων στα προγράμματα δαπανών της. Το γεγονός αυτό επιβεβαιώνεται από τη συστηματική απουσία σημαντικών πορισμάτων στις ετήσιες εκθέσεις του Ελεγκτικού Συνεδρίου. Επιπλέον, η ΓΔ HOME έχε</w:t>
      </w:r>
      <w:r>
        <w:rPr>
          <w:noProof/>
        </w:rPr>
        <w:t xml:space="preserve">ι ήδη αναθεωρήσει τη νομική της βάση (τον κανονισμό (ΕΕ) 2015/378 και τον κατ’ εξουσιοδότηση κανονισμό (ΕΕ) 1042/2014) με σκοπό την περαιτέρω εναρμόνισή της με το πλαίσιο ελέγχου της πολιτικής για τη συνοχή και το μοντέλο διασφάλισής τους και τη διατήρηση </w:t>
      </w:r>
      <w:r>
        <w:rPr>
          <w:noProof/>
        </w:rPr>
        <w:t>χαμηλού επιπέδου σφαλμάτων στα προγράμματα δαπανών της. Αυτή η προσπάθεια εναρμόνισης συνεχίζεται με την παρούσα πρόταση, στις περιπτώσεις που το πλαίσιο ελέγχου είναι σύμφωνο με τις άλλες ΓΔ για την πολιτική συνοχής.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Στην επιμερισμένη διαχείριση, οι γενικ</w:t>
      </w:r>
      <w:r>
        <w:rPr>
          <w:noProof/>
        </w:rPr>
        <w:t>οί κίνδυνοι σε σχέση με την υλοποίηση των τρεχόντων προγραμμάτων αφορούν τη μερική εκτέλεση του Ταμείου από τα κράτη μέλη και τα πιθανά σφάλματα που οφείλονται στην πολυπλοκότητα των κανόνων και τις αδυναμίες των συστημάτων διαχείρισης και ελέγχου. Το σχέδ</w:t>
      </w:r>
      <w:r>
        <w:rPr>
          <w:noProof/>
        </w:rPr>
        <w:t>ιο ΚΚΔ απλουστεύει το ρυθμιστικό πλαίσιο μέσω της εναρμόνισης των κανόνων και των συστημάτων διαχείρισης και ελέγχου στα διάφορα Ταμεία που εκτελούνται υπό επιμερισμένη διαχείριση. Καθιστά επίσης δυνατές τις απαιτήσεις ελέγχου που είναι διαφοροποιημένες βά</w:t>
      </w:r>
      <w:r>
        <w:rPr>
          <w:noProof/>
        </w:rPr>
        <w:t xml:space="preserve">σει κινδύνου (π.χ. επαληθεύσεις διαχείρισης βάσει κινδύνου, δυνατότητα ρυθμίσεων αναλογικού ελέγχου με βάση εθνικές διαδικασίες, περιορισμοί ελεγκτικών εργασιών όσον αφορά τον χρόνο και/ή ειδικές πράξεις). </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Άμεση/έμμεση διαχείριση:</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Με βάση την πρόσφατη ανά</w:t>
      </w:r>
      <w:r>
        <w:rPr>
          <w:noProof/>
        </w:rPr>
        <w:t>λυση των κύριων αιτίων και ειδών σφαλμάτων που εντοπίζονται συχνότερα στους εκ των υστέρων ελέγχους, οι κύριοι τομείς έλλειψης συμμόρφωσης αφορούν την κακή δημοσιονομική διαχείριση των επιχορηγήσεων που δίνονται στους δικαιούχους, τη μη ύπαρξη ή την ανεπάρ</w:t>
      </w:r>
      <w:r>
        <w:rPr>
          <w:noProof/>
        </w:rPr>
        <w:t>κεια δικαιολογητικών εγγράφων, τις λανθασμένες διαδικασίες σύναψης συμβάσεων και τις μη προϋπολογισμένες δαπάνες.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Κατά συνέπεια, οι κίνδυνοι πηγάζουν κυρίως από τα ακόλουθα:</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τη διασφάλιση της ποιότητας των επιλεγμένων έργων και της τεχνικής υλοποίησής το</w:t>
      </w:r>
      <w:r>
        <w:rPr>
          <w:noProof/>
        </w:rPr>
        <w:t>υς, την ασαφή ή ελλιπή καθοδήγηση που παρέχεται στους δικαιούχους ή την ανεπαρκή παρακολούθηση·</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τον κίνδυνο αναποτελεσματικής ή οικονομικά μη αποδοτικής χρήσης των χορηγούμενων κεφαλαίων, τόσο των επιχορηγήσεων (περιπλοκότητα της επιστροφής των πραγματικ</w:t>
      </w:r>
      <w:r>
        <w:rPr>
          <w:noProof/>
        </w:rPr>
        <w:t xml:space="preserve">ών επιλέξιμων δαπανών σε συνδυασμό με περιορισμένες πιθανότητες ελέγχου των επιλέξιμων δαπανών σε επίπεδο εγγράφων) και των συμβάσεων προμηθειών (ενίοτε περιορισμένος αριθμός οικονομικών προμηθευτών με την απαιτούμενη ειδική γνώση, γεγονός που συνεπάγεται </w:t>
      </w:r>
      <w:r>
        <w:rPr>
          <w:noProof/>
        </w:rPr>
        <w:t>ανεπαρκείς δυνατότητες σύγκρισης των προσφορών)·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τον κίνδυνο σχετικά με την ικανότητα (ιδίως) των μικρότερων οντοτήτων να ελέγχουν αποτελεσματικά τις δαπάνες και να διασφαλίζουν τη διαφάνεια των εκτελούμενων πράξεων·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τον κίνδυνο δυσφήμισης της Επιτροπή</w:t>
      </w:r>
      <w:r>
        <w:rPr>
          <w:noProof/>
        </w:rPr>
        <w:t>ς σε περίπτωση αποκάλυψης απάτης ή εγκληματικών δραστηριοτήτων· τα συστήματα εσωτερικού ελέγχου τρίτων μπορούν να παράσχουν μόνο περιορισμένη αξιοπιστία, κυρίως λόγω του μεγάλου αριθμού ανομοιογενών αναδόχων και δικαιούχων, καθένας από τους οποίους λειτουρ</w:t>
      </w:r>
      <w:r>
        <w:rPr>
          <w:noProof/>
        </w:rPr>
        <w:t>γεί με δικό του σύστημα ελέγχου, το οποίο είναι συνήθως μικρού μεγέθους.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Οι περισσότεροι από αυτούς τους κινδύνους αναμένεται να μειωθούν χάρη στον καλύτερο σχεδιασμό των προσκλήσεων υποβολής προτάσεων, την καθοδήγηση στους δικαιούχους, την στόχευση των πρ</w:t>
      </w:r>
      <w:r>
        <w:rPr>
          <w:noProof/>
        </w:rPr>
        <w:t>οτάσεων και την καλύτερη χρήση των απλουστευμένων δαπανών και τη διασταύρωση στοιχείων για τους ελέγχους και τις αξιολογήσεις όπως περιλαμβάνονται στον νέο δημοσιονομικό κανονισμό.</w:t>
      </w:r>
    </w:p>
    <w:p w:rsidR="00E506D3" w:rsidRDefault="00A1386A">
      <w:pPr>
        <w:pStyle w:val="ManualHeading3"/>
        <w:rPr>
          <w:noProof/>
        </w:rPr>
      </w:pPr>
      <w:r>
        <w:t>2.2.3.</w:t>
      </w:r>
      <w:r>
        <w:tab/>
      </w:r>
      <w:r>
        <w:rPr>
          <w:noProof/>
        </w:rPr>
        <w:t xml:space="preserve">Εκτίμηση και αιτιολόγηση της οικονομικής αποδοτικότητας των ελέγχων </w:t>
      </w:r>
      <w:r>
        <w:rPr>
          <w:noProof/>
        </w:rPr>
        <w:t>(λόγος του κόστους του ελέγχου ÷ της αξίας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Επιμερισμένη διαχείριση:</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Το κόστος των ελέγχων αναμέ</w:t>
      </w:r>
      <w:r>
        <w:rPr>
          <w:noProof/>
        </w:rPr>
        <w:t xml:space="preserve">νεται να παραμείνει ίδιο ή ενδεχομένως να μειωθεί για τα κράτη μέλη. Για τον τρέχοντα κύκλο προγραμματισμού (2014-2020), από το 2017, το σωρευτικό κόστος του ελέγχου από τα κράτη μέλη εκτιμάται ότι ανέρχεται σε περίπου 5 % του συνολικού ποσού των πληρωμών </w:t>
      </w:r>
      <w:r>
        <w:rPr>
          <w:noProof/>
        </w:rPr>
        <w:t>που ζητήθηκαν από τα κράτη μέλη για το έτος 2017.</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xml:space="preserve">Το ποσοστό αυτό αναμένεται να μειωθεί με τη βελτίωση της αποτελεσματικότητας κατά την υλοποίηση των προγραμμάτων και την αύξηση των πληρωμών στα κράτη μέλη. </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Η εισαγωγή της προσέγγισης βάσει κινδύνου όσον α</w:t>
      </w:r>
      <w:r>
        <w:rPr>
          <w:noProof/>
        </w:rPr>
        <w:t xml:space="preserve">φορά τη διαχείριση και τους ελέγχους στο σχέδιο ΚΚΔ σε συνδυασμό με την ενίσχυση της προσπάθειας εφαρμογής απλουστευμένων επιλογών κόστους, αναμένεται να μειώσουν περαιτέρω το κόστος των ελέγχων για τα κράτη μέλη. </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Άμεση/έμμεση διαχείριση:</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xml:space="preserve">Το κόστος των </w:t>
      </w:r>
      <w:r>
        <w:rPr>
          <w:noProof/>
        </w:rPr>
        <w:t>ελέγχων ανέρχεται στο 2,5 % περίπου των πληρωμών που διενεργήθηκαν από τη ΓΔ HOME. Αυτό αναμένεται να παραμείνει σταθερό ή να μειωθεί ελαφρά σε περίπτωση διεύρυνσης της χρήσης απλουστευμένων επιλογών κόστους την επόμενη περίοδο προγραμματισμού.</w:t>
      </w:r>
    </w:p>
    <w:p w:rsidR="00E506D3" w:rsidRDefault="00A1386A">
      <w:pPr>
        <w:pStyle w:val="ManualHeading2"/>
        <w:rPr>
          <w:bCs/>
          <w:noProof/>
          <w:szCs w:val="24"/>
        </w:rPr>
      </w:pPr>
      <w:r>
        <w:t>2.3.</w:t>
      </w:r>
      <w:r>
        <w:tab/>
      </w:r>
      <w:r>
        <w:rPr>
          <w:noProof/>
        </w:rPr>
        <w:t xml:space="preserve">Μέτρα </w:t>
      </w:r>
      <w:r>
        <w:rPr>
          <w:noProof/>
        </w:rPr>
        <w:t>για την πρόληψη περιπτώσεων απάτης και παρατυπίας</w:t>
      </w:r>
    </w:p>
    <w:p w:rsidR="00E506D3" w:rsidRDefault="00A1386A">
      <w:pPr>
        <w:pStyle w:val="Text1"/>
        <w:rPr>
          <w:i/>
          <w:noProof/>
          <w:sz w:val="20"/>
        </w:rPr>
      </w:pPr>
      <w:r>
        <w:rPr>
          <w:i/>
          <w:noProof/>
          <w:sz w:val="20"/>
        </w:rPr>
        <w:t>Να προσδιοριστούν τα ισχύοντα ή τα προβλεπόμενα μέτρα πρόληψης και προστασίας, π.χ. στη στρατηγική για την καταπολέμηση της απάτης.</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Η πρόληψη και ο εντοπισμός της απάτης είναι ένας από τους στόχους του εσωτ</w:t>
      </w:r>
      <w:r>
        <w:rPr>
          <w:noProof/>
        </w:rPr>
        <w:t>ερικού ελέγχου όπως προβλέπεται στον δημοσιονομικό κανονισμό και αποτελεί βασικό ζήτημα διακυβέρνησης που πρέπει να αντιμετωπίσει η Επιτροπή σε όλο τον κύκλο ζωής των δαπανών.</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Επιπλέον, η στρατηγική της ΓΔ HOME για την καταπολέμηση της φοροδιαφυγής αποσκοπ</w:t>
      </w:r>
      <w:r>
        <w:rPr>
          <w:noProof/>
        </w:rPr>
        <w:t>εί κυρίως στην πρόληψη, τον εντοπισμό και την αποζημίωση της απάτης, διασφαλίζοντας μεταξύ άλλων ότι οι εσωτερικοί έλεγχοί της για την καταπολέμηση της απάτης είναι πλήρως εναρμονισμένοι με τη στρατηγική της Επιτροπής για την καταπολέμηση της απάτης και ότ</w:t>
      </w:r>
      <w:r>
        <w:rPr>
          <w:noProof/>
        </w:rPr>
        <w:t xml:space="preserve">ι η προσέγγισή της για τη διαχείριση του κινδύνου απάτης είναι στραμμένη στον εντοπισμό τομέων που ενέχουν κίνδυνο απάτης και κατάλληλων απαντήσεων. </w:t>
      </w:r>
    </w:p>
    <w:p w:rsidR="00E506D3" w:rsidRDefault="00A1386A">
      <w:pPr>
        <w:pStyle w:val="Text1"/>
        <w:pBdr>
          <w:top w:val="single" w:sz="4" w:space="1" w:color="auto"/>
          <w:left w:val="single" w:sz="4" w:space="4" w:color="auto"/>
          <w:bottom w:val="single" w:sz="4" w:space="1" w:color="auto"/>
          <w:right w:val="single" w:sz="4" w:space="4" w:color="auto"/>
        </w:pBdr>
        <w:rPr>
          <w:noProof/>
        </w:rPr>
      </w:pPr>
      <w:r>
        <w:rPr>
          <w:noProof/>
        </w:rPr>
        <w:t xml:space="preserve">Όσον αφορά την επιμερισμένη διαχείριση, τα κράτη μέλη θα διασφαλίζουν τη νομιμότητα και την κανονικότητα </w:t>
      </w:r>
      <w:r>
        <w:rPr>
          <w:noProof/>
        </w:rPr>
        <w:t>των δαπανών που περιλαμβάνονται στους λογαριασμούς που υποβάλουν στην Επιτροπή. Στο πλαίσιο αυτό, τα κράτη μέλη θα λαμβάνουν όλα τα απαραίτητα μέτρα για την πρόληψη, τον εντοπισμό και τη διόρθωση παρατυπιών, συμπεριλαμβανομένης της απάτης. Όπως στον τρέχον</w:t>
      </w:r>
      <w:r>
        <w:rPr>
          <w:noProof/>
        </w:rPr>
        <w:t>τα κύκλο προγραμματισμού (2014-2020)</w:t>
      </w:r>
      <w:r>
        <w:rPr>
          <w:rStyle w:val="FootnoteReference"/>
          <w:noProof/>
        </w:rPr>
        <w:footnoteReference w:id="41"/>
      </w:r>
      <w:r>
        <w:rPr>
          <w:noProof/>
        </w:rPr>
        <w:t xml:space="preserve">, τα κράτη μέλη θα υποχρεούνται να θεσπίσουν διαδικασίες για τον εντοπισμό παρατυπιών και την καταπολέμηση της απάτης και να αναφέρουν στην Επιτροπή τυχόν παρατυπίες, συμπεριλαμβανομένων περιπτώσεων υπονοιών απάτης και </w:t>
      </w:r>
      <w:r>
        <w:rPr>
          <w:noProof/>
        </w:rPr>
        <w:t>διαπιστωμένης απάτης στους τομείς της επιμερισμένης διαχείρισης. Τα μέτρα για την καταπολέμηση της απάτης θα παραμείνουν διατομεακή αρχή και υποχρέωση για τα κράτη μέλη.</w:t>
      </w:r>
    </w:p>
    <w:p w:rsidR="00E506D3" w:rsidRDefault="00E506D3">
      <w:pPr>
        <w:pStyle w:val="Text1"/>
        <w:pBdr>
          <w:top w:val="single" w:sz="4" w:space="1" w:color="auto"/>
          <w:left w:val="single" w:sz="4" w:space="4" w:color="auto"/>
          <w:bottom w:val="single" w:sz="4" w:space="1" w:color="auto"/>
          <w:right w:val="single" w:sz="4" w:space="4" w:color="auto"/>
        </w:pBdr>
        <w:rPr>
          <w:noProof/>
        </w:rPr>
        <w:sectPr w:rsidR="00E506D3" w:rsidSect="00A1386A">
          <w:headerReference w:type="default" r:id="rId23"/>
          <w:footerReference w:type="default" r:id="rId24"/>
          <w:headerReference w:type="first" r:id="rId25"/>
          <w:footerReference w:type="first" r:id="rId26"/>
          <w:footnotePr>
            <w:numRestart w:val="eachSect"/>
          </w:footnotePr>
          <w:pgSz w:w="11907" w:h="16840" w:code="9"/>
          <w:pgMar w:top="1134" w:right="1418" w:bottom="1134" w:left="1418" w:header="709" w:footer="709" w:gutter="0"/>
          <w:cols w:space="708"/>
          <w:docGrid w:linePitch="360"/>
        </w:sectPr>
      </w:pPr>
    </w:p>
    <w:p w:rsidR="00E506D3" w:rsidRDefault="00A1386A">
      <w:pPr>
        <w:pStyle w:val="ManualHeading1"/>
        <w:rPr>
          <w:bCs/>
          <w:noProof/>
          <w:szCs w:val="24"/>
        </w:rPr>
      </w:pPr>
      <w:r>
        <w:t>3.</w:t>
      </w:r>
      <w:r>
        <w:tab/>
      </w:r>
      <w:r>
        <w:rPr>
          <w:noProof/>
        </w:rPr>
        <w:t>ΕΚΤΙΜΩΜΕΝΕΣ ΔΗΜΟΣΙΟΝ</w:t>
      </w:r>
      <w:r>
        <w:rPr>
          <w:noProof/>
        </w:rPr>
        <w:t>ΟΜΙΚΕΣ ΕΠΙΠΤΩΣΕΙΣ ΤΗΣ ΠΡΟΤΑΣΗΣ/ΠΡΩΤΟΒΟΥΛΙΑΣ</w:t>
      </w:r>
    </w:p>
    <w:p w:rsidR="00E506D3" w:rsidRDefault="00A1386A">
      <w:pPr>
        <w:pStyle w:val="ManualHeading2"/>
        <w:rPr>
          <w:noProof/>
        </w:rPr>
      </w:pPr>
      <w:r>
        <w:t>3.1.</w:t>
      </w:r>
      <w:r>
        <w:tab/>
      </w:r>
      <w:r>
        <w:rPr>
          <w:noProof/>
        </w:rPr>
        <w:t>Τομείς του πολυετούς δημοσιονομικού πλαισίου και νέες γραμμές δαπανών του προϋπολογισμού που προτείνονται</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E506D3">
        <w:tc>
          <w:tcPr>
            <w:tcW w:w="1080" w:type="dxa"/>
            <w:vMerge w:val="restart"/>
            <w:vAlign w:val="center"/>
          </w:tcPr>
          <w:p w:rsidR="00E506D3" w:rsidRDefault="00A1386A">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rsidR="00E506D3" w:rsidRDefault="00A1386A">
            <w:pPr>
              <w:spacing w:before="60" w:after="60"/>
              <w:jc w:val="center"/>
              <w:rPr>
                <w:noProof/>
              </w:rPr>
            </w:pPr>
            <w:r>
              <w:rPr>
                <w:noProof/>
                <w:sz w:val="20"/>
              </w:rPr>
              <w:t>Γραμμή του προϋπολογισμού</w:t>
            </w:r>
          </w:p>
        </w:tc>
        <w:tc>
          <w:tcPr>
            <w:tcW w:w="1080" w:type="dxa"/>
            <w:vAlign w:val="center"/>
          </w:tcPr>
          <w:p w:rsidR="00E506D3" w:rsidRDefault="00A1386A">
            <w:pPr>
              <w:spacing w:before="60" w:after="60"/>
              <w:jc w:val="center"/>
              <w:rPr>
                <w:noProof/>
              </w:rPr>
            </w:pPr>
            <w:r>
              <w:rPr>
                <w:noProof/>
                <w:sz w:val="18"/>
              </w:rPr>
              <w:t>Είδος</w:t>
            </w:r>
            <w:r>
              <w:rPr>
                <w:noProof/>
                <w:sz w:val="22"/>
              </w:rPr>
              <w:br/>
            </w:r>
            <w:r>
              <w:rPr>
                <w:noProof/>
                <w:sz w:val="18"/>
              </w:rPr>
              <w:t>δαπάνης</w:t>
            </w:r>
          </w:p>
        </w:tc>
        <w:tc>
          <w:tcPr>
            <w:tcW w:w="4440" w:type="dxa"/>
            <w:gridSpan w:val="4"/>
            <w:vAlign w:val="center"/>
          </w:tcPr>
          <w:p w:rsidR="00E506D3" w:rsidRDefault="00A1386A">
            <w:pPr>
              <w:spacing w:before="60" w:after="60"/>
              <w:jc w:val="center"/>
              <w:rPr>
                <w:noProof/>
              </w:rPr>
            </w:pPr>
            <w:r>
              <w:rPr>
                <w:noProof/>
                <w:sz w:val="20"/>
              </w:rPr>
              <w:t xml:space="preserve">Συμμετοχή </w:t>
            </w:r>
          </w:p>
        </w:tc>
      </w:tr>
      <w:tr w:rsidR="00E506D3">
        <w:tc>
          <w:tcPr>
            <w:tcW w:w="1080" w:type="dxa"/>
            <w:vMerge/>
            <w:vAlign w:val="center"/>
          </w:tcPr>
          <w:p w:rsidR="00E506D3" w:rsidRDefault="00E506D3">
            <w:pPr>
              <w:jc w:val="center"/>
              <w:rPr>
                <w:noProof/>
              </w:rPr>
            </w:pPr>
          </w:p>
        </w:tc>
        <w:tc>
          <w:tcPr>
            <w:tcW w:w="3960" w:type="dxa"/>
            <w:vAlign w:val="center"/>
          </w:tcPr>
          <w:p w:rsidR="00E506D3" w:rsidRDefault="00A1386A">
            <w:pPr>
              <w:rPr>
                <w:noProof/>
              </w:rPr>
            </w:pPr>
            <w:r>
              <w:rPr>
                <w:noProof/>
                <w:sz w:val="20"/>
              </w:rPr>
              <w:t>Τομέας 5: «Ασφάλεια και άμυνα»</w:t>
            </w:r>
          </w:p>
        </w:tc>
        <w:tc>
          <w:tcPr>
            <w:tcW w:w="1080" w:type="dxa"/>
            <w:vAlign w:val="center"/>
          </w:tcPr>
          <w:p w:rsidR="00E506D3" w:rsidRDefault="00A1386A">
            <w:pPr>
              <w:jc w:val="center"/>
              <w:rPr>
                <w:noProof/>
              </w:rPr>
            </w:pPr>
            <w:r>
              <w:rPr>
                <w:noProof/>
                <w:sz w:val="18"/>
              </w:rPr>
              <w:t>ΔΠ/ΜΔΜ</w:t>
            </w:r>
            <w:r>
              <w:rPr>
                <w:rStyle w:val="FootnoteReference"/>
                <w:noProof/>
                <w:sz w:val="18"/>
              </w:rPr>
              <w:footnoteReference w:id="42"/>
            </w:r>
          </w:p>
        </w:tc>
        <w:tc>
          <w:tcPr>
            <w:tcW w:w="956" w:type="dxa"/>
            <w:vAlign w:val="center"/>
          </w:tcPr>
          <w:p w:rsidR="00E506D3" w:rsidRDefault="00A1386A">
            <w:pPr>
              <w:jc w:val="center"/>
              <w:rPr>
                <w:noProof/>
              </w:rPr>
            </w:pPr>
            <w:r>
              <w:rPr>
                <w:noProof/>
                <w:sz w:val="18"/>
              </w:rPr>
              <w:t>χωρών ΕΖΕΣ</w:t>
            </w:r>
            <w:r>
              <w:rPr>
                <w:rStyle w:val="FootnoteReference"/>
                <w:noProof/>
                <w:sz w:val="18"/>
              </w:rPr>
              <w:footnoteReference w:id="43"/>
            </w:r>
          </w:p>
          <w:p w:rsidR="00E506D3" w:rsidRDefault="00E506D3">
            <w:pPr>
              <w:jc w:val="center"/>
              <w:rPr>
                <w:noProof/>
                <w:sz w:val="18"/>
              </w:rPr>
            </w:pPr>
          </w:p>
        </w:tc>
        <w:tc>
          <w:tcPr>
            <w:tcW w:w="1080" w:type="dxa"/>
            <w:vAlign w:val="center"/>
          </w:tcPr>
          <w:p w:rsidR="00E506D3" w:rsidRDefault="00A1386A">
            <w:pPr>
              <w:jc w:val="center"/>
              <w:rPr>
                <w:noProof/>
              </w:rPr>
            </w:pPr>
            <w:r>
              <w:rPr>
                <w:noProof/>
                <w:sz w:val="18"/>
              </w:rPr>
              <w:t>υποψηφίων για ένταξη χωρών</w:t>
            </w:r>
            <w:r>
              <w:rPr>
                <w:rStyle w:val="FootnoteReference"/>
                <w:noProof/>
                <w:sz w:val="18"/>
              </w:rPr>
              <w:footnoteReference w:id="44"/>
            </w:r>
          </w:p>
          <w:p w:rsidR="00E506D3" w:rsidRDefault="00E506D3">
            <w:pPr>
              <w:jc w:val="center"/>
              <w:rPr>
                <w:noProof/>
                <w:sz w:val="18"/>
              </w:rPr>
            </w:pPr>
          </w:p>
        </w:tc>
        <w:tc>
          <w:tcPr>
            <w:tcW w:w="956" w:type="dxa"/>
            <w:vAlign w:val="center"/>
          </w:tcPr>
          <w:p w:rsidR="00E506D3" w:rsidRDefault="00A1386A">
            <w:pPr>
              <w:jc w:val="center"/>
              <w:rPr>
                <w:noProof/>
                <w:sz w:val="18"/>
              </w:rPr>
            </w:pPr>
            <w:r>
              <w:rPr>
                <w:noProof/>
                <w:sz w:val="18"/>
              </w:rPr>
              <w:t>τρίτων χωρών</w:t>
            </w:r>
          </w:p>
        </w:tc>
        <w:tc>
          <w:tcPr>
            <w:tcW w:w="1448" w:type="dxa"/>
            <w:vAlign w:val="center"/>
          </w:tcPr>
          <w:p w:rsidR="00E506D3" w:rsidRDefault="00A1386A">
            <w:pPr>
              <w:jc w:val="center"/>
              <w:rPr>
                <w:noProof/>
              </w:rPr>
            </w:pPr>
            <w:r>
              <w:rPr>
                <w:noProof/>
                <w:sz w:val="16"/>
              </w:rPr>
              <w:t xml:space="preserve">κατά την έννοια του άρθρου [21 παράγραφος 2 στοιχείο β)] του δημοσιονομικού κανονισμού </w:t>
            </w:r>
          </w:p>
        </w:tc>
      </w:tr>
      <w:tr w:rsidR="00E506D3">
        <w:tc>
          <w:tcPr>
            <w:tcW w:w="1080" w:type="dxa"/>
            <w:vAlign w:val="center"/>
          </w:tcPr>
          <w:p w:rsidR="00E506D3" w:rsidRDefault="00A1386A">
            <w:pPr>
              <w:jc w:val="center"/>
              <w:rPr>
                <w:noProof/>
              </w:rPr>
            </w:pPr>
            <w:r>
              <w:rPr>
                <w:noProof/>
              </w:rPr>
              <w:t>5</w:t>
            </w:r>
          </w:p>
        </w:tc>
        <w:tc>
          <w:tcPr>
            <w:tcW w:w="3960" w:type="dxa"/>
            <w:vAlign w:val="center"/>
          </w:tcPr>
          <w:p w:rsidR="00E506D3" w:rsidRDefault="00A1386A">
            <w:pPr>
              <w:spacing w:before="60"/>
              <w:rPr>
                <w:noProof/>
                <w:sz w:val="16"/>
                <w:szCs w:val="16"/>
              </w:rPr>
            </w:pPr>
            <w:r>
              <w:rPr>
                <w:noProof/>
              </w:rPr>
              <w:t>12.02.01</w:t>
            </w:r>
            <w:r>
              <w:rPr>
                <w:noProof/>
                <w:sz w:val="16"/>
              </w:rPr>
              <w:t xml:space="preserve"> — Ταμείο Εσωτερικής Ασφάλειας (ΤΕΑ)</w:t>
            </w:r>
            <w:r>
              <w:rPr>
                <w:rStyle w:val="FootnoteReference"/>
                <w:noProof/>
                <w:sz w:val="16"/>
              </w:rPr>
              <w:footnoteReference w:id="45"/>
            </w:r>
          </w:p>
          <w:p w:rsidR="00E506D3" w:rsidRDefault="00E506D3">
            <w:pPr>
              <w:spacing w:after="60"/>
              <w:rPr>
                <w:noProof/>
              </w:rPr>
            </w:pPr>
          </w:p>
        </w:tc>
        <w:tc>
          <w:tcPr>
            <w:tcW w:w="1080" w:type="dxa"/>
            <w:vAlign w:val="center"/>
          </w:tcPr>
          <w:p w:rsidR="00E506D3" w:rsidRDefault="00A1386A">
            <w:pPr>
              <w:jc w:val="center"/>
              <w:rPr>
                <w:noProof/>
              </w:rPr>
            </w:pPr>
            <w:r>
              <w:rPr>
                <w:noProof/>
                <w:sz w:val="22"/>
              </w:rPr>
              <w:t>ΔΠ</w:t>
            </w:r>
          </w:p>
        </w:tc>
        <w:tc>
          <w:tcPr>
            <w:tcW w:w="956" w:type="dxa"/>
            <w:vAlign w:val="center"/>
          </w:tcPr>
          <w:p w:rsidR="00E506D3" w:rsidRDefault="00A1386A">
            <w:pPr>
              <w:jc w:val="center"/>
              <w:rPr>
                <w:noProof/>
              </w:rPr>
            </w:pPr>
            <w:r>
              <w:rPr>
                <w:noProof/>
                <w:sz w:val="22"/>
              </w:rPr>
              <w:t>ΟΧΙ</w:t>
            </w:r>
          </w:p>
        </w:tc>
        <w:tc>
          <w:tcPr>
            <w:tcW w:w="1080" w:type="dxa"/>
            <w:vAlign w:val="center"/>
          </w:tcPr>
          <w:p w:rsidR="00E506D3" w:rsidRDefault="00A1386A">
            <w:pPr>
              <w:jc w:val="center"/>
              <w:rPr>
                <w:noProof/>
                <w:sz w:val="18"/>
              </w:rPr>
            </w:pPr>
            <w:r>
              <w:rPr>
                <w:noProof/>
                <w:sz w:val="22"/>
              </w:rPr>
              <w:t>ΟΧΙ</w:t>
            </w:r>
          </w:p>
        </w:tc>
        <w:tc>
          <w:tcPr>
            <w:tcW w:w="956" w:type="dxa"/>
            <w:vAlign w:val="center"/>
          </w:tcPr>
          <w:p w:rsidR="00E506D3" w:rsidRDefault="00A1386A">
            <w:pPr>
              <w:jc w:val="center"/>
              <w:rPr>
                <w:noProof/>
                <w:sz w:val="18"/>
              </w:rPr>
            </w:pPr>
            <w:r>
              <w:rPr>
                <w:noProof/>
                <w:sz w:val="22"/>
              </w:rPr>
              <w:t>ΟΧΙ</w:t>
            </w:r>
          </w:p>
        </w:tc>
        <w:tc>
          <w:tcPr>
            <w:tcW w:w="1448" w:type="dxa"/>
            <w:vAlign w:val="center"/>
          </w:tcPr>
          <w:p w:rsidR="00E506D3" w:rsidRDefault="00A1386A">
            <w:pPr>
              <w:jc w:val="center"/>
              <w:rPr>
                <w:noProof/>
              </w:rPr>
            </w:pPr>
            <w:r>
              <w:rPr>
                <w:noProof/>
                <w:sz w:val="22"/>
              </w:rPr>
              <w:t>ΟΧΙ</w:t>
            </w:r>
          </w:p>
        </w:tc>
      </w:tr>
      <w:tr w:rsidR="00E506D3">
        <w:tc>
          <w:tcPr>
            <w:tcW w:w="1080" w:type="dxa"/>
            <w:vAlign w:val="center"/>
          </w:tcPr>
          <w:p w:rsidR="00E506D3" w:rsidRDefault="00A1386A">
            <w:pPr>
              <w:jc w:val="center"/>
              <w:rPr>
                <w:noProof/>
              </w:rPr>
            </w:pPr>
            <w:r>
              <w:rPr>
                <w:noProof/>
              </w:rPr>
              <w:t>5</w:t>
            </w:r>
          </w:p>
        </w:tc>
        <w:tc>
          <w:tcPr>
            <w:tcW w:w="3960" w:type="dxa"/>
            <w:vAlign w:val="center"/>
          </w:tcPr>
          <w:p w:rsidR="00E506D3" w:rsidRDefault="00A1386A">
            <w:pPr>
              <w:spacing w:before="60"/>
            </w:pPr>
            <w:r>
              <w:rPr>
                <w:noProof/>
              </w:rPr>
              <w:t>12.01.01</w:t>
            </w:r>
            <w:r>
              <w:rPr>
                <w:noProof/>
                <w:sz w:val="16"/>
              </w:rPr>
              <w:t xml:space="preserve"> — Δαπάνες στήριξης για το Ταμείο Εσωτερικής Ασφάλειας (τεχνική βοήθεια)</w:t>
            </w:r>
          </w:p>
        </w:tc>
        <w:tc>
          <w:tcPr>
            <w:tcW w:w="1080" w:type="dxa"/>
            <w:vAlign w:val="center"/>
          </w:tcPr>
          <w:p w:rsidR="00E506D3" w:rsidRDefault="00A1386A">
            <w:pPr>
              <w:jc w:val="center"/>
              <w:rPr>
                <w:noProof/>
              </w:rPr>
            </w:pPr>
            <w:r>
              <w:rPr>
                <w:noProof/>
                <w:sz w:val="22"/>
              </w:rPr>
              <w:t>ΜΔΠ</w:t>
            </w:r>
          </w:p>
        </w:tc>
        <w:tc>
          <w:tcPr>
            <w:tcW w:w="956" w:type="dxa"/>
            <w:vAlign w:val="center"/>
          </w:tcPr>
          <w:p w:rsidR="00E506D3" w:rsidRDefault="00A1386A">
            <w:pPr>
              <w:jc w:val="center"/>
              <w:rPr>
                <w:noProof/>
                <w:sz w:val="22"/>
              </w:rPr>
            </w:pPr>
            <w:r>
              <w:rPr>
                <w:noProof/>
                <w:sz w:val="22"/>
              </w:rPr>
              <w:t>ΟΧΙ</w:t>
            </w:r>
          </w:p>
        </w:tc>
        <w:tc>
          <w:tcPr>
            <w:tcW w:w="1080" w:type="dxa"/>
            <w:vAlign w:val="center"/>
          </w:tcPr>
          <w:p w:rsidR="00E506D3" w:rsidRDefault="00A1386A">
            <w:pPr>
              <w:jc w:val="center"/>
              <w:rPr>
                <w:noProof/>
                <w:sz w:val="22"/>
              </w:rPr>
            </w:pPr>
            <w:r>
              <w:rPr>
                <w:noProof/>
                <w:sz w:val="22"/>
              </w:rPr>
              <w:t>ΟΧΙ</w:t>
            </w:r>
          </w:p>
        </w:tc>
        <w:tc>
          <w:tcPr>
            <w:tcW w:w="956" w:type="dxa"/>
            <w:vAlign w:val="center"/>
          </w:tcPr>
          <w:p w:rsidR="00E506D3" w:rsidRDefault="00A1386A">
            <w:pPr>
              <w:jc w:val="center"/>
              <w:rPr>
                <w:noProof/>
                <w:sz w:val="22"/>
              </w:rPr>
            </w:pPr>
            <w:r>
              <w:rPr>
                <w:noProof/>
                <w:sz w:val="22"/>
              </w:rPr>
              <w:t>ΟΧΙ</w:t>
            </w:r>
          </w:p>
        </w:tc>
        <w:tc>
          <w:tcPr>
            <w:tcW w:w="1448" w:type="dxa"/>
            <w:vAlign w:val="center"/>
          </w:tcPr>
          <w:p w:rsidR="00E506D3" w:rsidRDefault="00A1386A">
            <w:pPr>
              <w:jc w:val="center"/>
              <w:rPr>
                <w:noProof/>
                <w:sz w:val="22"/>
              </w:rPr>
            </w:pPr>
            <w:r>
              <w:rPr>
                <w:noProof/>
                <w:sz w:val="22"/>
              </w:rPr>
              <w:t>ΟΧΙ</w:t>
            </w:r>
          </w:p>
        </w:tc>
      </w:tr>
    </w:tbl>
    <w:p w:rsidR="00E506D3" w:rsidRDefault="00E506D3">
      <w:pPr>
        <w:rPr>
          <w:noProof/>
        </w:rPr>
        <w:sectPr w:rsidR="00E506D3" w:rsidSect="00A1386A">
          <w:pgSz w:w="11907" w:h="16840" w:code="1"/>
          <w:pgMar w:top="1134" w:right="1418" w:bottom="1134" w:left="1418" w:header="709" w:footer="709" w:gutter="0"/>
          <w:cols w:space="708"/>
          <w:docGrid w:linePitch="360"/>
        </w:sectPr>
      </w:pPr>
    </w:p>
    <w:p w:rsidR="00E506D3" w:rsidRDefault="00A1386A">
      <w:pPr>
        <w:pStyle w:val="ManualHeading2"/>
        <w:rPr>
          <w:bCs/>
          <w:noProof/>
          <w:szCs w:val="24"/>
        </w:rPr>
      </w:pPr>
      <w:r>
        <w:t>3.2.</w:t>
      </w:r>
      <w:r>
        <w:tab/>
      </w:r>
      <w:r>
        <w:rPr>
          <w:noProof/>
        </w:rPr>
        <w:t>Εκτιμώμενες επιπτώσεις στις δαπάνες</w:t>
      </w:r>
    </w:p>
    <w:p w:rsidR="00E506D3" w:rsidRDefault="00A1386A">
      <w:pPr>
        <w:pStyle w:val="ManualHeading3"/>
        <w:rPr>
          <w:noProof/>
          <w:u w:val="single"/>
        </w:rPr>
      </w:pPr>
      <w:r>
        <w:t>3.2.1.</w:t>
      </w:r>
      <w:r>
        <w:tab/>
      </w:r>
      <w:r>
        <w:rPr>
          <w:noProof/>
        </w:rPr>
        <w:t>Συνοπτική παρουσίαση των εκτιμώμενων επιπτώσεων στις δαπάνες</w:t>
      </w:r>
    </w:p>
    <w:p w:rsidR="00E506D3" w:rsidRDefault="00A1386A">
      <w:pPr>
        <w:jc w:val="right"/>
        <w:rPr>
          <w:noProof/>
          <w:sz w:val="20"/>
        </w:rPr>
      </w:pPr>
      <w:r>
        <w:rPr>
          <w:noProof/>
          <w:sz w:val="20"/>
        </w:rPr>
        <w:t>σε εκατ. EUR (με τρία</w:t>
      </w:r>
      <w:r>
        <w:rPr>
          <w:noProof/>
          <w:sz w:val="20"/>
        </w:rPr>
        <w:t xml:space="preserve">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506D3">
        <w:trPr>
          <w:jc w:val="center"/>
        </w:trPr>
        <w:tc>
          <w:tcPr>
            <w:tcW w:w="4744" w:type="dxa"/>
            <w:shd w:val="thinDiagStripe" w:color="C0C0C0" w:fill="auto"/>
            <w:vAlign w:val="center"/>
          </w:tcPr>
          <w:p w:rsidR="00E506D3" w:rsidRDefault="00A1386A">
            <w:pPr>
              <w:spacing w:before="60" w:after="60"/>
              <w:jc w:val="center"/>
              <w:rPr>
                <w:b/>
                <w:noProof/>
              </w:rPr>
            </w:pPr>
            <w:r>
              <w:rPr>
                <w:b/>
                <w:noProof/>
              </w:rPr>
              <w:t>Τομέας του πολυετούς δημοσιονομικού</w:t>
            </w:r>
            <w:r>
              <w:rPr>
                <w:noProof/>
                <w:sz w:val="22"/>
              </w:rPr>
              <w:br/>
            </w:r>
            <w:r>
              <w:rPr>
                <w:b/>
                <w:noProof/>
                <w:sz w:val="22"/>
              </w:rPr>
              <w:t xml:space="preserve">πλαισίου </w:t>
            </w:r>
          </w:p>
        </w:tc>
        <w:tc>
          <w:tcPr>
            <w:tcW w:w="1080" w:type="dxa"/>
            <w:vAlign w:val="center"/>
          </w:tcPr>
          <w:p w:rsidR="00E506D3" w:rsidRDefault="00A1386A">
            <w:pPr>
              <w:spacing w:before="60" w:after="60"/>
              <w:jc w:val="center"/>
              <w:rPr>
                <w:noProof/>
              </w:rPr>
            </w:pPr>
            <w:r>
              <w:rPr>
                <w:noProof/>
                <w:sz w:val="22"/>
              </w:rPr>
              <w:t>5</w:t>
            </w:r>
          </w:p>
        </w:tc>
        <w:tc>
          <w:tcPr>
            <w:tcW w:w="7817" w:type="dxa"/>
            <w:vAlign w:val="center"/>
          </w:tcPr>
          <w:p w:rsidR="00E506D3" w:rsidRDefault="00A1386A">
            <w:pPr>
              <w:spacing w:before="60" w:after="60"/>
              <w:rPr>
                <w:noProof/>
              </w:rPr>
            </w:pPr>
            <w:r>
              <w:rPr>
                <w:noProof/>
                <w:sz w:val="22"/>
              </w:rPr>
              <w:t>«Ασφάλεια και άμυνα»</w:t>
            </w:r>
          </w:p>
        </w:tc>
      </w:tr>
    </w:tbl>
    <w:p w:rsidR="00E506D3" w:rsidRDefault="00E506D3">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78"/>
        <w:gridCol w:w="992"/>
        <w:gridCol w:w="1196"/>
      </w:tblGrid>
      <w:tr w:rsidR="00E506D3">
        <w:trPr>
          <w:jc w:val="center"/>
        </w:trPr>
        <w:tc>
          <w:tcPr>
            <w:tcW w:w="6197" w:type="dxa"/>
            <w:gridSpan w:val="3"/>
            <w:tcBorders>
              <w:top w:val="nil"/>
              <w:left w:val="nil"/>
              <w:bottom w:val="nil"/>
              <w:right w:val="single" w:sz="4" w:space="0" w:color="auto"/>
            </w:tcBorders>
            <w:vAlign w:val="center"/>
          </w:tcPr>
          <w:p w:rsidR="00E506D3" w:rsidRDefault="00E506D3">
            <w:pPr>
              <w:jc w:val="center"/>
              <w:rPr>
                <w:b/>
                <w:noProof/>
                <w:sz w:val="20"/>
              </w:rPr>
            </w:pPr>
          </w:p>
        </w:tc>
        <w:tc>
          <w:tcPr>
            <w:tcW w:w="868" w:type="dxa"/>
            <w:tcBorders>
              <w:left w:val="single" w:sz="4" w:space="0" w:color="auto"/>
            </w:tcBorders>
            <w:vAlign w:val="center"/>
          </w:tcPr>
          <w:p w:rsidR="00E506D3" w:rsidRDefault="00A1386A">
            <w:pPr>
              <w:jc w:val="center"/>
              <w:rPr>
                <w:b/>
                <w:noProof/>
                <w:sz w:val="20"/>
              </w:rPr>
            </w:pPr>
            <w:r>
              <w:rPr>
                <w:b/>
                <w:noProof/>
                <w:sz w:val="20"/>
              </w:rPr>
              <w:t>2021</w:t>
            </w:r>
          </w:p>
        </w:tc>
        <w:tc>
          <w:tcPr>
            <w:tcW w:w="868" w:type="dxa"/>
            <w:vAlign w:val="center"/>
          </w:tcPr>
          <w:p w:rsidR="00E506D3" w:rsidRDefault="00A1386A">
            <w:pPr>
              <w:jc w:val="center"/>
              <w:rPr>
                <w:b/>
                <w:noProof/>
                <w:sz w:val="20"/>
              </w:rPr>
            </w:pPr>
            <w:r>
              <w:rPr>
                <w:b/>
                <w:noProof/>
                <w:sz w:val="20"/>
              </w:rPr>
              <w:t>2022</w:t>
            </w:r>
          </w:p>
        </w:tc>
        <w:tc>
          <w:tcPr>
            <w:tcW w:w="868" w:type="dxa"/>
            <w:vAlign w:val="center"/>
          </w:tcPr>
          <w:p w:rsidR="00E506D3" w:rsidRDefault="00A1386A">
            <w:pPr>
              <w:jc w:val="center"/>
              <w:rPr>
                <w:b/>
                <w:noProof/>
                <w:sz w:val="20"/>
              </w:rPr>
            </w:pPr>
            <w:r>
              <w:rPr>
                <w:b/>
                <w:noProof/>
                <w:sz w:val="20"/>
              </w:rPr>
              <w:t>2023</w:t>
            </w:r>
          </w:p>
        </w:tc>
        <w:tc>
          <w:tcPr>
            <w:tcW w:w="868" w:type="dxa"/>
            <w:vAlign w:val="center"/>
          </w:tcPr>
          <w:p w:rsidR="00E506D3" w:rsidRDefault="00A1386A">
            <w:pPr>
              <w:jc w:val="center"/>
              <w:rPr>
                <w:b/>
                <w:noProof/>
                <w:sz w:val="20"/>
              </w:rPr>
            </w:pPr>
            <w:r>
              <w:rPr>
                <w:b/>
                <w:noProof/>
                <w:sz w:val="20"/>
              </w:rPr>
              <w:t>2024</w:t>
            </w:r>
          </w:p>
        </w:tc>
        <w:tc>
          <w:tcPr>
            <w:tcW w:w="868" w:type="dxa"/>
            <w:vAlign w:val="center"/>
          </w:tcPr>
          <w:p w:rsidR="00E506D3" w:rsidRDefault="00A1386A">
            <w:pPr>
              <w:jc w:val="center"/>
              <w:rPr>
                <w:b/>
                <w:noProof/>
                <w:sz w:val="18"/>
              </w:rPr>
            </w:pPr>
            <w:r>
              <w:rPr>
                <w:b/>
                <w:noProof/>
                <w:sz w:val="18"/>
              </w:rPr>
              <w:t>2025</w:t>
            </w:r>
          </w:p>
        </w:tc>
        <w:tc>
          <w:tcPr>
            <w:tcW w:w="868" w:type="dxa"/>
            <w:vAlign w:val="center"/>
          </w:tcPr>
          <w:p w:rsidR="00E506D3" w:rsidRDefault="00A1386A">
            <w:pPr>
              <w:jc w:val="center"/>
              <w:rPr>
                <w:b/>
                <w:noProof/>
                <w:sz w:val="18"/>
              </w:rPr>
            </w:pPr>
            <w:r>
              <w:rPr>
                <w:b/>
                <w:noProof/>
                <w:sz w:val="18"/>
              </w:rPr>
              <w:t>2026</w:t>
            </w:r>
          </w:p>
        </w:tc>
        <w:tc>
          <w:tcPr>
            <w:tcW w:w="878" w:type="dxa"/>
            <w:vAlign w:val="center"/>
          </w:tcPr>
          <w:p w:rsidR="00E506D3" w:rsidRDefault="00A1386A">
            <w:pPr>
              <w:jc w:val="center"/>
              <w:rPr>
                <w:b/>
                <w:noProof/>
                <w:sz w:val="18"/>
              </w:rPr>
            </w:pPr>
            <w:r>
              <w:rPr>
                <w:b/>
                <w:noProof/>
                <w:sz w:val="18"/>
              </w:rPr>
              <w:t>2027</w:t>
            </w:r>
          </w:p>
        </w:tc>
        <w:tc>
          <w:tcPr>
            <w:tcW w:w="992" w:type="dxa"/>
          </w:tcPr>
          <w:p w:rsidR="00E506D3" w:rsidRDefault="00A1386A">
            <w:pPr>
              <w:jc w:val="center"/>
              <w:rPr>
                <w:b/>
                <w:i/>
                <w:noProof/>
                <w:sz w:val="20"/>
              </w:rPr>
            </w:pPr>
            <w:r>
              <w:rPr>
                <w:b/>
                <w:i/>
                <w:noProof/>
                <w:sz w:val="20"/>
              </w:rPr>
              <w:t>Μετά το 2027</w:t>
            </w:r>
          </w:p>
        </w:tc>
        <w:tc>
          <w:tcPr>
            <w:tcW w:w="1196" w:type="dxa"/>
            <w:vAlign w:val="center"/>
          </w:tcPr>
          <w:p w:rsidR="00E506D3" w:rsidRDefault="00A1386A">
            <w:pPr>
              <w:jc w:val="center"/>
              <w:rPr>
                <w:b/>
                <w:noProof/>
                <w:sz w:val="20"/>
              </w:rPr>
            </w:pPr>
            <w:r>
              <w:rPr>
                <w:b/>
                <w:noProof/>
                <w:sz w:val="20"/>
              </w:rPr>
              <w:t>ΣΥΝΟΛΟ</w:t>
            </w:r>
          </w:p>
        </w:tc>
      </w:tr>
      <w:tr w:rsidR="00E506D3">
        <w:trPr>
          <w:trHeight w:val="433"/>
          <w:jc w:val="center"/>
        </w:trPr>
        <w:tc>
          <w:tcPr>
            <w:tcW w:w="4103" w:type="dxa"/>
            <w:vMerge w:val="restart"/>
            <w:vAlign w:val="center"/>
          </w:tcPr>
          <w:p w:rsidR="00E506D3" w:rsidRDefault="00A1386A">
            <w:pPr>
              <w:rPr>
                <w:noProof/>
              </w:rPr>
            </w:pPr>
            <w:r>
              <w:rPr>
                <w:noProof/>
                <w:sz w:val="20"/>
              </w:rPr>
              <w:t xml:space="preserve">Επιχειρησιακές πιστώσεις (κατανεμημένες σύμφωνα με τις γραμμές του προϋπολογισμού στο σημείο 3.1) </w:t>
            </w:r>
          </w:p>
        </w:tc>
        <w:tc>
          <w:tcPr>
            <w:tcW w:w="1440" w:type="dxa"/>
            <w:vAlign w:val="center"/>
          </w:tcPr>
          <w:p w:rsidR="00E506D3" w:rsidRDefault="00A1386A">
            <w:pPr>
              <w:spacing w:before="20" w:after="20"/>
              <w:jc w:val="left"/>
              <w:rPr>
                <w:noProof/>
                <w:sz w:val="18"/>
              </w:rPr>
            </w:pPr>
            <w:r>
              <w:rPr>
                <w:noProof/>
                <w:sz w:val="18"/>
              </w:rPr>
              <w:t xml:space="preserve">Αναλήψεις </w:t>
            </w:r>
            <w:r>
              <w:rPr>
                <w:noProof/>
                <w:sz w:val="18"/>
              </w:rPr>
              <w:t>υποχρεώσεων</w:t>
            </w:r>
          </w:p>
        </w:tc>
        <w:tc>
          <w:tcPr>
            <w:tcW w:w="654" w:type="dxa"/>
            <w:vAlign w:val="center"/>
          </w:tcPr>
          <w:p w:rsidR="00E506D3" w:rsidRDefault="00A1386A">
            <w:pPr>
              <w:spacing w:before="20" w:after="20"/>
              <w:jc w:val="center"/>
              <w:rPr>
                <w:noProof/>
                <w:sz w:val="14"/>
              </w:rPr>
            </w:pPr>
            <w:r>
              <w:rPr>
                <w:noProof/>
                <w:sz w:val="14"/>
              </w:rPr>
              <w:t>(1)</w:t>
            </w:r>
          </w:p>
        </w:tc>
        <w:tc>
          <w:tcPr>
            <w:tcW w:w="868" w:type="dxa"/>
          </w:tcPr>
          <w:p w:rsidR="00E506D3" w:rsidRDefault="00A1386A">
            <w:pPr>
              <w:spacing w:before="20" w:after="20"/>
              <w:jc w:val="right"/>
              <w:rPr>
                <w:noProof/>
                <w:sz w:val="18"/>
                <w:szCs w:val="18"/>
              </w:rPr>
            </w:pPr>
            <w:r>
              <w:rPr>
                <w:noProof/>
                <w:sz w:val="18"/>
              </w:rPr>
              <w:t xml:space="preserve"> 224,811 </w:t>
            </w:r>
          </w:p>
        </w:tc>
        <w:tc>
          <w:tcPr>
            <w:tcW w:w="868" w:type="dxa"/>
          </w:tcPr>
          <w:p w:rsidR="00E506D3" w:rsidRDefault="00A1386A">
            <w:pPr>
              <w:spacing w:before="20" w:after="20"/>
              <w:ind w:hanging="135"/>
              <w:jc w:val="right"/>
              <w:rPr>
                <w:noProof/>
                <w:sz w:val="18"/>
                <w:szCs w:val="18"/>
              </w:rPr>
            </w:pPr>
            <w:r>
              <w:rPr>
                <w:noProof/>
                <w:sz w:val="18"/>
              </w:rPr>
              <w:t xml:space="preserve"> 341,107 </w:t>
            </w:r>
          </w:p>
        </w:tc>
        <w:tc>
          <w:tcPr>
            <w:tcW w:w="868" w:type="dxa"/>
          </w:tcPr>
          <w:p w:rsidR="00E506D3" w:rsidRDefault="00A1386A">
            <w:pPr>
              <w:spacing w:before="20" w:after="20"/>
              <w:ind w:left="-152"/>
              <w:jc w:val="right"/>
              <w:rPr>
                <w:noProof/>
                <w:sz w:val="18"/>
                <w:szCs w:val="18"/>
              </w:rPr>
            </w:pPr>
            <w:r>
              <w:rPr>
                <w:noProof/>
                <w:sz w:val="18"/>
              </w:rPr>
              <w:t xml:space="preserve"> 345,694 </w:t>
            </w:r>
          </w:p>
        </w:tc>
        <w:tc>
          <w:tcPr>
            <w:tcW w:w="868" w:type="dxa"/>
          </w:tcPr>
          <w:p w:rsidR="00E506D3" w:rsidRDefault="00A1386A">
            <w:pPr>
              <w:spacing w:before="20" w:after="20"/>
              <w:ind w:hanging="28"/>
              <w:rPr>
                <w:noProof/>
                <w:sz w:val="18"/>
                <w:szCs w:val="18"/>
              </w:rPr>
            </w:pPr>
            <w:r>
              <w:rPr>
                <w:noProof/>
                <w:sz w:val="18"/>
              </w:rPr>
              <w:t xml:space="preserve"> 384,921 </w:t>
            </w:r>
          </w:p>
        </w:tc>
        <w:tc>
          <w:tcPr>
            <w:tcW w:w="868" w:type="dxa"/>
          </w:tcPr>
          <w:p w:rsidR="00E506D3" w:rsidRDefault="00A1386A">
            <w:pPr>
              <w:spacing w:before="20" w:after="20"/>
              <w:ind w:left="-187"/>
              <w:jc w:val="right"/>
              <w:rPr>
                <w:noProof/>
                <w:sz w:val="18"/>
                <w:szCs w:val="18"/>
              </w:rPr>
            </w:pPr>
            <w:r>
              <w:rPr>
                <w:noProof/>
                <w:sz w:val="18"/>
              </w:rPr>
              <w:t xml:space="preserve"> 389,693 </w:t>
            </w:r>
          </w:p>
        </w:tc>
        <w:tc>
          <w:tcPr>
            <w:tcW w:w="868" w:type="dxa"/>
          </w:tcPr>
          <w:p w:rsidR="00E506D3" w:rsidRDefault="00A1386A">
            <w:pPr>
              <w:spacing w:before="20" w:after="20"/>
              <w:ind w:hanging="63"/>
              <w:jc w:val="right"/>
              <w:rPr>
                <w:noProof/>
                <w:sz w:val="18"/>
                <w:szCs w:val="18"/>
              </w:rPr>
            </w:pPr>
            <w:r>
              <w:rPr>
                <w:noProof/>
                <w:sz w:val="18"/>
              </w:rPr>
              <w:t xml:space="preserve"> 394,560 </w:t>
            </w:r>
          </w:p>
        </w:tc>
        <w:tc>
          <w:tcPr>
            <w:tcW w:w="878" w:type="dxa"/>
          </w:tcPr>
          <w:p w:rsidR="00E506D3" w:rsidRDefault="00A1386A">
            <w:pPr>
              <w:spacing w:before="20" w:after="20"/>
              <w:ind w:hanging="80"/>
              <w:jc w:val="right"/>
              <w:rPr>
                <w:noProof/>
                <w:sz w:val="18"/>
                <w:szCs w:val="18"/>
              </w:rPr>
            </w:pPr>
            <w:r>
              <w:rPr>
                <w:noProof/>
                <w:sz w:val="18"/>
              </w:rPr>
              <w:t xml:space="preserve"> 398,214 </w:t>
            </w:r>
          </w:p>
        </w:tc>
        <w:tc>
          <w:tcPr>
            <w:tcW w:w="992" w:type="dxa"/>
            <w:shd w:val="clear" w:color="auto" w:fill="A6A6A6" w:themeFill="background1" w:themeFillShade="A6"/>
          </w:tcPr>
          <w:p w:rsidR="00E506D3" w:rsidRDefault="00A1386A">
            <w:pPr>
              <w:spacing w:before="20" w:after="20"/>
              <w:jc w:val="right"/>
              <w:rPr>
                <w:b/>
                <w:noProof/>
                <w:sz w:val="18"/>
                <w:szCs w:val="18"/>
              </w:rPr>
            </w:pPr>
            <w:r>
              <w:rPr>
                <w:noProof/>
                <w:sz w:val="18"/>
              </w:rPr>
              <w:t xml:space="preserve"> — </w:t>
            </w:r>
          </w:p>
        </w:tc>
        <w:tc>
          <w:tcPr>
            <w:tcW w:w="1196" w:type="dxa"/>
          </w:tcPr>
          <w:p w:rsidR="00E506D3" w:rsidRDefault="00A1386A">
            <w:pPr>
              <w:spacing w:before="20" w:after="20"/>
              <w:jc w:val="right"/>
              <w:rPr>
                <w:b/>
                <w:noProof/>
                <w:sz w:val="18"/>
                <w:szCs w:val="18"/>
              </w:rPr>
            </w:pPr>
            <w:r>
              <w:rPr>
                <w:noProof/>
                <w:sz w:val="18"/>
              </w:rPr>
              <w:t xml:space="preserve"> 2 479,000 </w:t>
            </w:r>
          </w:p>
        </w:tc>
      </w:tr>
      <w:tr w:rsidR="00E506D3">
        <w:trPr>
          <w:trHeight w:val="411"/>
          <w:jc w:val="center"/>
        </w:trPr>
        <w:tc>
          <w:tcPr>
            <w:tcW w:w="4103" w:type="dxa"/>
            <w:vMerge/>
          </w:tcPr>
          <w:p w:rsidR="00E506D3" w:rsidRDefault="00E506D3">
            <w:pPr>
              <w:jc w:val="center"/>
              <w:rPr>
                <w:noProof/>
                <w:sz w:val="20"/>
              </w:rPr>
            </w:pPr>
          </w:p>
        </w:tc>
        <w:tc>
          <w:tcPr>
            <w:tcW w:w="1440" w:type="dxa"/>
            <w:vAlign w:val="center"/>
          </w:tcPr>
          <w:p w:rsidR="00E506D3" w:rsidRDefault="00A1386A">
            <w:pPr>
              <w:spacing w:before="20" w:after="20"/>
              <w:jc w:val="left"/>
              <w:rPr>
                <w:noProof/>
                <w:sz w:val="18"/>
              </w:rPr>
            </w:pPr>
            <w:r>
              <w:rPr>
                <w:noProof/>
                <w:sz w:val="18"/>
              </w:rPr>
              <w:t>Πληρωμές</w:t>
            </w:r>
          </w:p>
        </w:tc>
        <w:tc>
          <w:tcPr>
            <w:tcW w:w="654" w:type="dxa"/>
            <w:vAlign w:val="center"/>
          </w:tcPr>
          <w:p w:rsidR="00E506D3" w:rsidRDefault="00A1386A">
            <w:pPr>
              <w:spacing w:before="20" w:after="20"/>
              <w:jc w:val="center"/>
              <w:rPr>
                <w:noProof/>
                <w:sz w:val="14"/>
              </w:rPr>
            </w:pPr>
            <w:r>
              <w:rPr>
                <w:noProof/>
                <w:sz w:val="14"/>
              </w:rPr>
              <w:t>(2)</w:t>
            </w:r>
          </w:p>
        </w:tc>
        <w:tc>
          <w:tcPr>
            <w:tcW w:w="868" w:type="dxa"/>
          </w:tcPr>
          <w:p w:rsidR="00E506D3" w:rsidRDefault="00A1386A">
            <w:pPr>
              <w:spacing w:before="20" w:after="20"/>
              <w:jc w:val="right"/>
              <w:rPr>
                <w:noProof/>
                <w:sz w:val="18"/>
                <w:szCs w:val="18"/>
              </w:rPr>
            </w:pPr>
            <w:r>
              <w:rPr>
                <w:noProof/>
                <w:sz w:val="18"/>
              </w:rPr>
              <w:t xml:space="preserve"> 23,212 </w:t>
            </w:r>
          </w:p>
        </w:tc>
        <w:tc>
          <w:tcPr>
            <w:tcW w:w="868" w:type="dxa"/>
          </w:tcPr>
          <w:p w:rsidR="00E506D3" w:rsidRDefault="00A1386A">
            <w:pPr>
              <w:spacing w:before="20" w:after="20"/>
              <w:jc w:val="right"/>
              <w:rPr>
                <w:noProof/>
                <w:sz w:val="18"/>
                <w:szCs w:val="18"/>
              </w:rPr>
            </w:pPr>
            <w:r>
              <w:rPr>
                <w:noProof/>
                <w:sz w:val="18"/>
              </w:rPr>
              <w:t xml:space="preserve"> 51,821 </w:t>
            </w:r>
          </w:p>
        </w:tc>
        <w:tc>
          <w:tcPr>
            <w:tcW w:w="868" w:type="dxa"/>
          </w:tcPr>
          <w:p w:rsidR="00E506D3" w:rsidRDefault="00A1386A">
            <w:pPr>
              <w:spacing w:before="20" w:after="20"/>
              <w:jc w:val="right"/>
              <w:rPr>
                <w:noProof/>
                <w:sz w:val="18"/>
                <w:szCs w:val="18"/>
              </w:rPr>
            </w:pPr>
            <w:r>
              <w:rPr>
                <w:noProof/>
                <w:sz w:val="18"/>
              </w:rPr>
              <w:t xml:space="preserve"> 105,901 </w:t>
            </w:r>
          </w:p>
        </w:tc>
        <w:tc>
          <w:tcPr>
            <w:tcW w:w="868" w:type="dxa"/>
          </w:tcPr>
          <w:p w:rsidR="00E506D3" w:rsidRDefault="00A1386A">
            <w:pPr>
              <w:spacing w:before="20" w:after="20"/>
              <w:ind w:hanging="170"/>
              <w:jc w:val="right"/>
              <w:rPr>
                <w:noProof/>
                <w:sz w:val="18"/>
                <w:szCs w:val="18"/>
              </w:rPr>
            </w:pPr>
            <w:r>
              <w:rPr>
                <w:noProof/>
                <w:sz w:val="18"/>
              </w:rPr>
              <w:t xml:space="preserve"> 265,329 </w:t>
            </w:r>
          </w:p>
        </w:tc>
        <w:tc>
          <w:tcPr>
            <w:tcW w:w="868" w:type="dxa"/>
          </w:tcPr>
          <w:p w:rsidR="00E506D3" w:rsidRDefault="00A1386A">
            <w:pPr>
              <w:spacing w:before="20" w:after="20"/>
              <w:ind w:hanging="45"/>
              <w:jc w:val="right"/>
              <w:rPr>
                <w:noProof/>
                <w:sz w:val="18"/>
                <w:szCs w:val="18"/>
              </w:rPr>
            </w:pPr>
            <w:r>
              <w:rPr>
                <w:noProof/>
                <w:sz w:val="18"/>
              </w:rPr>
              <w:t xml:space="preserve"> 373,387 </w:t>
            </w:r>
          </w:p>
        </w:tc>
        <w:tc>
          <w:tcPr>
            <w:tcW w:w="868" w:type="dxa"/>
          </w:tcPr>
          <w:p w:rsidR="00E506D3" w:rsidRDefault="00A1386A">
            <w:pPr>
              <w:spacing w:before="20" w:after="20"/>
              <w:ind w:hanging="63"/>
              <w:jc w:val="right"/>
              <w:rPr>
                <w:noProof/>
                <w:sz w:val="18"/>
                <w:szCs w:val="18"/>
              </w:rPr>
            </w:pPr>
            <w:r>
              <w:rPr>
                <w:noProof/>
                <w:sz w:val="18"/>
              </w:rPr>
              <w:t xml:space="preserve"> 371,677 </w:t>
            </w:r>
          </w:p>
        </w:tc>
        <w:tc>
          <w:tcPr>
            <w:tcW w:w="878" w:type="dxa"/>
          </w:tcPr>
          <w:p w:rsidR="00E506D3" w:rsidRDefault="00A1386A">
            <w:pPr>
              <w:spacing w:before="20" w:after="20"/>
              <w:ind w:hanging="80"/>
              <w:jc w:val="right"/>
              <w:rPr>
                <w:noProof/>
                <w:sz w:val="18"/>
                <w:szCs w:val="18"/>
              </w:rPr>
            </w:pPr>
            <w:r>
              <w:rPr>
                <w:noProof/>
                <w:sz w:val="18"/>
              </w:rPr>
              <w:t xml:space="preserve"> 369,230 </w:t>
            </w:r>
          </w:p>
        </w:tc>
        <w:tc>
          <w:tcPr>
            <w:tcW w:w="992" w:type="dxa"/>
          </w:tcPr>
          <w:p w:rsidR="00E506D3" w:rsidRDefault="00A1386A">
            <w:pPr>
              <w:spacing w:before="20" w:after="20"/>
              <w:jc w:val="right"/>
              <w:rPr>
                <w:noProof/>
                <w:sz w:val="18"/>
                <w:szCs w:val="18"/>
              </w:rPr>
            </w:pPr>
            <w:r>
              <w:rPr>
                <w:noProof/>
                <w:sz w:val="18"/>
              </w:rPr>
              <w:t xml:space="preserve"> 918,443 </w:t>
            </w:r>
          </w:p>
        </w:tc>
        <w:tc>
          <w:tcPr>
            <w:tcW w:w="1196" w:type="dxa"/>
          </w:tcPr>
          <w:p w:rsidR="00E506D3" w:rsidRDefault="00A1386A">
            <w:pPr>
              <w:spacing w:before="20" w:after="20"/>
              <w:jc w:val="right"/>
              <w:rPr>
                <w:noProof/>
                <w:sz w:val="18"/>
                <w:szCs w:val="18"/>
              </w:rPr>
            </w:pPr>
            <w:r>
              <w:rPr>
                <w:noProof/>
                <w:sz w:val="18"/>
              </w:rPr>
              <w:t xml:space="preserve"> 2 479,000 </w:t>
            </w:r>
          </w:p>
        </w:tc>
      </w:tr>
      <w:tr w:rsidR="00E506D3">
        <w:trPr>
          <w:trHeight w:val="319"/>
          <w:jc w:val="center"/>
        </w:trPr>
        <w:tc>
          <w:tcPr>
            <w:tcW w:w="4103" w:type="dxa"/>
            <w:vAlign w:val="center"/>
          </w:tcPr>
          <w:p w:rsidR="00E506D3" w:rsidRDefault="00A1386A">
            <w:pPr>
              <w:spacing w:before="20" w:after="20"/>
              <w:jc w:val="left"/>
              <w:rPr>
                <w:noProof/>
              </w:rPr>
            </w:pPr>
            <w:r>
              <w:rPr>
                <w:noProof/>
                <w:sz w:val="20"/>
              </w:rPr>
              <w:t xml:space="preserve">Πιστώσεις διοικητικού χαρακτήρα </w:t>
            </w:r>
            <w:r>
              <w:rPr>
                <w:noProof/>
                <w:sz w:val="20"/>
              </w:rPr>
              <w:t>χρηματοδοτούμενες από το κονδύλιο του προγράμματος</w:t>
            </w:r>
            <w:r>
              <w:rPr>
                <w:rStyle w:val="FootnoteReference"/>
                <w:noProof/>
                <w:sz w:val="20"/>
              </w:rPr>
              <w:footnoteReference w:id="46"/>
            </w:r>
            <w:r>
              <w:rPr>
                <w:noProof/>
                <w:sz w:val="21"/>
              </w:rPr>
              <w:t xml:space="preserve"> </w:t>
            </w:r>
          </w:p>
        </w:tc>
        <w:tc>
          <w:tcPr>
            <w:tcW w:w="1440" w:type="dxa"/>
            <w:vAlign w:val="center"/>
          </w:tcPr>
          <w:p w:rsidR="00E506D3" w:rsidRDefault="00A1386A">
            <w:pPr>
              <w:spacing w:before="40" w:after="40"/>
              <w:jc w:val="left"/>
              <w:rPr>
                <w:noProof/>
                <w:sz w:val="18"/>
              </w:rPr>
            </w:pPr>
            <w:r>
              <w:rPr>
                <w:noProof/>
                <w:sz w:val="18"/>
              </w:rPr>
              <w:t>Αναλήψεις υποχρεώσεων = Πληρωμές</w:t>
            </w:r>
          </w:p>
        </w:tc>
        <w:tc>
          <w:tcPr>
            <w:tcW w:w="654" w:type="dxa"/>
            <w:vAlign w:val="center"/>
          </w:tcPr>
          <w:p w:rsidR="00E506D3" w:rsidRDefault="00A1386A">
            <w:pPr>
              <w:spacing w:before="40" w:after="40"/>
              <w:jc w:val="center"/>
              <w:rPr>
                <w:noProof/>
                <w:sz w:val="14"/>
              </w:rPr>
            </w:pPr>
            <w:r>
              <w:rPr>
                <w:noProof/>
                <w:sz w:val="14"/>
              </w:rPr>
              <w:t>(3)</w:t>
            </w:r>
          </w:p>
        </w:tc>
        <w:tc>
          <w:tcPr>
            <w:tcW w:w="868" w:type="dxa"/>
          </w:tcPr>
          <w:p w:rsidR="00E506D3" w:rsidRDefault="00A1386A">
            <w:pPr>
              <w:spacing w:before="40" w:after="40"/>
              <w:jc w:val="right"/>
              <w:rPr>
                <w:b/>
                <w:noProof/>
                <w:sz w:val="18"/>
                <w:szCs w:val="18"/>
              </w:rPr>
            </w:pPr>
            <w:r>
              <w:rPr>
                <w:noProof/>
                <w:sz w:val="18"/>
              </w:rPr>
              <w:t xml:space="preserve"> 2,827 </w:t>
            </w:r>
          </w:p>
        </w:tc>
        <w:tc>
          <w:tcPr>
            <w:tcW w:w="868" w:type="dxa"/>
          </w:tcPr>
          <w:p w:rsidR="00E506D3" w:rsidRDefault="00A1386A">
            <w:pPr>
              <w:spacing w:before="40" w:after="40"/>
              <w:jc w:val="right"/>
              <w:rPr>
                <w:b/>
                <w:noProof/>
                <w:sz w:val="18"/>
                <w:szCs w:val="18"/>
              </w:rPr>
            </w:pPr>
            <w:r>
              <w:rPr>
                <w:noProof/>
                <w:sz w:val="18"/>
              </w:rPr>
              <w:t xml:space="preserve"> 2,884 </w:t>
            </w:r>
          </w:p>
        </w:tc>
        <w:tc>
          <w:tcPr>
            <w:tcW w:w="868" w:type="dxa"/>
          </w:tcPr>
          <w:p w:rsidR="00E506D3" w:rsidRDefault="00A1386A">
            <w:pPr>
              <w:spacing w:before="40" w:after="40"/>
              <w:jc w:val="right"/>
              <w:rPr>
                <w:b/>
                <w:noProof/>
                <w:sz w:val="18"/>
                <w:szCs w:val="18"/>
              </w:rPr>
            </w:pPr>
            <w:r>
              <w:rPr>
                <w:noProof/>
                <w:sz w:val="18"/>
              </w:rPr>
              <w:t xml:space="preserve"> 2,941 </w:t>
            </w:r>
          </w:p>
        </w:tc>
        <w:tc>
          <w:tcPr>
            <w:tcW w:w="868" w:type="dxa"/>
          </w:tcPr>
          <w:p w:rsidR="00E506D3" w:rsidRDefault="00A1386A">
            <w:pPr>
              <w:spacing w:before="40" w:after="40"/>
              <w:jc w:val="right"/>
              <w:rPr>
                <w:b/>
                <w:noProof/>
                <w:sz w:val="18"/>
                <w:szCs w:val="18"/>
              </w:rPr>
            </w:pPr>
            <w:r>
              <w:rPr>
                <w:noProof/>
                <w:sz w:val="18"/>
              </w:rPr>
              <w:t xml:space="preserve"> 3,000 </w:t>
            </w:r>
          </w:p>
        </w:tc>
        <w:tc>
          <w:tcPr>
            <w:tcW w:w="868" w:type="dxa"/>
          </w:tcPr>
          <w:p w:rsidR="00E506D3" w:rsidRDefault="00A1386A">
            <w:pPr>
              <w:spacing w:before="40" w:after="40"/>
              <w:jc w:val="right"/>
              <w:rPr>
                <w:b/>
                <w:noProof/>
                <w:sz w:val="18"/>
                <w:szCs w:val="18"/>
              </w:rPr>
            </w:pPr>
            <w:r>
              <w:rPr>
                <w:noProof/>
                <w:sz w:val="18"/>
              </w:rPr>
              <w:t xml:space="preserve"> 3,060 </w:t>
            </w:r>
          </w:p>
        </w:tc>
        <w:tc>
          <w:tcPr>
            <w:tcW w:w="868" w:type="dxa"/>
          </w:tcPr>
          <w:p w:rsidR="00E506D3" w:rsidRDefault="00A1386A">
            <w:pPr>
              <w:spacing w:before="40" w:after="40"/>
              <w:jc w:val="right"/>
              <w:rPr>
                <w:b/>
                <w:noProof/>
                <w:sz w:val="18"/>
                <w:szCs w:val="18"/>
              </w:rPr>
            </w:pPr>
            <w:r>
              <w:rPr>
                <w:noProof/>
                <w:sz w:val="18"/>
              </w:rPr>
              <w:t xml:space="preserve"> 3,121 </w:t>
            </w:r>
          </w:p>
        </w:tc>
        <w:tc>
          <w:tcPr>
            <w:tcW w:w="878" w:type="dxa"/>
          </w:tcPr>
          <w:p w:rsidR="00E506D3" w:rsidRDefault="00A1386A">
            <w:pPr>
              <w:spacing w:before="40" w:after="40"/>
              <w:jc w:val="right"/>
              <w:rPr>
                <w:b/>
                <w:noProof/>
                <w:sz w:val="18"/>
                <w:szCs w:val="18"/>
              </w:rPr>
            </w:pPr>
            <w:r>
              <w:rPr>
                <w:noProof/>
                <w:sz w:val="18"/>
              </w:rPr>
              <w:t xml:space="preserve"> 3,167 </w:t>
            </w:r>
          </w:p>
        </w:tc>
        <w:tc>
          <w:tcPr>
            <w:tcW w:w="992" w:type="dxa"/>
            <w:shd w:val="clear" w:color="auto" w:fill="A6A6A6" w:themeFill="background1" w:themeFillShade="A6"/>
          </w:tcPr>
          <w:p w:rsidR="00E506D3" w:rsidRDefault="00A1386A">
            <w:pPr>
              <w:spacing w:before="40" w:after="40"/>
              <w:jc w:val="right"/>
              <w:rPr>
                <w:b/>
                <w:noProof/>
                <w:sz w:val="18"/>
                <w:szCs w:val="18"/>
              </w:rPr>
            </w:pPr>
            <w:r>
              <w:rPr>
                <w:noProof/>
                <w:sz w:val="18"/>
              </w:rPr>
              <w:t xml:space="preserve"> — </w:t>
            </w:r>
          </w:p>
        </w:tc>
        <w:tc>
          <w:tcPr>
            <w:tcW w:w="1196" w:type="dxa"/>
          </w:tcPr>
          <w:p w:rsidR="00E506D3" w:rsidRDefault="00A1386A">
            <w:pPr>
              <w:spacing w:before="40" w:after="40"/>
              <w:jc w:val="right"/>
              <w:rPr>
                <w:b/>
                <w:noProof/>
                <w:sz w:val="18"/>
                <w:szCs w:val="18"/>
              </w:rPr>
            </w:pPr>
            <w:r>
              <w:rPr>
                <w:noProof/>
                <w:sz w:val="18"/>
              </w:rPr>
              <w:t xml:space="preserve"> 21,000 </w:t>
            </w:r>
          </w:p>
        </w:tc>
      </w:tr>
      <w:tr w:rsidR="00E506D3">
        <w:trPr>
          <w:jc w:val="center"/>
        </w:trPr>
        <w:tc>
          <w:tcPr>
            <w:tcW w:w="4103" w:type="dxa"/>
            <w:vMerge w:val="restart"/>
            <w:vAlign w:val="center"/>
          </w:tcPr>
          <w:p w:rsidR="00E506D3" w:rsidRDefault="00A1386A">
            <w:pPr>
              <w:jc w:val="left"/>
              <w:rPr>
                <w:b/>
                <w:noProof/>
              </w:rPr>
            </w:pPr>
            <w:r>
              <w:rPr>
                <w:b/>
                <w:noProof/>
                <w:sz w:val="22"/>
              </w:rPr>
              <w:t>ΣΥΝΟΛΟ πιστώσεων για το χρηματοδοτικό κονδύλιο του προγράμματος</w:t>
            </w:r>
          </w:p>
        </w:tc>
        <w:tc>
          <w:tcPr>
            <w:tcW w:w="1440" w:type="dxa"/>
            <w:vAlign w:val="center"/>
          </w:tcPr>
          <w:p w:rsidR="00E506D3" w:rsidRDefault="00A1386A">
            <w:pPr>
              <w:jc w:val="left"/>
              <w:rPr>
                <w:noProof/>
                <w:sz w:val="18"/>
              </w:rPr>
            </w:pPr>
            <w:r>
              <w:rPr>
                <w:noProof/>
                <w:sz w:val="18"/>
              </w:rPr>
              <w:t>Αναλήψεις υποχρεώσεων</w:t>
            </w:r>
          </w:p>
        </w:tc>
        <w:tc>
          <w:tcPr>
            <w:tcW w:w="654" w:type="dxa"/>
            <w:vAlign w:val="center"/>
          </w:tcPr>
          <w:p w:rsidR="00E506D3" w:rsidRDefault="00A1386A">
            <w:pPr>
              <w:jc w:val="center"/>
              <w:rPr>
                <w:noProof/>
                <w:sz w:val="14"/>
              </w:rPr>
            </w:pPr>
            <w:r>
              <w:rPr>
                <w:noProof/>
                <w:sz w:val="14"/>
              </w:rPr>
              <w:t>=1+3</w:t>
            </w:r>
          </w:p>
        </w:tc>
        <w:tc>
          <w:tcPr>
            <w:tcW w:w="868" w:type="dxa"/>
          </w:tcPr>
          <w:p w:rsidR="00E506D3" w:rsidRDefault="00A1386A">
            <w:pPr>
              <w:spacing w:before="40" w:after="40"/>
              <w:jc w:val="right"/>
              <w:rPr>
                <w:noProof/>
                <w:sz w:val="18"/>
                <w:szCs w:val="18"/>
              </w:rPr>
            </w:pPr>
            <w:r>
              <w:rPr>
                <w:noProof/>
                <w:sz w:val="18"/>
              </w:rPr>
              <w:t xml:space="preserve"> 227,638 </w:t>
            </w:r>
          </w:p>
        </w:tc>
        <w:tc>
          <w:tcPr>
            <w:tcW w:w="868" w:type="dxa"/>
          </w:tcPr>
          <w:p w:rsidR="00E506D3" w:rsidRDefault="00A1386A">
            <w:pPr>
              <w:spacing w:before="40" w:after="40"/>
              <w:ind w:hanging="135"/>
              <w:jc w:val="right"/>
              <w:rPr>
                <w:noProof/>
                <w:sz w:val="18"/>
                <w:szCs w:val="18"/>
              </w:rPr>
            </w:pPr>
            <w:r>
              <w:rPr>
                <w:noProof/>
                <w:sz w:val="18"/>
              </w:rPr>
              <w:t xml:space="preserve"> 343,991 </w:t>
            </w:r>
          </w:p>
        </w:tc>
        <w:tc>
          <w:tcPr>
            <w:tcW w:w="868" w:type="dxa"/>
          </w:tcPr>
          <w:p w:rsidR="00E506D3" w:rsidRDefault="00A1386A">
            <w:pPr>
              <w:spacing w:before="40" w:after="40"/>
              <w:ind w:hanging="152"/>
              <w:jc w:val="right"/>
              <w:rPr>
                <w:noProof/>
                <w:sz w:val="18"/>
                <w:szCs w:val="18"/>
              </w:rPr>
            </w:pPr>
            <w:r>
              <w:rPr>
                <w:noProof/>
                <w:sz w:val="18"/>
              </w:rPr>
              <w:t xml:space="preserve"> 348,635 </w:t>
            </w:r>
          </w:p>
        </w:tc>
        <w:tc>
          <w:tcPr>
            <w:tcW w:w="868" w:type="dxa"/>
          </w:tcPr>
          <w:p w:rsidR="00E506D3" w:rsidRDefault="00A1386A">
            <w:pPr>
              <w:spacing w:before="40" w:after="40"/>
              <w:ind w:hanging="170"/>
              <w:jc w:val="right"/>
              <w:rPr>
                <w:noProof/>
                <w:sz w:val="18"/>
                <w:szCs w:val="18"/>
              </w:rPr>
            </w:pPr>
            <w:r>
              <w:rPr>
                <w:noProof/>
                <w:sz w:val="18"/>
              </w:rPr>
              <w:t xml:space="preserve"> 387,921 </w:t>
            </w:r>
          </w:p>
        </w:tc>
        <w:tc>
          <w:tcPr>
            <w:tcW w:w="868" w:type="dxa"/>
          </w:tcPr>
          <w:p w:rsidR="00E506D3" w:rsidRDefault="00A1386A">
            <w:pPr>
              <w:spacing w:before="40" w:after="40"/>
              <w:ind w:hanging="45"/>
              <w:jc w:val="right"/>
              <w:rPr>
                <w:noProof/>
                <w:sz w:val="18"/>
                <w:szCs w:val="18"/>
              </w:rPr>
            </w:pPr>
            <w:r>
              <w:rPr>
                <w:noProof/>
                <w:sz w:val="18"/>
              </w:rPr>
              <w:t xml:space="preserve"> 392,753 </w:t>
            </w:r>
          </w:p>
        </w:tc>
        <w:tc>
          <w:tcPr>
            <w:tcW w:w="868" w:type="dxa"/>
          </w:tcPr>
          <w:p w:rsidR="00E506D3" w:rsidRDefault="00A1386A">
            <w:pPr>
              <w:spacing w:before="40" w:after="40"/>
              <w:ind w:hanging="63"/>
              <w:jc w:val="right"/>
              <w:rPr>
                <w:noProof/>
                <w:sz w:val="18"/>
                <w:szCs w:val="18"/>
              </w:rPr>
            </w:pPr>
            <w:r>
              <w:rPr>
                <w:noProof/>
                <w:sz w:val="18"/>
              </w:rPr>
              <w:t xml:space="preserve"> 397,681 </w:t>
            </w:r>
          </w:p>
        </w:tc>
        <w:tc>
          <w:tcPr>
            <w:tcW w:w="878" w:type="dxa"/>
          </w:tcPr>
          <w:p w:rsidR="00E506D3" w:rsidRDefault="00A1386A">
            <w:pPr>
              <w:spacing w:before="40" w:after="40"/>
              <w:ind w:hanging="222"/>
              <w:jc w:val="right"/>
              <w:rPr>
                <w:noProof/>
                <w:sz w:val="18"/>
                <w:szCs w:val="18"/>
              </w:rPr>
            </w:pPr>
            <w:r>
              <w:rPr>
                <w:noProof/>
                <w:sz w:val="18"/>
              </w:rPr>
              <w:t xml:space="preserve"> 401,381 </w:t>
            </w:r>
          </w:p>
        </w:tc>
        <w:tc>
          <w:tcPr>
            <w:tcW w:w="992" w:type="dxa"/>
            <w:shd w:val="clear" w:color="auto" w:fill="A6A6A6" w:themeFill="background1" w:themeFillShade="A6"/>
          </w:tcPr>
          <w:p w:rsidR="00E506D3" w:rsidRDefault="00A1386A">
            <w:pPr>
              <w:spacing w:before="40" w:after="40"/>
              <w:jc w:val="right"/>
              <w:rPr>
                <w:noProof/>
                <w:sz w:val="18"/>
                <w:szCs w:val="18"/>
              </w:rPr>
            </w:pPr>
            <w:r>
              <w:rPr>
                <w:noProof/>
                <w:sz w:val="18"/>
              </w:rPr>
              <w:t xml:space="preserve"> — </w:t>
            </w:r>
          </w:p>
        </w:tc>
        <w:tc>
          <w:tcPr>
            <w:tcW w:w="1196" w:type="dxa"/>
          </w:tcPr>
          <w:p w:rsidR="00E506D3" w:rsidRDefault="00A1386A">
            <w:pPr>
              <w:spacing w:before="40" w:after="40"/>
              <w:jc w:val="right"/>
              <w:rPr>
                <w:noProof/>
                <w:sz w:val="18"/>
                <w:szCs w:val="18"/>
              </w:rPr>
            </w:pPr>
            <w:r>
              <w:rPr>
                <w:noProof/>
                <w:sz w:val="18"/>
              </w:rPr>
              <w:t xml:space="preserve"> 2 500,000 </w:t>
            </w:r>
          </w:p>
        </w:tc>
      </w:tr>
      <w:tr w:rsidR="00E506D3">
        <w:trPr>
          <w:jc w:val="center"/>
        </w:trPr>
        <w:tc>
          <w:tcPr>
            <w:tcW w:w="4103" w:type="dxa"/>
            <w:vMerge/>
          </w:tcPr>
          <w:p w:rsidR="00E506D3" w:rsidRDefault="00E506D3">
            <w:pPr>
              <w:rPr>
                <w:noProof/>
                <w:sz w:val="20"/>
              </w:rPr>
            </w:pPr>
          </w:p>
        </w:tc>
        <w:tc>
          <w:tcPr>
            <w:tcW w:w="1440" w:type="dxa"/>
            <w:vAlign w:val="center"/>
          </w:tcPr>
          <w:p w:rsidR="00E506D3" w:rsidRDefault="00A1386A">
            <w:pPr>
              <w:jc w:val="left"/>
              <w:rPr>
                <w:noProof/>
                <w:sz w:val="18"/>
              </w:rPr>
            </w:pPr>
            <w:r>
              <w:rPr>
                <w:noProof/>
                <w:sz w:val="18"/>
              </w:rPr>
              <w:t>Πληρωμές</w:t>
            </w:r>
          </w:p>
        </w:tc>
        <w:tc>
          <w:tcPr>
            <w:tcW w:w="654" w:type="dxa"/>
            <w:vAlign w:val="center"/>
          </w:tcPr>
          <w:p w:rsidR="00E506D3" w:rsidRDefault="00A1386A">
            <w:pPr>
              <w:jc w:val="center"/>
              <w:rPr>
                <w:noProof/>
                <w:sz w:val="14"/>
              </w:rPr>
            </w:pPr>
            <w:r>
              <w:rPr>
                <w:noProof/>
                <w:sz w:val="14"/>
              </w:rPr>
              <w:t>=2+3</w:t>
            </w:r>
          </w:p>
        </w:tc>
        <w:tc>
          <w:tcPr>
            <w:tcW w:w="868" w:type="dxa"/>
          </w:tcPr>
          <w:p w:rsidR="00E506D3" w:rsidRDefault="00A1386A">
            <w:pPr>
              <w:spacing w:before="20" w:after="20"/>
              <w:jc w:val="right"/>
              <w:rPr>
                <w:noProof/>
                <w:sz w:val="18"/>
                <w:szCs w:val="18"/>
              </w:rPr>
            </w:pPr>
            <w:r>
              <w:rPr>
                <w:noProof/>
                <w:sz w:val="18"/>
              </w:rPr>
              <w:t xml:space="preserve"> 26,039 </w:t>
            </w:r>
          </w:p>
        </w:tc>
        <w:tc>
          <w:tcPr>
            <w:tcW w:w="868" w:type="dxa"/>
          </w:tcPr>
          <w:p w:rsidR="00E506D3" w:rsidRDefault="00A1386A">
            <w:pPr>
              <w:spacing w:before="20" w:after="20"/>
              <w:jc w:val="right"/>
              <w:rPr>
                <w:noProof/>
                <w:sz w:val="18"/>
                <w:szCs w:val="18"/>
              </w:rPr>
            </w:pPr>
            <w:r>
              <w:rPr>
                <w:noProof/>
                <w:sz w:val="18"/>
              </w:rPr>
              <w:t xml:space="preserve"> 54,705 </w:t>
            </w:r>
          </w:p>
        </w:tc>
        <w:tc>
          <w:tcPr>
            <w:tcW w:w="868" w:type="dxa"/>
          </w:tcPr>
          <w:p w:rsidR="00E506D3" w:rsidRDefault="00A1386A">
            <w:pPr>
              <w:spacing w:before="20" w:after="20"/>
              <w:jc w:val="right"/>
              <w:rPr>
                <w:noProof/>
                <w:sz w:val="18"/>
                <w:szCs w:val="18"/>
              </w:rPr>
            </w:pPr>
            <w:r>
              <w:rPr>
                <w:noProof/>
                <w:sz w:val="18"/>
              </w:rPr>
              <w:t xml:space="preserve"> 108,842 </w:t>
            </w:r>
          </w:p>
        </w:tc>
        <w:tc>
          <w:tcPr>
            <w:tcW w:w="868" w:type="dxa"/>
          </w:tcPr>
          <w:p w:rsidR="00E506D3" w:rsidRDefault="00A1386A">
            <w:pPr>
              <w:spacing w:before="20" w:after="20"/>
              <w:ind w:hanging="28"/>
              <w:jc w:val="right"/>
              <w:rPr>
                <w:noProof/>
                <w:sz w:val="18"/>
                <w:szCs w:val="18"/>
              </w:rPr>
            </w:pPr>
            <w:r>
              <w:rPr>
                <w:noProof/>
                <w:sz w:val="18"/>
              </w:rPr>
              <w:t xml:space="preserve"> 268,329 </w:t>
            </w:r>
          </w:p>
        </w:tc>
        <w:tc>
          <w:tcPr>
            <w:tcW w:w="868" w:type="dxa"/>
          </w:tcPr>
          <w:p w:rsidR="00E506D3" w:rsidRDefault="00A1386A">
            <w:pPr>
              <w:spacing w:before="20" w:after="20"/>
              <w:ind w:hanging="187"/>
              <w:jc w:val="right"/>
              <w:rPr>
                <w:noProof/>
                <w:sz w:val="18"/>
                <w:szCs w:val="18"/>
              </w:rPr>
            </w:pPr>
            <w:r>
              <w:rPr>
                <w:noProof/>
                <w:sz w:val="18"/>
              </w:rPr>
              <w:t xml:space="preserve"> 376,447 </w:t>
            </w:r>
          </w:p>
        </w:tc>
        <w:tc>
          <w:tcPr>
            <w:tcW w:w="868" w:type="dxa"/>
          </w:tcPr>
          <w:p w:rsidR="00E506D3" w:rsidRDefault="00A1386A">
            <w:pPr>
              <w:spacing w:before="20" w:after="20"/>
              <w:ind w:hanging="63"/>
              <w:jc w:val="right"/>
              <w:rPr>
                <w:noProof/>
                <w:sz w:val="18"/>
                <w:szCs w:val="18"/>
              </w:rPr>
            </w:pPr>
            <w:r>
              <w:rPr>
                <w:noProof/>
                <w:sz w:val="18"/>
              </w:rPr>
              <w:t xml:space="preserve"> 374,798 </w:t>
            </w:r>
          </w:p>
        </w:tc>
        <w:tc>
          <w:tcPr>
            <w:tcW w:w="878" w:type="dxa"/>
          </w:tcPr>
          <w:p w:rsidR="00E506D3" w:rsidRDefault="00A1386A">
            <w:pPr>
              <w:spacing w:before="20" w:after="20"/>
              <w:ind w:hanging="222"/>
              <w:jc w:val="right"/>
              <w:rPr>
                <w:noProof/>
                <w:sz w:val="18"/>
                <w:szCs w:val="18"/>
              </w:rPr>
            </w:pPr>
            <w:r>
              <w:rPr>
                <w:noProof/>
                <w:sz w:val="18"/>
              </w:rPr>
              <w:t xml:space="preserve"> 372,397 </w:t>
            </w:r>
          </w:p>
        </w:tc>
        <w:tc>
          <w:tcPr>
            <w:tcW w:w="992" w:type="dxa"/>
          </w:tcPr>
          <w:p w:rsidR="00E506D3" w:rsidRDefault="00A1386A">
            <w:pPr>
              <w:spacing w:before="20" w:after="20"/>
              <w:jc w:val="right"/>
              <w:rPr>
                <w:noProof/>
                <w:sz w:val="18"/>
                <w:szCs w:val="18"/>
              </w:rPr>
            </w:pPr>
            <w:r>
              <w:rPr>
                <w:noProof/>
                <w:sz w:val="18"/>
              </w:rPr>
              <w:t xml:space="preserve"> 918,443 </w:t>
            </w:r>
          </w:p>
        </w:tc>
        <w:tc>
          <w:tcPr>
            <w:tcW w:w="1196" w:type="dxa"/>
          </w:tcPr>
          <w:p w:rsidR="00E506D3" w:rsidRDefault="00A1386A">
            <w:pPr>
              <w:spacing w:before="20" w:after="20"/>
              <w:jc w:val="right"/>
              <w:rPr>
                <w:noProof/>
                <w:sz w:val="18"/>
                <w:szCs w:val="18"/>
              </w:rPr>
            </w:pPr>
            <w:r>
              <w:rPr>
                <w:noProof/>
                <w:sz w:val="18"/>
              </w:rPr>
              <w:t xml:space="preserve"> 2 500,000 </w:t>
            </w:r>
          </w:p>
        </w:tc>
      </w:tr>
    </w:tbl>
    <w:p w:rsidR="00E506D3" w:rsidRDefault="00E506D3">
      <w:pPr>
        <w:rPr>
          <w:noProof/>
        </w:rPr>
      </w:pPr>
    </w:p>
    <w:p w:rsidR="00E506D3" w:rsidRDefault="00E506D3">
      <w:pPr>
        <w:rPr>
          <w:noProof/>
        </w:rPr>
      </w:pPr>
    </w:p>
    <w:p w:rsidR="00E506D3" w:rsidRDefault="00E506D3">
      <w:pPr>
        <w:rPr>
          <w:noProof/>
        </w:rPr>
      </w:pPr>
    </w:p>
    <w:p w:rsidR="00E506D3" w:rsidRDefault="00E506D3">
      <w:pPr>
        <w:rPr>
          <w:noProof/>
        </w:rPr>
      </w:pPr>
    </w:p>
    <w:p w:rsidR="00E506D3" w:rsidRDefault="00E506D3">
      <w:pPr>
        <w:rPr>
          <w:noProof/>
        </w:rPr>
      </w:pPr>
    </w:p>
    <w:p w:rsidR="00E506D3" w:rsidRDefault="00E506D3">
      <w:pPr>
        <w:rPr>
          <w:noProof/>
        </w:rPr>
      </w:pPr>
    </w:p>
    <w:p w:rsidR="00E506D3" w:rsidRDefault="00E506D3">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506D3">
        <w:trPr>
          <w:jc w:val="center"/>
        </w:trPr>
        <w:tc>
          <w:tcPr>
            <w:tcW w:w="4744" w:type="dxa"/>
            <w:shd w:val="thinDiagStripe" w:color="C0C0C0" w:fill="auto"/>
            <w:vAlign w:val="center"/>
          </w:tcPr>
          <w:p w:rsidR="00E506D3" w:rsidRDefault="00A1386A">
            <w:pPr>
              <w:spacing w:before="60" w:after="60"/>
              <w:jc w:val="center"/>
              <w:rPr>
                <w:b/>
                <w:noProof/>
              </w:rPr>
            </w:pPr>
            <w:r>
              <w:rPr>
                <w:noProof/>
              </w:rPr>
              <w:br w:type="page"/>
            </w:r>
            <w:r>
              <w:rPr>
                <w:b/>
                <w:noProof/>
              </w:rPr>
              <w:t>Τομέας του πολυετούς δημοσιονομικού</w:t>
            </w:r>
            <w:r>
              <w:rPr>
                <w:noProof/>
                <w:sz w:val="22"/>
              </w:rPr>
              <w:br/>
            </w:r>
            <w:r>
              <w:rPr>
                <w:b/>
                <w:noProof/>
                <w:sz w:val="22"/>
              </w:rPr>
              <w:t xml:space="preserve">πλαισίου </w:t>
            </w:r>
          </w:p>
        </w:tc>
        <w:tc>
          <w:tcPr>
            <w:tcW w:w="1080" w:type="dxa"/>
            <w:shd w:val="thinDiagStripe" w:color="C0C0C0" w:fill="auto"/>
            <w:vAlign w:val="center"/>
          </w:tcPr>
          <w:p w:rsidR="00E506D3" w:rsidRDefault="00A1386A">
            <w:pPr>
              <w:spacing w:before="60" w:after="60"/>
              <w:jc w:val="center"/>
              <w:rPr>
                <w:noProof/>
              </w:rPr>
            </w:pPr>
            <w:r>
              <w:rPr>
                <w:noProof/>
              </w:rPr>
              <w:t>7</w:t>
            </w:r>
          </w:p>
        </w:tc>
        <w:tc>
          <w:tcPr>
            <w:tcW w:w="7817" w:type="dxa"/>
            <w:vAlign w:val="center"/>
          </w:tcPr>
          <w:p w:rsidR="00E506D3" w:rsidRDefault="00A1386A">
            <w:pPr>
              <w:spacing w:before="60" w:after="60"/>
              <w:rPr>
                <w:noProof/>
              </w:rPr>
            </w:pPr>
            <w:r>
              <w:rPr>
                <w:noProof/>
                <w:sz w:val="22"/>
              </w:rPr>
              <w:t>«Διοικητικές δαπάνες»</w:t>
            </w:r>
          </w:p>
        </w:tc>
      </w:tr>
    </w:tbl>
    <w:p w:rsidR="00E506D3" w:rsidRDefault="00A1386A">
      <w:pPr>
        <w:jc w:val="left"/>
        <w:rPr>
          <w:noProof/>
        </w:rPr>
      </w:pPr>
      <w:r>
        <w:rPr>
          <w:noProof/>
        </w:rPr>
        <w:t xml:space="preserve">Αυτό το τμήμα πρέπει να συμπληρωθεί με «στοιχεία διοικητικού χαρακτήρα του προϋπολογισμού» τα οποία θα εισαχθούν, καταρχάς, στο </w:t>
      </w:r>
      <w:hyperlink r:id="rId27">
        <w:r>
          <w:rPr>
            <w:rStyle w:val="Hyperlink"/>
            <w:noProof/>
          </w:rPr>
          <w:t>παράρτημα</w:t>
        </w:r>
        <w:r>
          <w:rPr>
            <w:rStyle w:val="Hyperlink"/>
            <w:noProof/>
          </w:rPr>
          <w:t xml:space="preserve"> του νομοθετικού δημοσιονομικού δελτίου</w:t>
        </w:r>
      </w:hyperlink>
      <w:r>
        <w:rPr>
          <w:noProof/>
        </w:rPr>
        <w:t>, που τηλεφορτώνεται στο DECIDE για διυπηρεσιακή διαβούλευση.</w:t>
      </w:r>
    </w:p>
    <w:p w:rsidR="00E506D3" w:rsidRDefault="00E506D3">
      <w:pPr>
        <w:rPr>
          <w:noProof/>
          <w:sz w:val="20"/>
        </w:rPr>
      </w:pPr>
    </w:p>
    <w:p w:rsidR="00E506D3" w:rsidRDefault="00A1386A">
      <w:pPr>
        <w:jc w:val="right"/>
        <w:rPr>
          <w:noProof/>
          <w:sz w:val="20"/>
        </w:rPr>
      </w:pPr>
      <w:r>
        <w:rPr>
          <w:noProof/>
          <w:sz w:val="20"/>
        </w:rPr>
        <w:t>σε εκατ. EUR (με τρία δεκαδικά ψηφία)</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E506D3">
        <w:trPr>
          <w:jc w:val="center"/>
        </w:trPr>
        <w:tc>
          <w:tcPr>
            <w:tcW w:w="6245" w:type="dxa"/>
            <w:gridSpan w:val="2"/>
            <w:tcBorders>
              <w:top w:val="nil"/>
              <w:left w:val="nil"/>
            </w:tcBorders>
            <w:vAlign w:val="center"/>
          </w:tcPr>
          <w:p w:rsidR="00E506D3" w:rsidRDefault="00E506D3">
            <w:pPr>
              <w:jc w:val="center"/>
              <w:rPr>
                <w:noProof/>
                <w:sz w:val="20"/>
              </w:rPr>
            </w:pPr>
          </w:p>
        </w:tc>
        <w:tc>
          <w:tcPr>
            <w:tcW w:w="868" w:type="dxa"/>
            <w:vAlign w:val="center"/>
          </w:tcPr>
          <w:p w:rsidR="00E506D3" w:rsidRDefault="00A1386A">
            <w:pPr>
              <w:jc w:val="center"/>
              <w:rPr>
                <w:b/>
                <w:noProof/>
                <w:sz w:val="20"/>
              </w:rPr>
            </w:pPr>
            <w:r>
              <w:rPr>
                <w:b/>
                <w:noProof/>
                <w:sz w:val="20"/>
              </w:rPr>
              <w:t>2021</w:t>
            </w:r>
          </w:p>
        </w:tc>
        <w:tc>
          <w:tcPr>
            <w:tcW w:w="868" w:type="dxa"/>
            <w:vAlign w:val="center"/>
          </w:tcPr>
          <w:p w:rsidR="00E506D3" w:rsidRDefault="00A1386A">
            <w:pPr>
              <w:jc w:val="center"/>
              <w:rPr>
                <w:b/>
                <w:noProof/>
                <w:sz w:val="20"/>
              </w:rPr>
            </w:pPr>
            <w:r>
              <w:rPr>
                <w:b/>
                <w:noProof/>
                <w:sz w:val="20"/>
              </w:rPr>
              <w:t>2022</w:t>
            </w:r>
          </w:p>
        </w:tc>
        <w:tc>
          <w:tcPr>
            <w:tcW w:w="868" w:type="dxa"/>
            <w:vAlign w:val="center"/>
          </w:tcPr>
          <w:p w:rsidR="00E506D3" w:rsidRDefault="00A1386A">
            <w:pPr>
              <w:jc w:val="center"/>
              <w:rPr>
                <w:b/>
                <w:noProof/>
                <w:sz w:val="20"/>
              </w:rPr>
            </w:pPr>
            <w:r>
              <w:rPr>
                <w:b/>
                <w:noProof/>
                <w:sz w:val="20"/>
              </w:rPr>
              <w:t>2023</w:t>
            </w:r>
          </w:p>
        </w:tc>
        <w:tc>
          <w:tcPr>
            <w:tcW w:w="868" w:type="dxa"/>
            <w:vAlign w:val="center"/>
          </w:tcPr>
          <w:p w:rsidR="00E506D3" w:rsidRDefault="00A1386A">
            <w:pPr>
              <w:jc w:val="center"/>
              <w:rPr>
                <w:b/>
                <w:noProof/>
                <w:sz w:val="20"/>
              </w:rPr>
            </w:pPr>
            <w:r>
              <w:rPr>
                <w:b/>
                <w:noProof/>
                <w:sz w:val="20"/>
              </w:rPr>
              <w:t>2024</w:t>
            </w:r>
          </w:p>
        </w:tc>
        <w:tc>
          <w:tcPr>
            <w:tcW w:w="868" w:type="dxa"/>
            <w:vAlign w:val="center"/>
          </w:tcPr>
          <w:p w:rsidR="00E506D3" w:rsidRDefault="00A1386A">
            <w:pPr>
              <w:jc w:val="center"/>
              <w:rPr>
                <w:b/>
                <w:noProof/>
                <w:sz w:val="18"/>
              </w:rPr>
            </w:pPr>
            <w:r>
              <w:rPr>
                <w:b/>
                <w:noProof/>
                <w:sz w:val="18"/>
              </w:rPr>
              <w:t>2025</w:t>
            </w:r>
          </w:p>
        </w:tc>
        <w:tc>
          <w:tcPr>
            <w:tcW w:w="868" w:type="dxa"/>
            <w:vAlign w:val="center"/>
          </w:tcPr>
          <w:p w:rsidR="00E506D3" w:rsidRDefault="00A1386A">
            <w:pPr>
              <w:jc w:val="center"/>
              <w:rPr>
                <w:b/>
                <w:noProof/>
                <w:sz w:val="18"/>
              </w:rPr>
            </w:pPr>
            <w:r>
              <w:rPr>
                <w:b/>
                <w:noProof/>
                <w:sz w:val="18"/>
              </w:rPr>
              <w:t>2026</w:t>
            </w:r>
          </w:p>
        </w:tc>
        <w:tc>
          <w:tcPr>
            <w:tcW w:w="868" w:type="dxa"/>
            <w:vAlign w:val="center"/>
          </w:tcPr>
          <w:p w:rsidR="00E506D3" w:rsidRDefault="00A1386A">
            <w:pPr>
              <w:jc w:val="center"/>
              <w:rPr>
                <w:b/>
                <w:noProof/>
                <w:sz w:val="18"/>
              </w:rPr>
            </w:pPr>
            <w:r>
              <w:rPr>
                <w:b/>
                <w:noProof/>
                <w:sz w:val="18"/>
              </w:rPr>
              <w:t>2027</w:t>
            </w:r>
          </w:p>
        </w:tc>
        <w:tc>
          <w:tcPr>
            <w:tcW w:w="887" w:type="dxa"/>
          </w:tcPr>
          <w:p w:rsidR="00E506D3" w:rsidRDefault="00A1386A">
            <w:pPr>
              <w:jc w:val="center"/>
              <w:rPr>
                <w:b/>
                <w:noProof/>
                <w:sz w:val="20"/>
              </w:rPr>
            </w:pPr>
            <w:r>
              <w:rPr>
                <w:b/>
                <w:i/>
                <w:noProof/>
                <w:sz w:val="20"/>
              </w:rPr>
              <w:t>Μετά το 2027</w:t>
            </w:r>
          </w:p>
        </w:tc>
        <w:tc>
          <w:tcPr>
            <w:tcW w:w="1291" w:type="dxa"/>
            <w:vAlign w:val="center"/>
          </w:tcPr>
          <w:p w:rsidR="00E506D3" w:rsidRDefault="00A1386A">
            <w:pPr>
              <w:jc w:val="center"/>
              <w:rPr>
                <w:b/>
                <w:noProof/>
                <w:sz w:val="20"/>
              </w:rPr>
            </w:pPr>
            <w:r>
              <w:rPr>
                <w:b/>
                <w:noProof/>
                <w:sz w:val="20"/>
              </w:rPr>
              <w:t>ΣΥΝΟΛΟ</w:t>
            </w:r>
          </w:p>
        </w:tc>
      </w:tr>
      <w:tr w:rsidR="00E506D3">
        <w:trPr>
          <w:trHeight w:val="313"/>
          <w:jc w:val="center"/>
        </w:trPr>
        <w:tc>
          <w:tcPr>
            <w:tcW w:w="6245" w:type="dxa"/>
            <w:gridSpan w:val="2"/>
            <w:vAlign w:val="center"/>
          </w:tcPr>
          <w:p w:rsidR="00E506D3" w:rsidRDefault="00A1386A">
            <w:pPr>
              <w:spacing w:before="20" w:after="20"/>
              <w:rPr>
                <w:noProof/>
              </w:rPr>
            </w:pPr>
            <w:r>
              <w:rPr>
                <w:noProof/>
                <w:sz w:val="22"/>
              </w:rPr>
              <w:t xml:space="preserve">Ανθρώπινοι πόροι </w:t>
            </w:r>
          </w:p>
        </w:tc>
        <w:tc>
          <w:tcPr>
            <w:tcW w:w="868" w:type="dxa"/>
            <w:vAlign w:val="center"/>
          </w:tcPr>
          <w:p w:rsidR="00E506D3" w:rsidRDefault="00A1386A">
            <w:pPr>
              <w:spacing w:before="20" w:after="20"/>
              <w:jc w:val="right"/>
              <w:rPr>
                <w:noProof/>
                <w:sz w:val="20"/>
              </w:rPr>
            </w:pPr>
            <w:r>
              <w:rPr>
                <w:noProof/>
                <w:color w:val="000000"/>
                <w:sz w:val="18"/>
              </w:rPr>
              <w:t xml:space="preserve"> 5,942 </w:t>
            </w:r>
          </w:p>
        </w:tc>
        <w:tc>
          <w:tcPr>
            <w:tcW w:w="868" w:type="dxa"/>
            <w:vAlign w:val="center"/>
          </w:tcPr>
          <w:p w:rsidR="00E506D3" w:rsidRDefault="00A1386A">
            <w:pPr>
              <w:spacing w:before="20" w:after="20"/>
              <w:jc w:val="right"/>
              <w:rPr>
                <w:noProof/>
                <w:sz w:val="20"/>
              </w:rPr>
            </w:pPr>
            <w:r>
              <w:rPr>
                <w:noProof/>
                <w:color w:val="000000"/>
                <w:sz w:val="18"/>
              </w:rPr>
              <w:t xml:space="preserve"> 6,943 </w:t>
            </w:r>
          </w:p>
        </w:tc>
        <w:tc>
          <w:tcPr>
            <w:tcW w:w="868" w:type="dxa"/>
            <w:vAlign w:val="center"/>
          </w:tcPr>
          <w:p w:rsidR="00E506D3" w:rsidRDefault="00A1386A">
            <w:pPr>
              <w:spacing w:before="20" w:after="20"/>
              <w:jc w:val="right"/>
              <w:rPr>
                <w:noProof/>
                <w:sz w:val="20"/>
              </w:rPr>
            </w:pPr>
            <w:r>
              <w:rPr>
                <w:noProof/>
                <w:color w:val="000000"/>
                <w:sz w:val="18"/>
              </w:rPr>
              <w:t xml:space="preserve"> 6,943 </w:t>
            </w:r>
          </w:p>
        </w:tc>
        <w:tc>
          <w:tcPr>
            <w:tcW w:w="868" w:type="dxa"/>
            <w:vAlign w:val="center"/>
          </w:tcPr>
          <w:p w:rsidR="00E506D3" w:rsidRDefault="00A1386A">
            <w:pPr>
              <w:spacing w:before="20" w:after="20"/>
              <w:jc w:val="right"/>
              <w:rPr>
                <w:noProof/>
                <w:sz w:val="20"/>
              </w:rPr>
            </w:pPr>
            <w:r>
              <w:rPr>
                <w:noProof/>
                <w:color w:val="000000"/>
                <w:sz w:val="18"/>
              </w:rPr>
              <w:t xml:space="preserve"> 6,943 </w:t>
            </w:r>
          </w:p>
        </w:tc>
        <w:tc>
          <w:tcPr>
            <w:tcW w:w="868" w:type="dxa"/>
            <w:vAlign w:val="center"/>
          </w:tcPr>
          <w:p w:rsidR="00E506D3" w:rsidRDefault="00A1386A">
            <w:pPr>
              <w:spacing w:before="20" w:after="20"/>
              <w:jc w:val="right"/>
              <w:rPr>
                <w:noProof/>
                <w:sz w:val="20"/>
              </w:rPr>
            </w:pPr>
            <w:r>
              <w:rPr>
                <w:noProof/>
                <w:color w:val="000000"/>
                <w:sz w:val="18"/>
              </w:rPr>
              <w:t xml:space="preserve"> 6,943 </w:t>
            </w:r>
          </w:p>
        </w:tc>
        <w:tc>
          <w:tcPr>
            <w:tcW w:w="868" w:type="dxa"/>
            <w:vAlign w:val="center"/>
          </w:tcPr>
          <w:p w:rsidR="00E506D3" w:rsidRDefault="00A1386A">
            <w:pPr>
              <w:spacing w:before="20" w:after="20"/>
              <w:jc w:val="right"/>
              <w:rPr>
                <w:noProof/>
                <w:sz w:val="20"/>
              </w:rPr>
            </w:pPr>
            <w:r>
              <w:rPr>
                <w:noProof/>
                <w:color w:val="000000"/>
                <w:sz w:val="18"/>
              </w:rPr>
              <w:t xml:space="preserve"> 6,943 </w:t>
            </w:r>
          </w:p>
        </w:tc>
        <w:tc>
          <w:tcPr>
            <w:tcW w:w="868" w:type="dxa"/>
            <w:vAlign w:val="center"/>
          </w:tcPr>
          <w:p w:rsidR="00E506D3" w:rsidRDefault="00A1386A">
            <w:pPr>
              <w:spacing w:before="20" w:after="20"/>
              <w:jc w:val="right"/>
              <w:rPr>
                <w:b/>
                <w:noProof/>
                <w:sz w:val="20"/>
              </w:rPr>
            </w:pPr>
            <w:r>
              <w:rPr>
                <w:noProof/>
                <w:color w:val="000000"/>
                <w:sz w:val="18"/>
              </w:rPr>
              <w:t xml:space="preserve"> 6,943 </w:t>
            </w:r>
          </w:p>
        </w:tc>
        <w:tc>
          <w:tcPr>
            <w:tcW w:w="887" w:type="dxa"/>
            <w:shd w:val="clear" w:color="auto" w:fill="A6A6A6" w:themeFill="background1" w:themeFillShade="A6"/>
            <w:vAlign w:val="center"/>
          </w:tcPr>
          <w:p w:rsidR="00E506D3" w:rsidRDefault="00A1386A">
            <w:pPr>
              <w:spacing w:before="20" w:after="20"/>
              <w:jc w:val="right"/>
              <w:rPr>
                <w:b/>
                <w:noProof/>
                <w:sz w:val="20"/>
              </w:rPr>
            </w:pPr>
            <w:r>
              <w:rPr>
                <w:noProof/>
                <w:color w:val="000000"/>
                <w:sz w:val="18"/>
              </w:rPr>
              <w:t> </w:t>
            </w:r>
          </w:p>
        </w:tc>
        <w:tc>
          <w:tcPr>
            <w:tcW w:w="1291" w:type="dxa"/>
            <w:vAlign w:val="center"/>
          </w:tcPr>
          <w:p w:rsidR="00E506D3" w:rsidRDefault="00A1386A">
            <w:pPr>
              <w:spacing w:before="20" w:after="20"/>
              <w:jc w:val="right"/>
              <w:rPr>
                <w:b/>
                <w:noProof/>
                <w:sz w:val="20"/>
              </w:rPr>
            </w:pPr>
            <w:r>
              <w:rPr>
                <w:noProof/>
                <w:color w:val="000000"/>
                <w:sz w:val="18"/>
              </w:rPr>
              <w:t xml:space="preserve"> 47,600 </w:t>
            </w:r>
          </w:p>
        </w:tc>
      </w:tr>
      <w:tr w:rsidR="00E506D3">
        <w:trPr>
          <w:trHeight w:val="351"/>
          <w:jc w:val="center"/>
        </w:trPr>
        <w:tc>
          <w:tcPr>
            <w:tcW w:w="6245" w:type="dxa"/>
            <w:gridSpan w:val="2"/>
            <w:vAlign w:val="center"/>
          </w:tcPr>
          <w:p w:rsidR="00E506D3" w:rsidRDefault="00A1386A">
            <w:pPr>
              <w:spacing w:before="20" w:after="20"/>
              <w:rPr>
                <w:noProof/>
              </w:rPr>
            </w:pPr>
            <w:r>
              <w:rPr>
                <w:noProof/>
                <w:sz w:val="22"/>
              </w:rPr>
              <w:t xml:space="preserve">Άλλες διοικητικές δαπάνες </w:t>
            </w:r>
          </w:p>
        </w:tc>
        <w:tc>
          <w:tcPr>
            <w:tcW w:w="868" w:type="dxa"/>
            <w:vAlign w:val="center"/>
          </w:tcPr>
          <w:p w:rsidR="00E506D3" w:rsidRDefault="00A1386A">
            <w:pPr>
              <w:spacing w:before="20" w:after="20"/>
              <w:jc w:val="right"/>
              <w:rPr>
                <w:b/>
                <w:noProof/>
                <w:sz w:val="20"/>
              </w:rPr>
            </w:pPr>
            <w:r>
              <w:rPr>
                <w:noProof/>
                <w:color w:val="000000"/>
                <w:sz w:val="18"/>
              </w:rPr>
              <w:t xml:space="preserve"> 0,202 </w:t>
            </w:r>
          </w:p>
        </w:tc>
        <w:tc>
          <w:tcPr>
            <w:tcW w:w="868" w:type="dxa"/>
            <w:vAlign w:val="center"/>
          </w:tcPr>
          <w:p w:rsidR="00E506D3" w:rsidRDefault="00A1386A">
            <w:pPr>
              <w:spacing w:before="20" w:after="20"/>
              <w:jc w:val="right"/>
              <w:rPr>
                <w:b/>
                <w:noProof/>
                <w:sz w:val="20"/>
              </w:rPr>
            </w:pPr>
            <w:r>
              <w:rPr>
                <w:noProof/>
                <w:color w:val="000000"/>
                <w:sz w:val="18"/>
              </w:rPr>
              <w:t xml:space="preserve"> 0,202 </w:t>
            </w:r>
          </w:p>
        </w:tc>
        <w:tc>
          <w:tcPr>
            <w:tcW w:w="868" w:type="dxa"/>
            <w:vAlign w:val="center"/>
          </w:tcPr>
          <w:p w:rsidR="00E506D3" w:rsidRDefault="00A1386A">
            <w:pPr>
              <w:spacing w:before="20" w:after="20"/>
              <w:jc w:val="right"/>
              <w:rPr>
                <w:b/>
                <w:noProof/>
                <w:sz w:val="20"/>
              </w:rPr>
            </w:pPr>
            <w:r>
              <w:rPr>
                <w:noProof/>
                <w:color w:val="000000"/>
                <w:sz w:val="18"/>
              </w:rPr>
              <w:t xml:space="preserve"> 0,202 </w:t>
            </w:r>
          </w:p>
        </w:tc>
        <w:tc>
          <w:tcPr>
            <w:tcW w:w="868" w:type="dxa"/>
            <w:vAlign w:val="center"/>
          </w:tcPr>
          <w:p w:rsidR="00E506D3" w:rsidRDefault="00A1386A">
            <w:pPr>
              <w:spacing w:before="20" w:after="20"/>
              <w:jc w:val="right"/>
              <w:rPr>
                <w:b/>
                <w:noProof/>
                <w:sz w:val="20"/>
              </w:rPr>
            </w:pPr>
            <w:r>
              <w:rPr>
                <w:noProof/>
                <w:color w:val="000000"/>
                <w:sz w:val="18"/>
              </w:rPr>
              <w:t xml:space="preserve"> 0,202 </w:t>
            </w:r>
          </w:p>
        </w:tc>
        <w:tc>
          <w:tcPr>
            <w:tcW w:w="868" w:type="dxa"/>
            <w:vAlign w:val="center"/>
          </w:tcPr>
          <w:p w:rsidR="00E506D3" w:rsidRDefault="00A1386A">
            <w:pPr>
              <w:spacing w:before="20" w:after="20"/>
              <w:jc w:val="right"/>
              <w:rPr>
                <w:b/>
                <w:noProof/>
                <w:sz w:val="20"/>
              </w:rPr>
            </w:pPr>
            <w:r>
              <w:rPr>
                <w:noProof/>
                <w:color w:val="000000"/>
                <w:sz w:val="18"/>
              </w:rPr>
              <w:t xml:space="preserve"> 0,202 </w:t>
            </w:r>
          </w:p>
        </w:tc>
        <w:tc>
          <w:tcPr>
            <w:tcW w:w="868" w:type="dxa"/>
            <w:vAlign w:val="center"/>
          </w:tcPr>
          <w:p w:rsidR="00E506D3" w:rsidRDefault="00A1386A">
            <w:pPr>
              <w:spacing w:before="20" w:after="20"/>
              <w:jc w:val="right"/>
              <w:rPr>
                <w:b/>
                <w:noProof/>
                <w:sz w:val="20"/>
              </w:rPr>
            </w:pPr>
            <w:r>
              <w:rPr>
                <w:noProof/>
                <w:color w:val="000000"/>
                <w:sz w:val="18"/>
              </w:rPr>
              <w:t xml:space="preserve"> 0,202 </w:t>
            </w:r>
          </w:p>
        </w:tc>
        <w:tc>
          <w:tcPr>
            <w:tcW w:w="868" w:type="dxa"/>
            <w:vAlign w:val="center"/>
          </w:tcPr>
          <w:p w:rsidR="00E506D3" w:rsidRDefault="00A1386A">
            <w:pPr>
              <w:spacing w:before="20" w:after="20"/>
              <w:jc w:val="right"/>
              <w:rPr>
                <w:b/>
                <w:noProof/>
                <w:sz w:val="20"/>
              </w:rPr>
            </w:pPr>
            <w:r>
              <w:rPr>
                <w:noProof/>
                <w:color w:val="000000"/>
                <w:sz w:val="18"/>
              </w:rPr>
              <w:t xml:space="preserve"> 0,202 </w:t>
            </w:r>
          </w:p>
        </w:tc>
        <w:tc>
          <w:tcPr>
            <w:tcW w:w="887" w:type="dxa"/>
            <w:shd w:val="clear" w:color="auto" w:fill="A6A6A6" w:themeFill="background1" w:themeFillShade="A6"/>
            <w:vAlign w:val="center"/>
          </w:tcPr>
          <w:p w:rsidR="00E506D3" w:rsidRDefault="00A1386A">
            <w:pPr>
              <w:spacing w:before="20" w:after="20"/>
              <w:jc w:val="right"/>
              <w:rPr>
                <w:b/>
                <w:noProof/>
                <w:sz w:val="20"/>
              </w:rPr>
            </w:pPr>
            <w:r>
              <w:rPr>
                <w:noProof/>
                <w:color w:val="000000"/>
                <w:sz w:val="18"/>
              </w:rPr>
              <w:t> </w:t>
            </w:r>
          </w:p>
        </w:tc>
        <w:tc>
          <w:tcPr>
            <w:tcW w:w="1291" w:type="dxa"/>
            <w:vAlign w:val="center"/>
          </w:tcPr>
          <w:p w:rsidR="00E506D3" w:rsidRDefault="00A1386A">
            <w:pPr>
              <w:spacing w:before="20" w:after="20"/>
              <w:jc w:val="right"/>
              <w:rPr>
                <w:b/>
                <w:noProof/>
                <w:sz w:val="20"/>
              </w:rPr>
            </w:pPr>
            <w:r>
              <w:rPr>
                <w:noProof/>
                <w:color w:val="000000"/>
                <w:sz w:val="18"/>
              </w:rPr>
              <w:t xml:space="preserve"> 1,412 </w:t>
            </w:r>
          </w:p>
        </w:tc>
      </w:tr>
      <w:tr w:rsidR="00E506D3">
        <w:trPr>
          <w:trHeight w:val="351"/>
          <w:jc w:val="center"/>
        </w:trPr>
        <w:tc>
          <w:tcPr>
            <w:tcW w:w="4199" w:type="dxa"/>
            <w:vAlign w:val="center"/>
          </w:tcPr>
          <w:p w:rsidR="00E506D3" w:rsidRDefault="00A1386A">
            <w:pPr>
              <w:spacing w:before="20" w:after="20"/>
              <w:jc w:val="left"/>
              <w:rPr>
                <w:b/>
                <w:noProof/>
                <w:sz w:val="22"/>
              </w:rPr>
            </w:pPr>
            <w:r>
              <w:rPr>
                <w:b/>
                <w:noProof/>
                <w:sz w:val="22"/>
              </w:rPr>
              <w:t>ΣΥΝΟΛΟ πιστώσεων του ΤΟΜΕΑ 7 του πολυετούς δημοσιονομικού πλαισίου</w:t>
            </w:r>
          </w:p>
        </w:tc>
        <w:tc>
          <w:tcPr>
            <w:tcW w:w="2046" w:type="dxa"/>
            <w:vAlign w:val="center"/>
          </w:tcPr>
          <w:p w:rsidR="00E506D3" w:rsidRDefault="00A1386A">
            <w:pPr>
              <w:spacing w:before="20" w:after="20"/>
              <w:rPr>
                <w:noProof/>
                <w:sz w:val="22"/>
              </w:rPr>
            </w:pPr>
            <w:r>
              <w:rPr>
                <w:noProof/>
                <w:sz w:val="18"/>
              </w:rPr>
              <w:t>(Σύνολο αναλήψεων υποχρεώσεων = Σύνολο πληρωμών)</w:t>
            </w:r>
          </w:p>
        </w:tc>
        <w:tc>
          <w:tcPr>
            <w:tcW w:w="868" w:type="dxa"/>
            <w:vAlign w:val="center"/>
          </w:tcPr>
          <w:p w:rsidR="00E506D3" w:rsidRDefault="00A1386A">
            <w:pPr>
              <w:spacing w:before="20" w:after="20"/>
              <w:jc w:val="right"/>
              <w:rPr>
                <w:b/>
                <w:noProof/>
                <w:sz w:val="20"/>
              </w:rPr>
            </w:pPr>
            <w:r>
              <w:rPr>
                <w:noProof/>
                <w:color w:val="000000"/>
                <w:sz w:val="18"/>
              </w:rPr>
              <w:t xml:space="preserve"> 6,144 </w:t>
            </w:r>
          </w:p>
        </w:tc>
        <w:tc>
          <w:tcPr>
            <w:tcW w:w="868" w:type="dxa"/>
            <w:vAlign w:val="center"/>
          </w:tcPr>
          <w:p w:rsidR="00E506D3" w:rsidRDefault="00A1386A">
            <w:pPr>
              <w:spacing w:before="20" w:after="20"/>
              <w:jc w:val="right"/>
              <w:rPr>
                <w:b/>
                <w:noProof/>
                <w:sz w:val="20"/>
              </w:rPr>
            </w:pPr>
            <w:r>
              <w:rPr>
                <w:noProof/>
                <w:color w:val="000000"/>
                <w:sz w:val="18"/>
              </w:rPr>
              <w:t xml:space="preserve"> 7,145 </w:t>
            </w:r>
          </w:p>
        </w:tc>
        <w:tc>
          <w:tcPr>
            <w:tcW w:w="868" w:type="dxa"/>
            <w:vAlign w:val="center"/>
          </w:tcPr>
          <w:p w:rsidR="00E506D3" w:rsidRDefault="00A1386A">
            <w:pPr>
              <w:spacing w:before="20" w:after="20"/>
              <w:jc w:val="right"/>
              <w:rPr>
                <w:b/>
                <w:noProof/>
                <w:sz w:val="20"/>
              </w:rPr>
            </w:pPr>
            <w:r>
              <w:rPr>
                <w:noProof/>
                <w:color w:val="000000"/>
                <w:sz w:val="18"/>
              </w:rPr>
              <w:t xml:space="preserve"> 7,145 </w:t>
            </w:r>
          </w:p>
        </w:tc>
        <w:tc>
          <w:tcPr>
            <w:tcW w:w="868" w:type="dxa"/>
            <w:vAlign w:val="center"/>
          </w:tcPr>
          <w:p w:rsidR="00E506D3" w:rsidRDefault="00A1386A">
            <w:pPr>
              <w:spacing w:before="20" w:after="20"/>
              <w:jc w:val="right"/>
              <w:rPr>
                <w:b/>
                <w:noProof/>
                <w:sz w:val="20"/>
              </w:rPr>
            </w:pPr>
            <w:r>
              <w:rPr>
                <w:noProof/>
                <w:color w:val="000000"/>
                <w:sz w:val="18"/>
              </w:rPr>
              <w:t xml:space="preserve"> 7,145 </w:t>
            </w:r>
          </w:p>
        </w:tc>
        <w:tc>
          <w:tcPr>
            <w:tcW w:w="868" w:type="dxa"/>
            <w:vAlign w:val="center"/>
          </w:tcPr>
          <w:p w:rsidR="00E506D3" w:rsidRDefault="00A1386A">
            <w:pPr>
              <w:spacing w:before="20" w:after="20"/>
              <w:jc w:val="right"/>
              <w:rPr>
                <w:b/>
                <w:noProof/>
                <w:sz w:val="20"/>
              </w:rPr>
            </w:pPr>
            <w:r>
              <w:rPr>
                <w:noProof/>
                <w:color w:val="000000"/>
                <w:sz w:val="18"/>
              </w:rPr>
              <w:t xml:space="preserve"> 7,145 </w:t>
            </w:r>
          </w:p>
        </w:tc>
        <w:tc>
          <w:tcPr>
            <w:tcW w:w="868" w:type="dxa"/>
            <w:vAlign w:val="center"/>
          </w:tcPr>
          <w:p w:rsidR="00E506D3" w:rsidRDefault="00A1386A">
            <w:pPr>
              <w:spacing w:before="20" w:after="20"/>
              <w:jc w:val="right"/>
              <w:rPr>
                <w:b/>
                <w:noProof/>
                <w:sz w:val="20"/>
              </w:rPr>
            </w:pPr>
            <w:r>
              <w:rPr>
                <w:noProof/>
                <w:color w:val="000000"/>
                <w:sz w:val="18"/>
              </w:rPr>
              <w:t xml:space="preserve"> 7,145 </w:t>
            </w:r>
          </w:p>
        </w:tc>
        <w:tc>
          <w:tcPr>
            <w:tcW w:w="868" w:type="dxa"/>
            <w:vAlign w:val="center"/>
          </w:tcPr>
          <w:p w:rsidR="00E506D3" w:rsidRDefault="00A1386A">
            <w:pPr>
              <w:spacing w:before="20" w:after="20"/>
              <w:jc w:val="right"/>
              <w:rPr>
                <w:b/>
                <w:noProof/>
                <w:sz w:val="20"/>
              </w:rPr>
            </w:pPr>
            <w:r>
              <w:rPr>
                <w:noProof/>
                <w:color w:val="000000"/>
                <w:sz w:val="18"/>
              </w:rPr>
              <w:t xml:space="preserve"> 7,145 </w:t>
            </w:r>
          </w:p>
        </w:tc>
        <w:tc>
          <w:tcPr>
            <w:tcW w:w="887" w:type="dxa"/>
            <w:shd w:val="clear" w:color="auto" w:fill="A6A6A6" w:themeFill="background1" w:themeFillShade="A6"/>
            <w:vAlign w:val="center"/>
          </w:tcPr>
          <w:p w:rsidR="00E506D3" w:rsidRDefault="00A1386A">
            <w:pPr>
              <w:spacing w:before="20" w:after="20"/>
              <w:jc w:val="right"/>
              <w:rPr>
                <w:b/>
                <w:noProof/>
                <w:sz w:val="20"/>
              </w:rPr>
            </w:pPr>
            <w:r>
              <w:rPr>
                <w:noProof/>
                <w:color w:val="000000"/>
                <w:sz w:val="18"/>
              </w:rPr>
              <w:t> </w:t>
            </w:r>
          </w:p>
        </w:tc>
        <w:tc>
          <w:tcPr>
            <w:tcW w:w="1291" w:type="dxa"/>
            <w:vAlign w:val="center"/>
          </w:tcPr>
          <w:p w:rsidR="00E506D3" w:rsidRDefault="00A1386A">
            <w:pPr>
              <w:spacing w:before="20" w:after="20"/>
              <w:jc w:val="right"/>
              <w:rPr>
                <w:b/>
                <w:noProof/>
                <w:sz w:val="20"/>
              </w:rPr>
            </w:pPr>
            <w:r>
              <w:rPr>
                <w:noProof/>
                <w:color w:val="000000"/>
                <w:sz w:val="18"/>
              </w:rPr>
              <w:t xml:space="preserve"> 49,012 </w:t>
            </w:r>
          </w:p>
        </w:tc>
      </w:tr>
    </w:tbl>
    <w:p w:rsidR="00E506D3" w:rsidRDefault="00A1386A">
      <w:pPr>
        <w:jc w:val="right"/>
        <w:rPr>
          <w:noProof/>
          <w:sz w:val="20"/>
        </w:rPr>
      </w:pPr>
      <w:r>
        <w:rPr>
          <w:noProof/>
          <w:sz w:val="20"/>
        </w:rPr>
        <w:t>σε εκατ. EUR (με τρία δεκαδικά ψηφία)</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E506D3">
        <w:trPr>
          <w:jc w:val="center"/>
        </w:trPr>
        <w:tc>
          <w:tcPr>
            <w:tcW w:w="4173" w:type="dxa"/>
            <w:tcBorders>
              <w:top w:val="nil"/>
              <w:left w:val="nil"/>
              <w:right w:val="nil"/>
            </w:tcBorders>
            <w:vAlign w:val="center"/>
          </w:tcPr>
          <w:p w:rsidR="00E506D3" w:rsidRDefault="00E506D3">
            <w:pPr>
              <w:jc w:val="center"/>
              <w:rPr>
                <w:noProof/>
              </w:rPr>
            </w:pPr>
          </w:p>
        </w:tc>
        <w:tc>
          <w:tcPr>
            <w:tcW w:w="1560" w:type="dxa"/>
            <w:tcBorders>
              <w:top w:val="nil"/>
              <w:left w:val="nil"/>
              <w:right w:val="nil"/>
            </w:tcBorders>
          </w:tcPr>
          <w:p w:rsidR="00E506D3" w:rsidRDefault="00E506D3">
            <w:pPr>
              <w:rPr>
                <w:noProof/>
                <w:sz w:val="20"/>
              </w:rPr>
            </w:pPr>
          </w:p>
        </w:tc>
        <w:tc>
          <w:tcPr>
            <w:tcW w:w="534" w:type="dxa"/>
            <w:tcBorders>
              <w:top w:val="nil"/>
              <w:left w:val="nil"/>
            </w:tcBorders>
          </w:tcPr>
          <w:p w:rsidR="00E506D3" w:rsidRDefault="00E506D3">
            <w:pPr>
              <w:jc w:val="center"/>
              <w:rPr>
                <w:noProof/>
                <w:sz w:val="20"/>
              </w:rPr>
            </w:pPr>
          </w:p>
        </w:tc>
        <w:tc>
          <w:tcPr>
            <w:tcW w:w="868" w:type="dxa"/>
            <w:vAlign w:val="center"/>
          </w:tcPr>
          <w:p w:rsidR="00E506D3" w:rsidRDefault="00A1386A">
            <w:pPr>
              <w:jc w:val="center"/>
              <w:rPr>
                <w:noProof/>
                <w:sz w:val="20"/>
              </w:rPr>
            </w:pPr>
            <w:r>
              <w:rPr>
                <w:b/>
                <w:noProof/>
                <w:sz w:val="20"/>
              </w:rPr>
              <w:t>2021</w:t>
            </w:r>
          </w:p>
        </w:tc>
        <w:tc>
          <w:tcPr>
            <w:tcW w:w="868" w:type="dxa"/>
            <w:vAlign w:val="center"/>
          </w:tcPr>
          <w:p w:rsidR="00E506D3" w:rsidRDefault="00A1386A">
            <w:pPr>
              <w:jc w:val="center"/>
              <w:rPr>
                <w:noProof/>
                <w:sz w:val="20"/>
              </w:rPr>
            </w:pPr>
            <w:r>
              <w:rPr>
                <w:b/>
                <w:noProof/>
                <w:sz w:val="20"/>
              </w:rPr>
              <w:t>2022</w:t>
            </w:r>
          </w:p>
        </w:tc>
        <w:tc>
          <w:tcPr>
            <w:tcW w:w="868" w:type="dxa"/>
            <w:vAlign w:val="center"/>
          </w:tcPr>
          <w:p w:rsidR="00E506D3" w:rsidRDefault="00A1386A">
            <w:pPr>
              <w:jc w:val="center"/>
              <w:rPr>
                <w:noProof/>
                <w:sz w:val="20"/>
              </w:rPr>
            </w:pPr>
            <w:r>
              <w:rPr>
                <w:b/>
                <w:noProof/>
                <w:sz w:val="20"/>
              </w:rPr>
              <w:t>2023</w:t>
            </w:r>
          </w:p>
        </w:tc>
        <w:tc>
          <w:tcPr>
            <w:tcW w:w="868" w:type="dxa"/>
            <w:vAlign w:val="center"/>
          </w:tcPr>
          <w:p w:rsidR="00E506D3" w:rsidRDefault="00A1386A">
            <w:pPr>
              <w:jc w:val="center"/>
              <w:rPr>
                <w:noProof/>
                <w:sz w:val="20"/>
              </w:rPr>
            </w:pPr>
            <w:r>
              <w:rPr>
                <w:b/>
                <w:noProof/>
                <w:sz w:val="20"/>
              </w:rPr>
              <w:t>2024</w:t>
            </w:r>
          </w:p>
        </w:tc>
        <w:tc>
          <w:tcPr>
            <w:tcW w:w="868" w:type="dxa"/>
            <w:vAlign w:val="center"/>
          </w:tcPr>
          <w:p w:rsidR="00E506D3" w:rsidRDefault="00A1386A">
            <w:pPr>
              <w:jc w:val="center"/>
              <w:rPr>
                <w:b/>
                <w:noProof/>
                <w:sz w:val="18"/>
              </w:rPr>
            </w:pPr>
            <w:r>
              <w:rPr>
                <w:b/>
                <w:noProof/>
                <w:sz w:val="18"/>
              </w:rPr>
              <w:t>2025</w:t>
            </w:r>
          </w:p>
        </w:tc>
        <w:tc>
          <w:tcPr>
            <w:tcW w:w="868" w:type="dxa"/>
            <w:vAlign w:val="center"/>
          </w:tcPr>
          <w:p w:rsidR="00E506D3" w:rsidRDefault="00A1386A">
            <w:pPr>
              <w:jc w:val="center"/>
              <w:rPr>
                <w:b/>
                <w:noProof/>
                <w:sz w:val="18"/>
              </w:rPr>
            </w:pPr>
            <w:r>
              <w:rPr>
                <w:b/>
                <w:noProof/>
                <w:sz w:val="18"/>
              </w:rPr>
              <w:t>2026</w:t>
            </w:r>
          </w:p>
        </w:tc>
        <w:tc>
          <w:tcPr>
            <w:tcW w:w="868" w:type="dxa"/>
            <w:vAlign w:val="center"/>
          </w:tcPr>
          <w:p w:rsidR="00E506D3" w:rsidRDefault="00A1386A">
            <w:pPr>
              <w:jc w:val="center"/>
              <w:rPr>
                <w:b/>
                <w:noProof/>
                <w:sz w:val="18"/>
              </w:rPr>
            </w:pPr>
            <w:r>
              <w:rPr>
                <w:b/>
                <w:noProof/>
                <w:sz w:val="18"/>
              </w:rPr>
              <w:t>2027</w:t>
            </w:r>
          </w:p>
        </w:tc>
        <w:tc>
          <w:tcPr>
            <w:tcW w:w="877" w:type="dxa"/>
          </w:tcPr>
          <w:p w:rsidR="00E506D3" w:rsidRDefault="00A1386A">
            <w:pPr>
              <w:jc w:val="center"/>
              <w:rPr>
                <w:b/>
                <w:noProof/>
                <w:sz w:val="20"/>
              </w:rPr>
            </w:pPr>
            <w:r>
              <w:rPr>
                <w:b/>
                <w:i/>
                <w:noProof/>
                <w:sz w:val="20"/>
              </w:rPr>
              <w:t>Μετά το 2027</w:t>
            </w:r>
          </w:p>
        </w:tc>
        <w:tc>
          <w:tcPr>
            <w:tcW w:w="1292" w:type="dxa"/>
            <w:vAlign w:val="center"/>
          </w:tcPr>
          <w:p w:rsidR="00E506D3" w:rsidRDefault="00A1386A">
            <w:pPr>
              <w:jc w:val="center"/>
              <w:rPr>
                <w:b/>
                <w:noProof/>
                <w:sz w:val="20"/>
              </w:rPr>
            </w:pPr>
            <w:r>
              <w:rPr>
                <w:b/>
                <w:noProof/>
                <w:sz w:val="20"/>
              </w:rPr>
              <w:t>ΣΥΝΟΛΟ</w:t>
            </w:r>
          </w:p>
        </w:tc>
      </w:tr>
      <w:tr w:rsidR="00E506D3">
        <w:trPr>
          <w:jc w:val="center"/>
        </w:trPr>
        <w:tc>
          <w:tcPr>
            <w:tcW w:w="4173" w:type="dxa"/>
            <w:vMerge w:val="restart"/>
            <w:shd w:val="clear" w:color="auto" w:fill="C0C0C0"/>
            <w:vAlign w:val="center"/>
          </w:tcPr>
          <w:p w:rsidR="00E506D3" w:rsidRDefault="00A1386A">
            <w:pPr>
              <w:jc w:val="center"/>
              <w:rPr>
                <w:b/>
                <w:noProof/>
              </w:rPr>
            </w:pPr>
            <w:r>
              <w:rPr>
                <w:b/>
                <w:noProof/>
                <w:sz w:val="22"/>
              </w:rPr>
              <w:t>ΣΥΝΟΛΟ πιστώσεων</w:t>
            </w:r>
            <w:r>
              <w:rPr>
                <w:noProof/>
                <w:sz w:val="22"/>
              </w:rPr>
              <w:br/>
            </w:r>
            <w:r>
              <w:rPr>
                <w:b/>
                <w:noProof/>
                <w:sz w:val="22"/>
              </w:rPr>
              <w:t xml:space="preserve">μεταξύ ΤΟΜΕΩΝ </w:t>
            </w:r>
            <w:r>
              <w:rPr>
                <w:noProof/>
                <w:sz w:val="22"/>
              </w:rPr>
              <w:br/>
              <w:t>του πολυετούς δημοσιονομικού πλαισίου</w:t>
            </w:r>
            <w:r>
              <w:rPr>
                <w:b/>
                <w:noProof/>
                <w:sz w:val="22"/>
              </w:rPr>
              <w:t xml:space="preserve"> </w:t>
            </w:r>
          </w:p>
        </w:tc>
        <w:tc>
          <w:tcPr>
            <w:tcW w:w="2094" w:type="dxa"/>
            <w:gridSpan w:val="2"/>
            <w:vAlign w:val="center"/>
          </w:tcPr>
          <w:p w:rsidR="00E506D3" w:rsidRDefault="00A1386A">
            <w:pPr>
              <w:rPr>
                <w:noProof/>
                <w:sz w:val="14"/>
              </w:rPr>
            </w:pPr>
            <w:r>
              <w:rPr>
                <w:noProof/>
                <w:sz w:val="18"/>
              </w:rPr>
              <w:t>Αναλήψεις υποχρεώσεων</w:t>
            </w:r>
          </w:p>
        </w:tc>
        <w:tc>
          <w:tcPr>
            <w:tcW w:w="868" w:type="dxa"/>
          </w:tcPr>
          <w:p w:rsidR="00E506D3" w:rsidRDefault="00A1386A">
            <w:pPr>
              <w:spacing w:before="20" w:after="20"/>
              <w:jc w:val="right"/>
              <w:rPr>
                <w:noProof/>
                <w:color w:val="000000"/>
                <w:sz w:val="18"/>
                <w:szCs w:val="18"/>
              </w:rPr>
            </w:pPr>
            <w:r>
              <w:rPr>
                <w:noProof/>
                <w:sz w:val="18"/>
              </w:rPr>
              <w:t xml:space="preserve"> 233,782 </w:t>
            </w:r>
          </w:p>
        </w:tc>
        <w:tc>
          <w:tcPr>
            <w:tcW w:w="868" w:type="dxa"/>
          </w:tcPr>
          <w:p w:rsidR="00E506D3" w:rsidRDefault="00A1386A">
            <w:pPr>
              <w:spacing w:before="20" w:after="20"/>
              <w:jc w:val="right"/>
              <w:rPr>
                <w:noProof/>
                <w:color w:val="000000"/>
                <w:sz w:val="18"/>
                <w:szCs w:val="18"/>
              </w:rPr>
            </w:pPr>
            <w:r>
              <w:rPr>
                <w:noProof/>
                <w:sz w:val="18"/>
              </w:rPr>
              <w:t xml:space="preserve"> 351,136 </w:t>
            </w:r>
          </w:p>
        </w:tc>
        <w:tc>
          <w:tcPr>
            <w:tcW w:w="868" w:type="dxa"/>
          </w:tcPr>
          <w:p w:rsidR="00E506D3" w:rsidRDefault="00A1386A">
            <w:pPr>
              <w:spacing w:before="20" w:after="20"/>
              <w:jc w:val="right"/>
              <w:rPr>
                <w:noProof/>
                <w:color w:val="000000"/>
                <w:sz w:val="18"/>
                <w:szCs w:val="18"/>
              </w:rPr>
            </w:pPr>
            <w:r>
              <w:rPr>
                <w:noProof/>
                <w:sz w:val="18"/>
              </w:rPr>
              <w:t xml:space="preserve"> 355,780 </w:t>
            </w:r>
          </w:p>
        </w:tc>
        <w:tc>
          <w:tcPr>
            <w:tcW w:w="868" w:type="dxa"/>
          </w:tcPr>
          <w:p w:rsidR="00E506D3" w:rsidRDefault="00A1386A">
            <w:pPr>
              <w:spacing w:before="20" w:after="20"/>
              <w:jc w:val="right"/>
              <w:rPr>
                <w:noProof/>
                <w:color w:val="000000"/>
                <w:sz w:val="18"/>
                <w:szCs w:val="18"/>
              </w:rPr>
            </w:pPr>
            <w:r>
              <w:rPr>
                <w:noProof/>
                <w:sz w:val="18"/>
              </w:rPr>
              <w:t xml:space="preserve"> 395,066 </w:t>
            </w:r>
          </w:p>
        </w:tc>
        <w:tc>
          <w:tcPr>
            <w:tcW w:w="868" w:type="dxa"/>
          </w:tcPr>
          <w:p w:rsidR="00E506D3" w:rsidRDefault="00A1386A">
            <w:pPr>
              <w:spacing w:before="20" w:after="20"/>
              <w:jc w:val="right"/>
              <w:rPr>
                <w:noProof/>
                <w:color w:val="000000"/>
                <w:sz w:val="18"/>
                <w:szCs w:val="18"/>
              </w:rPr>
            </w:pPr>
            <w:r>
              <w:rPr>
                <w:noProof/>
                <w:sz w:val="18"/>
              </w:rPr>
              <w:t xml:space="preserve"> 399,898 </w:t>
            </w:r>
          </w:p>
        </w:tc>
        <w:tc>
          <w:tcPr>
            <w:tcW w:w="868" w:type="dxa"/>
          </w:tcPr>
          <w:p w:rsidR="00E506D3" w:rsidRDefault="00A1386A">
            <w:pPr>
              <w:spacing w:before="20" w:after="20"/>
              <w:jc w:val="right"/>
              <w:rPr>
                <w:noProof/>
                <w:color w:val="000000"/>
                <w:sz w:val="18"/>
                <w:szCs w:val="18"/>
              </w:rPr>
            </w:pPr>
            <w:r>
              <w:rPr>
                <w:noProof/>
                <w:sz w:val="18"/>
              </w:rPr>
              <w:t xml:space="preserve"> 404,826 </w:t>
            </w:r>
          </w:p>
        </w:tc>
        <w:tc>
          <w:tcPr>
            <w:tcW w:w="868" w:type="dxa"/>
          </w:tcPr>
          <w:p w:rsidR="00E506D3" w:rsidRDefault="00A1386A">
            <w:pPr>
              <w:spacing w:before="20" w:after="20"/>
              <w:jc w:val="right"/>
              <w:rPr>
                <w:noProof/>
                <w:color w:val="000000"/>
                <w:sz w:val="18"/>
                <w:szCs w:val="18"/>
              </w:rPr>
            </w:pPr>
            <w:r>
              <w:rPr>
                <w:noProof/>
                <w:sz w:val="18"/>
              </w:rPr>
              <w:t xml:space="preserve"> 408,526 </w:t>
            </w:r>
          </w:p>
        </w:tc>
        <w:tc>
          <w:tcPr>
            <w:tcW w:w="877" w:type="dxa"/>
            <w:shd w:val="clear" w:color="auto" w:fill="A6A6A6" w:themeFill="background1" w:themeFillShade="A6"/>
          </w:tcPr>
          <w:p w:rsidR="00E506D3" w:rsidRDefault="00A1386A">
            <w:pPr>
              <w:spacing w:before="20" w:after="20"/>
              <w:jc w:val="right"/>
              <w:rPr>
                <w:noProof/>
                <w:color w:val="000000"/>
                <w:sz w:val="18"/>
                <w:szCs w:val="18"/>
              </w:rPr>
            </w:pPr>
            <w:r>
              <w:rPr>
                <w:noProof/>
                <w:sz w:val="18"/>
              </w:rPr>
              <w:t xml:space="preserve"> - </w:t>
            </w:r>
          </w:p>
        </w:tc>
        <w:tc>
          <w:tcPr>
            <w:tcW w:w="1292" w:type="dxa"/>
          </w:tcPr>
          <w:p w:rsidR="00E506D3" w:rsidRDefault="00A1386A">
            <w:pPr>
              <w:spacing w:before="20" w:after="20"/>
              <w:jc w:val="right"/>
              <w:rPr>
                <w:noProof/>
                <w:color w:val="000000"/>
                <w:sz w:val="18"/>
                <w:szCs w:val="18"/>
              </w:rPr>
            </w:pPr>
            <w:r>
              <w:rPr>
                <w:noProof/>
                <w:sz w:val="18"/>
              </w:rPr>
              <w:t xml:space="preserve"> 2 549,012 </w:t>
            </w:r>
          </w:p>
        </w:tc>
      </w:tr>
      <w:tr w:rsidR="00E506D3">
        <w:trPr>
          <w:jc w:val="center"/>
        </w:trPr>
        <w:tc>
          <w:tcPr>
            <w:tcW w:w="4173" w:type="dxa"/>
            <w:vMerge/>
            <w:shd w:val="clear" w:color="auto" w:fill="C0C0C0"/>
          </w:tcPr>
          <w:p w:rsidR="00E506D3" w:rsidRDefault="00E506D3">
            <w:pPr>
              <w:rPr>
                <w:noProof/>
                <w:sz w:val="20"/>
              </w:rPr>
            </w:pPr>
          </w:p>
        </w:tc>
        <w:tc>
          <w:tcPr>
            <w:tcW w:w="2094" w:type="dxa"/>
            <w:gridSpan w:val="2"/>
            <w:vAlign w:val="center"/>
          </w:tcPr>
          <w:p w:rsidR="00E506D3" w:rsidRDefault="00A1386A">
            <w:pPr>
              <w:rPr>
                <w:noProof/>
                <w:sz w:val="14"/>
              </w:rPr>
            </w:pPr>
            <w:r>
              <w:rPr>
                <w:noProof/>
                <w:sz w:val="18"/>
              </w:rPr>
              <w:t>Πληρωμές</w:t>
            </w:r>
          </w:p>
        </w:tc>
        <w:tc>
          <w:tcPr>
            <w:tcW w:w="868" w:type="dxa"/>
          </w:tcPr>
          <w:p w:rsidR="00E506D3" w:rsidRDefault="00A1386A">
            <w:pPr>
              <w:spacing w:before="20" w:after="20"/>
              <w:jc w:val="right"/>
              <w:rPr>
                <w:noProof/>
                <w:sz w:val="18"/>
                <w:szCs w:val="18"/>
              </w:rPr>
            </w:pPr>
            <w:r>
              <w:rPr>
                <w:noProof/>
                <w:sz w:val="18"/>
              </w:rPr>
              <w:t xml:space="preserve"> 32,182 </w:t>
            </w:r>
          </w:p>
        </w:tc>
        <w:tc>
          <w:tcPr>
            <w:tcW w:w="868" w:type="dxa"/>
          </w:tcPr>
          <w:p w:rsidR="00E506D3" w:rsidRDefault="00A1386A">
            <w:pPr>
              <w:spacing w:before="20" w:after="20"/>
              <w:jc w:val="right"/>
              <w:rPr>
                <w:noProof/>
                <w:sz w:val="18"/>
                <w:szCs w:val="18"/>
              </w:rPr>
            </w:pPr>
            <w:r>
              <w:rPr>
                <w:noProof/>
                <w:sz w:val="18"/>
              </w:rPr>
              <w:t xml:space="preserve"> 61,849 </w:t>
            </w:r>
          </w:p>
        </w:tc>
        <w:tc>
          <w:tcPr>
            <w:tcW w:w="868" w:type="dxa"/>
          </w:tcPr>
          <w:p w:rsidR="00E506D3" w:rsidRDefault="00A1386A">
            <w:pPr>
              <w:spacing w:before="20" w:after="20"/>
              <w:jc w:val="right"/>
              <w:rPr>
                <w:noProof/>
                <w:sz w:val="18"/>
                <w:szCs w:val="18"/>
              </w:rPr>
            </w:pPr>
            <w:r>
              <w:rPr>
                <w:noProof/>
                <w:sz w:val="18"/>
              </w:rPr>
              <w:t xml:space="preserve"> 115,987 </w:t>
            </w:r>
          </w:p>
        </w:tc>
        <w:tc>
          <w:tcPr>
            <w:tcW w:w="868" w:type="dxa"/>
          </w:tcPr>
          <w:p w:rsidR="00E506D3" w:rsidRDefault="00A1386A">
            <w:pPr>
              <w:spacing w:before="20" w:after="20"/>
              <w:jc w:val="right"/>
              <w:rPr>
                <w:noProof/>
                <w:sz w:val="18"/>
                <w:szCs w:val="18"/>
              </w:rPr>
            </w:pPr>
            <w:r>
              <w:rPr>
                <w:noProof/>
                <w:sz w:val="18"/>
              </w:rPr>
              <w:t xml:space="preserve"> 275,474 </w:t>
            </w:r>
          </w:p>
        </w:tc>
        <w:tc>
          <w:tcPr>
            <w:tcW w:w="868" w:type="dxa"/>
          </w:tcPr>
          <w:p w:rsidR="00E506D3" w:rsidRDefault="00A1386A">
            <w:pPr>
              <w:spacing w:before="20" w:after="20"/>
              <w:jc w:val="right"/>
              <w:rPr>
                <w:noProof/>
                <w:sz w:val="18"/>
                <w:szCs w:val="18"/>
              </w:rPr>
            </w:pPr>
            <w:r>
              <w:rPr>
                <w:noProof/>
                <w:sz w:val="18"/>
              </w:rPr>
              <w:t xml:space="preserve"> 383,592 </w:t>
            </w:r>
          </w:p>
        </w:tc>
        <w:tc>
          <w:tcPr>
            <w:tcW w:w="868" w:type="dxa"/>
          </w:tcPr>
          <w:p w:rsidR="00E506D3" w:rsidRDefault="00A1386A">
            <w:pPr>
              <w:spacing w:before="20" w:after="20"/>
              <w:jc w:val="right"/>
              <w:rPr>
                <w:noProof/>
                <w:sz w:val="18"/>
                <w:szCs w:val="18"/>
              </w:rPr>
            </w:pPr>
            <w:r>
              <w:rPr>
                <w:noProof/>
                <w:sz w:val="18"/>
              </w:rPr>
              <w:t xml:space="preserve"> 381,943 </w:t>
            </w:r>
          </w:p>
        </w:tc>
        <w:tc>
          <w:tcPr>
            <w:tcW w:w="868" w:type="dxa"/>
          </w:tcPr>
          <w:p w:rsidR="00E506D3" w:rsidRDefault="00A1386A">
            <w:pPr>
              <w:spacing w:before="20" w:after="20"/>
              <w:jc w:val="right"/>
              <w:rPr>
                <w:noProof/>
                <w:sz w:val="18"/>
                <w:szCs w:val="18"/>
              </w:rPr>
            </w:pPr>
            <w:r>
              <w:rPr>
                <w:noProof/>
                <w:sz w:val="18"/>
              </w:rPr>
              <w:t xml:space="preserve"> 379,542 </w:t>
            </w:r>
          </w:p>
        </w:tc>
        <w:tc>
          <w:tcPr>
            <w:tcW w:w="877" w:type="dxa"/>
          </w:tcPr>
          <w:p w:rsidR="00E506D3" w:rsidRDefault="00A1386A">
            <w:pPr>
              <w:spacing w:before="20" w:after="20"/>
              <w:jc w:val="right"/>
              <w:rPr>
                <w:noProof/>
                <w:sz w:val="18"/>
                <w:szCs w:val="18"/>
              </w:rPr>
            </w:pPr>
            <w:r>
              <w:rPr>
                <w:noProof/>
                <w:sz w:val="18"/>
              </w:rPr>
              <w:t xml:space="preserve"> 918,443 </w:t>
            </w:r>
          </w:p>
        </w:tc>
        <w:tc>
          <w:tcPr>
            <w:tcW w:w="1292" w:type="dxa"/>
          </w:tcPr>
          <w:p w:rsidR="00E506D3" w:rsidRDefault="00A1386A">
            <w:pPr>
              <w:spacing w:before="20" w:after="20"/>
              <w:jc w:val="right"/>
              <w:rPr>
                <w:noProof/>
                <w:color w:val="000000"/>
                <w:sz w:val="18"/>
                <w:szCs w:val="18"/>
              </w:rPr>
            </w:pPr>
            <w:r>
              <w:rPr>
                <w:noProof/>
                <w:sz w:val="18"/>
              </w:rPr>
              <w:t xml:space="preserve"> 2 549,012 </w:t>
            </w:r>
          </w:p>
        </w:tc>
      </w:tr>
    </w:tbl>
    <w:p w:rsidR="00E506D3" w:rsidRDefault="00E506D3">
      <w:pPr>
        <w:rPr>
          <w:noProof/>
        </w:rPr>
        <w:sectPr w:rsidR="00E506D3" w:rsidSect="00A1386A">
          <w:headerReference w:type="default" r:id="rId28"/>
          <w:footerReference w:type="default" r:id="rId29"/>
          <w:headerReference w:type="first" r:id="rId30"/>
          <w:footerReference w:type="first" r:id="rId31"/>
          <w:pgSz w:w="16840" w:h="11907" w:orient="landscape" w:code="9"/>
          <w:pgMar w:top="1134" w:right="1418" w:bottom="1134" w:left="1418" w:header="709" w:footer="709" w:gutter="0"/>
          <w:cols w:space="708"/>
          <w:docGrid w:linePitch="360"/>
        </w:sectPr>
      </w:pPr>
    </w:p>
    <w:p w:rsidR="00E506D3" w:rsidRDefault="00A1386A">
      <w:pPr>
        <w:pStyle w:val="ManualHeading3"/>
        <w:rPr>
          <w:bCs/>
          <w:noProof/>
          <w:szCs w:val="24"/>
        </w:rPr>
      </w:pPr>
      <w:r>
        <w:t>3.2.2.</w:t>
      </w:r>
      <w:r>
        <w:tab/>
      </w:r>
      <w:r>
        <w:rPr>
          <w:noProof/>
        </w:rPr>
        <w:t>Συνοπτική παρουσίαση των εκτιμώμενων επιπτώσεων στις πιστώσεις διοικητικού χαρακτήρα</w:t>
      </w:r>
    </w:p>
    <w:p w:rsidR="00E506D3" w:rsidRDefault="00A1386A">
      <w:pPr>
        <w:pStyle w:val="ListDash1"/>
        <w:rPr>
          <w:noProof/>
        </w:rPr>
      </w:pPr>
      <w:r>
        <w:rPr>
          <w:noProof/>
        </w:rPr>
        <w:sym w:font="Wingdings" w:char="F0A8"/>
      </w:r>
      <w:r>
        <w:rPr>
          <w:noProof/>
        </w:rPr>
        <w:tab/>
        <w:t>Η πρόταση/πρωτοβουλία δεν συνεπάγεται τη χρησιμοποίηση πιστώσεων διοικητικού χαρακτήρα</w:t>
      </w:r>
    </w:p>
    <w:p w:rsidR="00E506D3" w:rsidRDefault="00A1386A">
      <w:pPr>
        <w:pStyle w:val="ListDash1"/>
        <w:rPr>
          <w:noProof/>
        </w:rPr>
      </w:pPr>
      <w:r>
        <w:rPr>
          <w:noProof/>
        </w:rPr>
        <w:sym w:font="Wingdings" w:char="F0FE"/>
      </w:r>
      <w:r>
        <w:rPr>
          <w:noProof/>
        </w:rPr>
        <w:tab/>
        <w:t>Η πρόταση/πρωτοβουλία συνεπάγεται τη χρησιμοποίηση πιστώσεων διοικητικού χαρακτή</w:t>
      </w:r>
      <w:r>
        <w:rPr>
          <w:noProof/>
        </w:rPr>
        <w:t>ρα, όπως εξηγείται κατωτέρω:</w:t>
      </w:r>
    </w:p>
    <w:p w:rsidR="00E506D3" w:rsidRDefault="00A1386A">
      <w:pPr>
        <w:rPr>
          <w:noProof/>
          <w:sz w:val="20"/>
        </w:rPr>
      </w:pPr>
      <w:r>
        <w:rPr>
          <w:noProof/>
          <w:sz w:val="20"/>
        </w:rPr>
        <w:t>σε εκατ. EUR (με τρία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506D3">
        <w:trPr>
          <w:trHeight w:val="585"/>
        </w:trPr>
        <w:tc>
          <w:tcPr>
            <w:tcW w:w="1980" w:type="dxa"/>
            <w:vAlign w:val="center"/>
          </w:tcPr>
          <w:p w:rsidR="00E506D3" w:rsidRDefault="00A1386A">
            <w:pPr>
              <w:spacing w:before="60" w:after="60" w:line="200" w:lineRule="exact"/>
              <w:jc w:val="center"/>
              <w:rPr>
                <w:b/>
                <w:noProof/>
                <w:sz w:val="16"/>
                <w:szCs w:val="16"/>
              </w:rPr>
            </w:pPr>
            <w:r>
              <w:rPr>
                <w:b/>
                <w:noProof/>
                <w:sz w:val="16"/>
              </w:rPr>
              <w:t>Έτη</w:t>
            </w:r>
          </w:p>
        </w:tc>
        <w:tc>
          <w:tcPr>
            <w:tcW w:w="1080" w:type="dxa"/>
            <w:vAlign w:val="center"/>
          </w:tcPr>
          <w:p w:rsidR="00E506D3" w:rsidRDefault="00A1386A">
            <w:pPr>
              <w:spacing w:before="60" w:after="60" w:line="200" w:lineRule="exact"/>
              <w:jc w:val="center"/>
              <w:rPr>
                <w:noProof/>
                <w:sz w:val="16"/>
                <w:szCs w:val="16"/>
              </w:rPr>
            </w:pPr>
            <w:r>
              <w:rPr>
                <w:b/>
                <w:noProof/>
                <w:sz w:val="20"/>
              </w:rPr>
              <w:t>2021</w:t>
            </w:r>
          </w:p>
        </w:tc>
        <w:tc>
          <w:tcPr>
            <w:tcW w:w="1080" w:type="dxa"/>
            <w:vAlign w:val="center"/>
          </w:tcPr>
          <w:p w:rsidR="00E506D3" w:rsidRDefault="00A1386A">
            <w:pPr>
              <w:spacing w:before="60" w:after="60" w:line="200" w:lineRule="exact"/>
              <w:jc w:val="center"/>
              <w:rPr>
                <w:noProof/>
                <w:sz w:val="16"/>
                <w:szCs w:val="16"/>
              </w:rPr>
            </w:pPr>
            <w:r>
              <w:rPr>
                <w:b/>
                <w:noProof/>
                <w:sz w:val="20"/>
              </w:rPr>
              <w:t>2022</w:t>
            </w:r>
          </w:p>
        </w:tc>
        <w:tc>
          <w:tcPr>
            <w:tcW w:w="1080" w:type="dxa"/>
            <w:vAlign w:val="center"/>
          </w:tcPr>
          <w:p w:rsidR="00E506D3" w:rsidRDefault="00A1386A">
            <w:pPr>
              <w:spacing w:before="60" w:after="60" w:line="200" w:lineRule="exact"/>
              <w:jc w:val="center"/>
              <w:rPr>
                <w:noProof/>
                <w:sz w:val="16"/>
                <w:szCs w:val="16"/>
              </w:rPr>
            </w:pPr>
            <w:r>
              <w:rPr>
                <w:b/>
                <w:noProof/>
                <w:sz w:val="20"/>
              </w:rPr>
              <w:t>2023</w:t>
            </w:r>
          </w:p>
        </w:tc>
        <w:tc>
          <w:tcPr>
            <w:tcW w:w="1080" w:type="dxa"/>
            <w:vAlign w:val="center"/>
          </w:tcPr>
          <w:p w:rsidR="00E506D3" w:rsidRDefault="00A1386A">
            <w:pPr>
              <w:spacing w:before="60" w:after="60" w:line="200" w:lineRule="exact"/>
              <w:jc w:val="center"/>
              <w:rPr>
                <w:noProof/>
                <w:sz w:val="16"/>
                <w:szCs w:val="16"/>
              </w:rPr>
            </w:pPr>
            <w:r>
              <w:rPr>
                <w:b/>
                <w:noProof/>
                <w:sz w:val="20"/>
              </w:rPr>
              <w:t>2024</w:t>
            </w:r>
          </w:p>
        </w:tc>
        <w:tc>
          <w:tcPr>
            <w:tcW w:w="1080" w:type="dxa"/>
            <w:vAlign w:val="center"/>
          </w:tcPr>
          <w:p w:rsidR="00E506D3" w:rsidRDefault="00A1386A">
            <w:pPr>
              <w:spacing w:line="200" w:lineRule="exact"/>
              <w:jc w:val="center"/>
              <w:rPr>
                <w:b/>
                <w:noProof/>
                <w:sz w:val="16"/>
                <w:szCs w:val="16"/>
              </w:rPr>
            </w:pPr>
            <w:r>
              <w:rPr>
                <w:b/>
                <w:noProof/>
                <w:sz w:val="18"/>
              </w:rPr>
              <w:t>2025</w:t>
            </w:r>
          </w:p>
        </w:tc>
        <w:tc>
          <w:tcPr>
            <w:tcW w:w="1080" w:type="dxa"/>
            <w:vAlign w:val="center"/>
          </w:tcPr>
          <w:p w:rsidR="00E506D3" w:rsidRDefault="00A1386A">
            <w:pPr>
              <w:spacing w:line="200" w:lineRule="exact"/>
              <w:jc w:val="center"/>
              <w:rPr>
                <w:b/>
                <w:noProof/>
                <w:sz w:val="16"/>
                <w:szCs w:val="16"/>
              </w:rPr>
            </w:pPr>
            <w:r>
              <w:rPr>
                <w:b/>
                <w:noProof/>
                <w:sz w:val="18"/>
              </w:rPr>
              <w:t>2026</w:t>
            </w:r>
          </w:p>
        </w:tc>
        <w:tc>
          <w:tcPr>
            <w:tcW w:w="1080" w:type="dxa"/>
            <w:vAlign w:val="center"/>
          </w:tcPr>
          <w:p w:rsidR="00E506D3" w:rsidRDefault="00A1386A">
            <w:pPr>
              <w:spacing w:line="200" w:lineRule="exact"/>
              <w:jc w:val="center"/>
              <w:rPr>
                <w:b/>
                <w:noProof/>
                <w:sz w:val="16"/>
                <w:szCs w:val="16"/>
              </w:rPr>
            </w:pPr>
            <w:r>
              <w:rPr>
                <w:b/>
                <w:noProof/>
                <w:sz w:val="18"/>
              </w:rPr>
              <w:t>2027</w:t>
            </w:r>
          </w:p>
        </w:tc>
        <w:tc>
          <w:tcPr>
            <w:tcW w:w="1080" w:type="dxa"/>
            <w:vAlign w:val="center"/>
          </w:tcPr>
          <w:p w:rsidR="00E506D3" w:rsidRDefault="00A1386A">
            <w:pPr>
              <w:spacing w:before="60" w:after="60" w:line="200" w:lineRule="exact"/>
              <w:jc w:val="center"/>
              <w:rPr>
                <w:b/>
                <w:noProof/>
                <w:sz w:val="16"/>
                <w:szCs w:val="16"/>
              </w:rPr>
            </w:pPr>
            <w:r>
              <w:rPr>
                <w:b/>
                <w:noProof/>
                <w:sz w:val="16"/>
              </w:rPr>
              <w:t>ΣΥΝΟΛΟ</w:t>
            </w:r>
          </w:p>
        </w:tc>
      </w:tr>
    </w:tbl>
    <w:p w:rsidR="00E506D3" w:rsidRDefault="00E506D3">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506D3">
        <w:trPr>
          <w:trHeight w:val="585"/>
        </w:trPr>
        <w:tc>
          <w:tcPr>
            <w:tcW w:w="1980" w:type="dxa"/>
            <w:shd w:val="clear" w:color="auto" w:fill="CCCCCC"/>
            <w:vAlign w:val="center"/>
          </w:tcPr>
          <w:p w:rsidR="00E506D3" w:rsidRDefault="00A1386A">
            <w:pPr>
              <w:spacing w:before="60" w:after="60" w:line="200" w:lineRule="exact"/>
              <w:jc w:val="center"/>
              <w:rPr>
                <w:b/>
                <w:noProof/>
                <w:sz w:val="16"/>
                <w:szCs w:val="16"/>
              </w:rPr>
            </w:pPr>
            <w:r>
              <w:rPr>
                <w:b/>
                <w:noProof/>
                <w:sz w:val="16"/>
              </w:rPr>
              <w:t>ΤΟΜΕΑΣ 7</w:t>
            </w:r>
            <w:r>
              <w:rPr>
                <w:noProof/>
                <w:sz w:val="22"/>
              </w:rPr>
              <w:br/>
            </w:r>
            <w:r>
              <w:rPr>
                <w:b/>
                <w:noProof/>
                <w:sz w:val="16"/>
              </w:rPr>
              <w:t>του πολυετούς δημοσιονομικού πλαισίου</w:t>
            </w: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b/>
                <w:noProof/>
                <w:sz w:val="16"/>
                <w:szCs w:val="16"/>
              </w:rPr>
            </w:pPr>
          </w:p>
        </w:tc>
        <w:tc>
          <w:tcPr>
            <w:tcW w:w="1080" w:type="dxa"/>
            <w:vAlign w:val="center"/>
          </w:tcPr>
          <w:p w:rsidR="00E506D3" w:rsidRDefault="00E506D3">
            <w:pPr>
              <w:spacing w:before="60" w:after="60" w:line="200" w:lineRule="exact"/>
              <w:jc w:val="right"/>
              <w:rPr>
                <w:b/>
                <w:noProof/>
                <w:sz w:val="16"/>
                <w:szCs w:val="16"/>
              </w:rPr>
            </w:pPr>
          </w:p>
        </w:tc>
      </w:tr>
      <w:tr w:rsidR="00E506D3">
        <w:trPr>
          <w:trHeight w:val="585"/>
        </w:trPr>
        <w:tc>
          <w:tcPr>
            <w:tcW w:w="1980" w:type="dxa"/>
            <w:vAlign w:val="center"/>
          </w:tcPr>
          <w:p w:rsidR="00E506D3" w:rsidRDefault="00A1386A">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5,942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6,943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6,943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6,943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6,943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6,943 </w:t>
            </w:r>
          </w:p>
        </w:tc>
        <w:tc>
          <w:tcPr>
            <w:tcW w:w="1080" w:type="dxa"/>
            <w:vAlign w:val="center"/>
          </w:tcPr>
          <w:p w:rsidR="00E506D3" w:rsidRDefault="00A1386A">
            <w:pPr>
              <w:spacing w:before="60" w:after="60" w:line="200" w:lineRule="exact"/>
              <w:jc w:val="right"/>
              <w:rPr>
                <w:b/>
                <w:noProof/>
                <w:sz w:val="16"/>
                <w:szCs w:val="16"/>
              </w:rPr>
            </w:pPr>
            <w:r>
              <w:rPr>
                <w:noProof/>
                <w:color w:val="000000"/>
                <w:sz w:val="18"/>
              </w:rPr>
              <w:t xml:space="preserve"> 6,943 </w:t>
            </w:r>
          </w:p>
        </w:tc>
        <w:tc>
          <w:tcPr>
            <w:tcW w:w="1080" w:type="dxa"/>
            <w:vAlign w:val="center"/>
          </w:tcPr>
          <w:p w:rsidR="00E506D3" w:rsidRDefault="00A1386A">
            <w:pPr>
              <w:spacing w:before="60" w:after="60" w:line="200" w:lineRule="exact"/>
              <w:jc w:val="right"/>
              <w:rPr>
                <w:b/>
                <w:noProof/>
                <w:sz w:val="16"/>
                <w:szCs w:val="16"/>
              </w:rPr>
            </w:pPr>
            <w:r>
              <w:rPr>
                <w:noProof/>
                <w:color w:val="000000"/>
                <w:sz w:val="18"/>
              </w:rPr>
              <w:t xml:space="preserve"> 47,600 </w:t>
            </w:r>
          </w:p>
        </w:tc>
      </w:tr>
      <w:tr w:rsidR="00E506D3">
        <w:trPr>
          <w:trHeight w:val="585"/>
        </w:trPr>
        <w:tc>
          <w:tcPr>
            <w:tcW w:w="1980" w:type="dxa"/>
            <w:vAlign w:val="center"/>
          </w:tcPr>
          <w:p w:rsidR="00E506D3" w:rsidRDefault="00A1386A">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0,202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0,202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0,202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0,202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0,202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0,202 </w:t>
            </w:r>
          </w:p>
        </w:tc>
        <w:tc>
          <w:tcPr>
            <w:tcW w:w="1080" w:type="dxa"/>
            <w:vAlign w:val="center"/>
          </w:tcPr>
          <w:p w:rsidR="00E506D3" w:rsidRDefault="00A1386A">
            <w:pPr>
              <w:spacing w:before="60" w:after="60" w:line="200" w:lineRule="exact"/>
              <w:jc w:val="right"/>
              <w:rPr>
                <w:b/>
                <w:noProof/>
                <w:sz w:val="16"/>
                <w:szCs w:val="16"/>
              </w:rPr>
            </w:pPr>
            <w:r>
              <w:rPr>
                <w:noProof/>
                <w:color w:val="000000"/>
                <w:sz w:val="18"/>
              </w:rPr>
              <w:t xml:space="preserve"> 0,202 </w:t>
            </w:r>
          </w:p>
        </w:tc>
        <w:tc>
          <w:tcPr>
            <w:tcW w:w="1080" w:type="dxa"/>
            <w:vAlign w:val="center"/>
          </w:tcPr>
          <w:p w:rsidR="00E506D3" w:rsidRDefault="00A1386A">
            <w:pPr>
              <w:spacing w:before="60" w:after="60" w:line="200" w:lineRule="exact"/>
              <w:jc w:val="right"/>
              <w:rPr>
                <w:b/>
                <w:noProof/>
                <w:sz w:val="16"/>
                <w:szCs w:val="16"/>
              </w:rPr>
            </w:pPr>
            <w:r>
              <w:rPr>
                <w:noProof/>
                <w:color w:val="000000"/>
                <w:sz w:val="18"/>
              </w:rPr>
              <w:t xml:space="preserve"> 1,412 </w:t>
            </w:r>
          </w:p>
        </w:tc>
      </w:tr>
      <w:tr w:rsidR="00E506D3">
        <w:trPr>
          <w:trHeight w:val="585"/>
        </w:trPr>
        <w:tc>
          <w:tcPr>
            <w:tcW w:w="1980" w:type="dxa"/>
            <w:shd w:val="clear" w:color="auto" w:fill="CCCCCC"/>
            <w:vAlign w:val="center"/>
          </w:tcPr>
          <w:p w:rsidR="00E506D3" w:rsidRDefault="00A1386A">
            <w:pPr>
              <w:spacing w:before="60" w:after="60" w:line="200" w:lineRule="exact"/>
              <w:jc w:val="center"/>
              <w:rPr>
                <w:b/>
                <w:noProof/>
                <w:sz w:val="16"/>
                <w:szCs w:val="16"/>
              </w:rPr>
            </w:pPr>
            <w:r>
              <w:rPr>
                <w:b/>
                <w:noProof/>
                <w:sz w:val="16"/>
              </w:rPr>
              <w:t>Μερικό σύνολο του ΤΟΜΕΑ 7</w:t>
            </w:r>
            <w:r>
              <w:rPr>
                <w:noProof/>
                <w:sz w:val="22"/>
              </w:rPr>
              <w:br/>
            </w:r>
            <w:r>
              <w:rPr>
                <w:b/>
                <w:noProof/>
                <w:sz w:val="16"/>
              </w:rPr>
              <w:t xml:space="preserve">του πολυετούς δημοσιονομικού πλαισίου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6,144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7,145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7,145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7,145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7,145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7,145 </w:t>
            </w:r>
          </w:p>
        </w:tc>
        <w:tc>
          <w:tcPr>
            <w:tcW w:w="1080" w:type="dxa"/>
            <w:vAlign w:val="center"/>
          </w:tcPr>
          <w:p w:rsidR="00E506D3" w:rsidRDefault="00A1386A">
            <w:pPr>
              <w:spacing w:before="60" w:after="60" w:line="200" w:lineRule="exact"/>
              <w:jc w:val="right"/>
              <w:rPr>
                <w:b/>
                <w:noProof/>
                <w:sz w:val="16"/>
                <w:szCs w:val="16"/>
              </w:rPr>
            </w:pPr>
            <w:r>
              <w:rPr>
                <w:noProof/>
                <w:color w:val="000000"/>
                <w:sz w:val="18"/>
              </w:rPr>
              <w:t xml:space="preserve"> 7,145 </w:t>
            </w:r>
          </w:p>
        </w:tc>
        <w:tc>
          <w:tcPr>
            <w:tcW w:w="1080" w:type="dxa"/>
            <w:vAlign w:val="center"/>
          </w:tcPr>
          <w:p w:rsidR="00E506D3" w:rsidRDefault="00A1386A">
            <w:pPr>
              <w:spacing w:before="60" w:after="60" w:line="200" w:lineRule="exact"/>
              <w:jc w:val="right"/>
              <w:rPr>
                <w:b/>
                <w:noProof/>
                <w:sz w:val="16"/>
                <w:szCs w:val="16"/>
              </w:rPr>
            </w:pPr>
            <w:r>
              <w:rPr>
                <w:noProof/>
                <w:color w:val="000000"/>
                <w:sz w:val="18"/>
              </w:rPr>
              <w:t xml:space="preserve"> 49,012 </w:t>
            </w:r>
          </w:p>
        </w:tc>
      </w:tr>
    </w:tbl>
    <w:p w:rsidR="00E506D3" w:rsidRDefault="00E506D3">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506D3">
        <w:trPr>
          <w:trHeight w:val="585"/>
        </w:trPr>
        <w:tc>
          <w:tcPr>
            <w:tcW w:w="1980" w:type="dxa"/>
            <w:shd w:val="clear" w:color="auto" w:fill="CCCCCC"/>
            <w:vAlign w:val="center"/>
          </w:tcPr>
          <w:p w:rsidR="00E506D3" w:rsidRDefault="00A1386A">
            <w:pPr>
              <w:spacing w:before="60" w:after="60" w:line="200" w:lineRule="exact"/>
              <w:jc w:val="center"/>
              <w:rPr>
                <w:noProof/>
                <w:sz w:val="16"/>
                <w:szCs w:val="16"/>
              </w:rPr>
            </w:pPr>
            <w:r>
              <w:rPr>
                <w:b/>
                <w:noProof/>
                <w:sz w:val="16"/>
              </w:rPr>
              <w:t>Εκτός του ΤΟΜΕΑ 7</w:t>
            </w:r>
            <w:r>
              <w:rPr>
                <w:noProof/>
                <w:sz w:val="22"/>
              </w:rPr>
              <w:br/>
            </w:r>
            <w:r>
              <w:rPr>
                <w:b/>
                <w:noProof/>
                <w:sz w:val="16"/>
              </w:rPr>
              <w:t xml:space="preserve">του πολυετούς </w:t>
            </w:r>
            <w:r>
              <w:rPr>
                <w:b/>
                <w:noProof/>
                <w:sz w:val="16"/>
              </w:rPr>
              <w:t>δημοσιονομικού πλαισίου</w:t>
            </w:r>
          </w:p>
          <w:p w:rsidR="00E506D3" w:rsidRDefault="00E506D3">
            <w:pPr>
              <w:spacing w:before="0" w:after="0" w:line="200" w:lineRule="exact"/>
              <w:jc w:val="center"/>
              <w:rPr>
                <w:b/>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b/>
                <w:noProof/>
                <w:sz w:val="16"/>
                <w:szCs w:val="16"/>
              </w:rPr>
            </w:pPr>
          </w:p>
        </w:tc>
        <w:tc>
          <w:tcPr>
            <w:tcW w:w="1080" w:type="dxa"/>
            <w:vAlign w:val="center"/>
          </w:tcPr>
          <w:p w:rsidR="00E506D3" w:rsidRDefault="00E506D3">
            <w:pPr>
              <w:spacing w:before="60" w:after="60" w:line="200" w:lineRule="exact"/>
              <w:jc w:val="right"/>
              <w:rPr>
                <w:b/>
                <w:noProof/>
                <w:sz w:val="16"/>
                <w:szCs w:val="16"/>
              </w:rPr>
            </w:pPr>
          </w:p>
        </w:tc>
      </w:tr>
      <w:tr w:rsidR="00E506D3">
        <w:trPr>
          <w:trHeight w:val="585"/>
        </w:trPr>
        <w:tc>
          <w:tcPr>
            <w:tcW w:w="1980" w:type="dxa"/>
            <w:vAlign w:val="center"/>
          </w:tcPr>
          <w:p w:rsidR="00E506D3" w:rsidRDefault="00A1386A">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noProof/>
                <w:sz w:val="16"/>
                <w:szCs w:val="16"/>
              </w:rPr>
            </w:pPr>
          </w:p>
        </w:tc>
        <w:tc>
          <w:tcPr>
            <w:tcW w:w="1080" w:type="dxa"/>
            <w:vAlign w:val="center"/>
          </w:tcPr>
          <w:p w:rsidR="00E506D3" w:rsidRDefault="00E506D3">
            <w:pPr>
              <w:spacing w:before="60" w:after="60" w:line="200" w:lineRule="exact"/>
              <w:jc w:val="right"/>
              <w:rPr>
                <w:b/>
                <w:noProof/>
                <w:sz w:val="16"/>
                <w:szCs w:val="16"/>
              </w:rPr>
            </w:pPr>
          </w:p>
        </w:tc>
        <w:tc>
          <w:tcPr>
            <w:tcW w:w="1080" w:type="dxa"/>
            <w:vAlign w:val="center"/>
          </w:tcPr>
          <w:p w:rsidR="00E506D3" w:rsidRDefault="00E506D3">
            <w:pPr>
              <w:spacing w:before="60" w:after="60" w:line="200" w:lineRule="exact"/>
              <w:jc w:val="right"/>
              <w:rPr>
                <w:b/>
                <w:noProof/>
                <w:sz w:val="16"/>
                <w:szCs w:val="16"/>
              </w:rPr>
            </w:pPr>
          </w:p>
        </w:tc>
      </w:tr>
      <w:tr w:rsidR="00E506D3">
        <w:trPr>
          <w:trHeight w:val="585"/>
        </w:trPr>
        <w:tc>
          <w:tcPr>
            <w:tcW w:w="1980" w:type="dxa"/>
            <w:vAlign w:val="center"/>
          </w:tcPr>
          <w:p w:rsidR="00E506D3" w:rsidRDefault="00A1386A">
            <w:pPr>
              <w:spacing w:before="60" w:after="60" w:line="200" w:lineRule="exact"/>
              <w:ind w:left="72"/>
              <w:jc w:val="left"/>
              <w:rPr>
                <w:noProof/>
                <w:sz w:val="16"/>
                <w:szCs w:val="16"/>
              </w:rPr>
            </w:pPr>
            <w:r>
              <w:rPr>
                <w:noProof/>
              </w:rPr>
              <w:t>Άλλες δαπάνες</w:t>
            </w:r>
            <w:r>
              <w:rPr>
                <w:noProof/>
                <w:sz w:val="22"/>
              </w:rPr>
              <w:br/>
            </w:r>
            <w:r>
              <w:rPr>
                <w:noProof/>
                <w:sz w:val="16"/>
              </w:rPr>
              <w:t>διοικητικού χαρακτήρα</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2,827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2,884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2,941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3,000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3,060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3,121 </w:t>
            </w:r>
          </w:p>
        </w:tc>
        <w:tc>
          <w:tcPr>
            <w:tcW w:w="1080" w:type="dxa"/>
            <w:vAlign w:val="center"/>
          </w:tcPr>
          <w:p w:rsidR="00E506D3" w:rsidRDefault="00A1386A">
            <w:pPr>
              <w:spacing w:before="60" w:after="60" w:line="200" w:lineRule="exact"/>
              <w:jc w:val="right"/>
              <w:rPr>
                <w:b/>
                <w:noProof/>
                <w:sz w:val="16"/>
                <w:szCs w:val="16"/>
              </w:rPr>
            </w:pPr>
            <w:r>
              <w:rPr>
                <w:noProof/>
                <w:color w:val="000000"/>
                <w:sz w:val="18"/>
              </w:rPr>
              <w:t xml:space="preserve"> 3,167 </w:t>
            </w:r>
          </w:p>
        </w:tc>
        <w:tc>
          <w:tcPr>
            <w:tcW w:w="1080" w:type="dxa"/>
            <w:vAlign w:val="center"/>
          </w:tcPr>
          <w:p w:rsidR="00E506D3" w:rsidRDefault="00A1386A">
            <w:pPr>
              <w:spacing w:before="60" w:after="60" w:line="200" w:lineRule="exact"/>
              <w:jc w:val="right"/>
              <w:rPr>
                <w:b/>
                <w:noProof/>
                <w:sz w:val="16"/>
                <w:szCs w:val="16"/>
              </w:rPr>
            </w:pPr>
            <w:r>
              <w:rPr>
                <w:noProof/>
                <w:color w:val="000000"/>
                <w:sz w:val="18"/>
              </w:rPr>
              <w:t xml:space="preserve"> 21,000 </w:t>
            </w:r>
          </w:p>
        </w:tc>
      </w:tr>
      <w:tr w:rsidR="00E506D3">
        <w:trPr>
          <w:trHeight w:val="585"/>
        </w:trPr>
        <w:tc>
          <w:tcPr>
            <w:tcW w:w="1980" w:type="dxa"/>
            <w:shd w:val="clear" w:color="auto" w:fill="CCCCCC"/>
            <w:vAlign w:val="center"/>
          </w:tcPr>
          <w:p w:rsidR="00E506D3" w:rsidRDefault="00A1386A">
            <w:pPr>
              <w:spacing w:before="60" w:after="60" w:line="200" w:lineRule="exact"/>
              <w:jc w:val="center"/>
              <w:rPr>
                <w:b/>
                <w:noProof/>
                <w:sz w:val="16"/>
                <w:szCs w:val="16"/>
              </w:rPr>
            </w:pPr>
            <w:r>
              <w:rPr>
                <w:b/>
                <w:noProof/>
                <w:sz w:val="16"/>
              </w:rPr>
              <w:t>Μερικό σύνολο</w:t>
            </w:r>
            <w:r>
              <w:rPr>
                <w:noProof/>
                <w:sz w:val="22"/>
              </w:rPr>
              <w:br/>
            </w:r>
            <w:r>
              <w:rPr>
                <w:b/>
                <w:noProof/>
                <w:sz w:val="16"/>
              </w:rPr>
              <w:t>εκτός του ΤΟΜΕΑ 7</w:t>
            </w:r>
            <w:r>
              <w:rPr>
                <w:noProof/>
                <w:sz w:val="22"/>
              </w:rPr>
              <w:br/>
            </w:r>
            <w:r>
              <w:rPr>
                <w:b/>
                <w:noProof/>
                <w:sz w:val="16"/>
              </w:rPr>
              <w:t xml:space="preserve">του πολυετούς δημοσιονομικού πλαισίου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2,827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2,884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2,941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3,000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3,060 </w:t>
            </w:r>
          </w:p>
        </w:tc>
        <w:tc>
          <w:tcPr>
            <w:tcW w:w="1080" w:type="dxa"/>
            <w:vAlign w:val="center"/>
          </w:tcPr>
          <w:p w:rsidR="00E506D3" w:rsidRDefault="00A1386A">
            <w:pPr>
              <w:spacing w:before="60" w:after="60" w:line="200" w:lineRule="exact"/>
              <w:jc w:val="right"/>
              <w:rPr>
                <w:noProof/>
                <w:sz w:val="16"/>
                <w:szCs w:val="16"/>
              </w:rPr>
            </w:pPr>
            <w:r>
              <w:rPr>
                <w:noProof/>
                <w:color w:val="000000"/>
                <w:sz w:val="18"/>
              </w:rPr>
              <w:t xml:space="preserve"> 3,121 </w:t>
            </w:r>
          </w:p>
        </w:tc>
        <w:tc>
          <w:tcPr>
            <w:tcW w:w="1080" w:type="dxa"/>
            <w:vAlign w:val="center"/>
          </w:tcPr>
          <w:p w:rsidR="00E506D3" w:rsidRDefault="00A1386A">
            <w:pPr>
              <w:spacing w:before="60" w:after="60" w:line="200" w:lineRule="exact"/>
              <w:jc w:val="right"/>
              <w:rPr>
                <w:b/>
                <w:noProof/>
                <w:sz w:val="16"/>
                <w:szCs w:val="16"/>
              </w:rPr>
            </w:pPr>
            <w:r>
              <w:rPr>
                <w:noProof/>
                <w:color w:val="000000"/>
                <w:sz w:val="18"/>
              </w:rPr>
              <w:t xml:space="preserve"> 3,167 </w:t>
            </w:r>
          </w:p>
        </w:tc>
        <w:tc>
          <w:tcPr>
            <w:tcW w:w="1080" w:type="dxa"/>
            <w:vAlign w:val="center"/>
          </w:tcPr>
          <w:p w:rsidR="00E506D3" w:rsidRDefault="00A1386A">
            <w:pPr>
              <w:spacing w:before="60" w:after="60" w:line="200" w:lineRule="exact"/>
              <w:jc w:val="right"/>
              <w:rPr>
                <w:b/>
                <w:noProof/>
                <w:sz w:val="16"/>
                <w:szCs w:val="16"/>
              </w:rPr>
            </w:pPr>
            <w:r>
              <w:rPr>
                <w:noProof/>
                <w:color w:val="000000"/>
                <w:sz w:val="18"/>
              </w:rPr>
              <w:t xml:space="preserve"> 21,000 </w:t>
            </w:r>
          </w:p>
        </w:tc>
      </w:tr>
    </w:tbl>
    <w:p w:rsidR="00E506D3" w:rsidRDefault="00E506D3">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506D3">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506D3" w:rsidRDefault="00A1386A">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rsidR="00E506D3" w:rsidRDefault="00A1386A">
            <w:pPr>
              <w:spacing w:before="60" w:after="60" w:line="200" w:lineRule="exact"/>
              <w:jc w:val="right"/>
              <w:rPr>
                <w:b/>
                <w:noProof/>
                <w:sz w:val="16"/>
                <w:szCs w:val="16"/>
              </w:rPr>
            </w:pPr>
            <w:r>
              <w:rPr>
                <w:b/>
                <w:noProof/>
                <w:color w:val="000000"/>
                <w:sz w:val="20"/>
              </w:rPr>
              <w:t xml:space="preserve"> 8,971 </w:t>
            </w:r>
          </w:p>
        </w:tc>
        <w:tc>
          <w:tcPr>
            <w:tcW w:w="1080" w:type="dxa"/>
            <w:tcBorders>
              <w:top w:val="single" w:sz="12" w:space="0" w:color="auto"/>
              <w:left w:val="single" w:sz="2" w:space="0" w:color="auto"/>
              <w:bottom w:val="single" w:sz="12" w:space="0" w:color="auto"/>
              <w:right w:val="single" w:sz="2" w:space="0" w:color="auto"/>
            </w:tcBorders>
            <w:vAlign w:val="center"/>
          </w:tcPr>
          <w:p w:rsidR="00E506D3" w:rsidRDefault="00A1386A">
            <w:pPr>
              <w:spacing w:before="60" w:after="60" w:line="200" w:lineRule="exact"/>
              <w:jc w:val="right"/>
              <w:rPr>
                <w:b/>
                <w:noProof/>
                <w:sz w:val="16"/>
                <w:szCs w:val="16"/>
              </w:rPr>
            </w:pPr>
            <w:r>
              <w:rPr>
                <w:b/>
                <w:noProof/>
                <w:color w:val="000000"/>
                <w:sz w:val="20"/>
              </w:rPr>
              <w:t xml:space="preserve"> 10,029 </w:t>
            </w:r>
          </w:p>
        </w:tc>
        <w:tc>
          <w:tcPr>
            <w:tcW w:w="1080" w:type="dxa"/>
            <w:tcBorders>
              <w:top w:val="single" w:sz="12" w:space="0" w:color="auto"/>
              <w:left w:val="single" w:sz="2" w:space="0" w:color="auto"/>
              <w:bottom w:val="single" w:sz="12" w:space="0" w:color="auto"/>
              <w:right w:val="single" w:sz="2" w:space="0" w:color="auto"/>
            </w:tcBorders>
            <w:vAlign w:val="center"/>
          </w:tcPr>
          <w:p w:rsidR="00E506D3" w:rsidRDefault="00A1386A">
            <w:pPr>
              <w:spacing w:before="60" w:after="60" w:line="200" w:lineRule="exact"/>
              <w:jc w:val="right"/>
              <w:rPr>
                <w:b/>
                <w:noProof/>
                <w:sz w:val="16"/>
                <w:szCs w:val="16"/>
              </w:rPr>
            </w:pPr>
            <w:r>
              <w:rPr>
                <w:b/>
                <w:noProof/>
                <w:color w:val="000000"/>
                <w:sz w:val="20"/>
              </w:rPr>
              <w:t xml:space="preserve"> 10,086 </w:t>
            </w:r>
          </w:p>
        </w:tc>
        <w:tc>
          <w:tcPr>
            <w:tcW w:w="1080" w:type="dxa"/>
            <w:tcBorders>
              <w:top w:val="single" w:sz="12" w:space="0" w:color="auto"/>
              <w:left w:val="single" w:sz="2" w:space="0" w:color="auto"/>
              <w:bottom w:val="single" w:sz="12" w:space="0" w:color="auto"/>
              <w:right w:val="single" w:sz="2" w:space="0" w:color="auto"/>
            </w:tcBorders>
            <w:vAlign w:val="center"/>
          </w:tcPr>
          <w:p w:rsidR="00E506D3" w:rsidRDefault="00A1386A">
            <w:pPr>
              <w:spacing w:before="60" w:after="60" w:line="200" w:lineRule="exact"/>
              <w:jc w:val="right"/>
              <w:rPr>
                <w:b/>
                <w:noProof/>
                <w:sz w:val="16"/>
                <w:szCs w:val="16"/>
              </w:rPr>
            </w:pPr>
            <w:r>
              <w:rPr>
                <w:b/>
                <w:noProof/>
                <w:color w:val="000000"/>
                <w:sz w:val="20"/>
              </w:rPr>
              <w:t xml:space="preserve"> 10,145 </w:t>
            </w:r>
          </w:p>
        </w:tc>
        <w:tc>
          <w:tcPr>
            <w:tcW w:w="1080" w:type="dxa"/>
            <w:tcBorders>
              <w:top w:val="single" w:sz="12" w:space="0" w:color="auto"/>
              <w:left w:val="single" w:sz="2" w:space="0" w:color="auto"/>
              <w:bottom w:val="single" w:sz="12" w:space="0" w:color="auto"/>
              <w:right w:val="single" w:sz="2" w:space="0" w:color="auto"/>
            </w:tcBorders>
            <w:vAlign w:val="center"/>
          </w:tcPr>
          <w:p w:rsidR="00E506D3" w:rsidRDefault="00A1386A">
            <w:pPr>
              <w:spacing w:before="60" w:after="60" w:line="200" w:lineRule="exact"/>
              <w:jc w:val="right"/>
              <w:rPr>
                <w:b/>
                <w:noProof/>
                <w:sz w:val="16"/>
                <w:szCs w:val="16"/>
              </w:rPr>
            </w:pPr>
            <w:r>
              <w:rPr>
                <w:b/>
                <w:noProof/>
                <w:color w:val="000000"/>
                <w:sz w:val="20"/>
              </w:rPr>
              <w:t xml:space="preserve"> 10,205 </w:t>
            </w:r>
          </w:p>
        </w:tc>
        <w:tc>
          <w:tcPr>
            <w:tcW w:w="1080" w:type="dxa"/>
            <w:tcBorders>
              <w:top w:val="single" w:sz="12" w:space="0" w:color="auto"/>
              <w:left w:val="single" w:sz="2" w:space="0" w:color="auto"/>
              <w:bottom w:val="single" w:sz="12" w:space="0" w:color="auto"/>
              <w:right w:val="single" w:sz="2" w:space="0" w:color="auto"/>
            </w:tcBorders>
            <w:vAlign w:val="center"/>
          </w:tcPr>
          <w:p w:rsidR="00E506D3" w:rsidRDefault="00A1386A">
            <w:pPr>
              <w:spacing w:before="60" w:after="60" w:line="200" w:lineRule="exact"/>
              <w:jc w:val="right"/>
              <w:rPr>
                <w:b/>
                <w:noProof/>
                <w:sz w:val="16"/>
                <w:szCs w:val="16"/>
              </w:rPr>
            </w:pPr>
            <w:r>
              <w:rPr>
                <w:b/>
                <w:noProof/>
                <w:color w:val="000000"/>
                <w:sz w:val="20"/>
              </w:rPr>
              <w:t xml:space="preserve"> 10,266 </w:t>
            </w:r>
          </w:p>
        </w:tc>
        <w:tc>
          <w:tcPr>
            <w:tcW w:w="1080" w:type="dxa"/>
            <w:tcBorders>
              <w:top w:val="single" w:sz="12" w:space="0" w:color="auto"/>
              <w:left w:val="single" w:sz="2" w:space="0" w:color="auto"/>
              <w:bottom w:val="single" w:sz="12" w:space="0" w:color="auto"/>
              <w:right w:val="single" w:sz="2" w:space="0" w:color="auto"/>
            </w:tcBorders>
            <w:vAlign w:val="center"/>
          </w:tcPr>
          <w:p w:rsidR="00E506D3" w:rsidRDefault="00A1386A">
            <w:pPr>
              <w:spacing w:before="60" w:after="60" w:line="200" w:lineRule="exact"/>
              <w:jc w:val="right"/>
              <w:rPr>
                <w:b/>
                <w:noProof/>
                <w:sz w:val="16"/>
                <w:szCs w:val="16"/>
              </w:rPr>
            </w:pPr>
            <w:r>
              <w:rPr>
                <w:b/>
                <w:noProof/>
                <w:color w:val="000000"/>
                <w:sz w:val="20"/>
              </w:rPr>
              <w:t xml:space="preserve"> 10,312 </w:t>
            </w:r>
          </w:p>
        </w:tc>
        <w:tc>
          <w:tcPr>
            <w:tcW w:w="1080" w:type="dxa"/>
            <w:tcBorders>
              <w:top w:val="single" w:sz="12" w:space="0" w:color="auto"/>
              <w:left w:val="single" w:sz="2" w:space="0" w:color="auto"/>
              <w:bottom w:val="single" w:sz="12" w:space="0" w:color="auto"/>
              <w:right w:val="single" w:sz="12" w:space="0" w:color="auto"/>
            </w:tcBorders>
            <w:vAlign w:val="center"/>
          </w:tcPr>
          <w:p w:rsidR="00E506D3" w:rsidRDefault="00A1386A">
            <w:pPr>
              <w:spacing w:before="60" w:after="60" w:line="200" w:lineRule="exact"/>
              <w:jc w:val="right"/>
              <w:rPr>
                <w:b/>
                <w:bCs/>
                <w:noProof/>
                <w:color w:val="000000"/>
                <w:sz w:val="20"/>
                <w:szCs w:val="20"/>
              </w:rPr>
            </w:pPr>
            <w:r>
              <w:rPr>
                <w:b/>
                <w:noProof/>
                <w:color w:val="000000"/>
                <w:sz w:val="20"/>
              </w:rPr>
              <w:t xml:space="preserve"> </w:t>
            </w:r>
          </w:p>
          <w:p w:rsidR="00E506D3" w:rsidRDefault="00A1386A">
            <w:pPr>
              <w:spacing w:before="0" w:after="0"/>
              <w:jc w:val="right"/>
              <w:rPr>
                <w:b/>
                <w:bCs/>
                <w:noProof/>
                <w:color w:val="000000"/>
                <w:sz w:val="20"/>
                <w:szCs w:val="20"/>
              </w:rPr>
            </w:pPr>
            <w:r>
              <w:rPr>
                <w:b/>
                <w:noProof/>
                <w:color w:val="000000"/>
                <w:sz w:val="20"/>
              </w:rPr>
              <w:t xml:space="preserve"> 70,012 </w:t>
            </w:r>
          </w:p>
          <w:p w:rsidR="00E506D3" w:rsidRDefault="00E506D3">
            <w:pPr>
              <w:spacing w:before="60" w:after="60" w:line="200" w:lineRule="exact"/>
              <w:jc w:val="right"/>
              <w:rPr>
                <w:b/>
                <w:noProof/>
                <w:sz w:val="16"/>
                <w:szCs w:val="16"/>
              </w:rPr>
            </w:pPr>
          </w:p>
        </w:tc>
      </w:tr>
    </w:tbl>
    <w:p w:rsidR="00E506D3" w:rsidRDefault="00A1386A">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w:t>
      </w:r>
      <w:r>
        <w:rPr>
          <w:noProof/>
          <w:sz w:val="18"/>
        </w:rPr>
        <w:t xml:space="preserve">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w:t>
      </w:r>
      <w:r>
        <w:rPr>
          <w:noProof/>
          <w:sz w:val="18"/>
        </w:rPr>
        <w:t>ς διαδικασίας κατανομής και λαμβανομένων υπόψη των υφιστάμενων δημοσιονομικών περιορισμών.</w:t>
      </w:r>
    </w:p>
    <w:p w:rsidR="00E506D3" w:rsidRDefault="00A1386A">
      <w:pPr>
        <w:rPr>
          <w:noProof/>
        </w:rPr>
      </w:pPr>
      <w:r>
        <w:rPr>
          <w:noProof/>
        </w:rPr>
        <w:t>[Για καθοδήγηση σχετικά με την πιθανή ανάθεση καθηκόντων υλοποίησης του προγράμματος σε εκτελεστικούς οργανισμούς, βλέπε σ. 8/9 παραπάνω].</w:t>
      </w:r>
    </w:p>
    <w:p w:rsidR="00E506D3" w:rsidRDefault="00E506D3">
      <w:pPr>
        <w:rPr>
          <w:noProof/>
          <w:sz w:val="18"/>
        </w:rPr>
        <w:sectPr w:rsidR="00E506D3" w:rsidSect="00A1386A">
          <w:headerReference w:type="default" r:id="rId32"/>
          <w:footerReference w:type="default" r:id="rId33"/>
          <w:headerReference w:type="first" r:id="rId34"/>
          <w:footerReference w:type="first" r:id="rId35"/>
          <w:pgSz w:w="11907" w:h="16840"/>
          <w:pgMar w:top="1134" w:right="1418" w:bottom="1134" w:left="1418" w:header="709" w:footer="709" w:gutter="0"/>
          <w:cols w:space="708"/>
          <w:docGrid w:linePitch="360"/>
        </w:sectPr>
      </w:pPr>
    </w:p>
    <w:p w:rsidR="00E506D3" w:rsidRDefault="00A1386A">
      <w:pPr>
        <w:pStyle w:val="ManualHeading4"/>
        <w:rPr>
          <w:bCs/>
          <w:noProof/>
          <w:szCs w:val="24"/>
        </w:rPr>
      </w:pPr>
      <w:r>
        <w:t>3.2.2.1.</w:t>
      </w:r>
      <w:r>
        <w:tab/>
      </w:r>
      <w:r>
        <w:rPr>
          <w:noProof/>
        </w:rPr>
        <w:t>Εκτιμώμενες ανάγκες σε ανθρώπινους πόρους</w:t>
      </w:r>
    </w:p>
    <w:p w:rsidR="00E506D3" w:rsidRDefault="00A1386A">
      <w:pPr>
        <w:pStyle w:val="ListDash1"/>
        <w:rPr>
          <w:noProof/>
        </w:rPr>
      </w:pPr>
      <w:r>
        <w:rPr>
          <w:noProof/>
        </w:rPr>
        <w:sym w:font="Wingdings" w:char="F0A8"/>
      </w:r>
      <w:r>
        <w:rPr>
          <w:noProof/>
        </w:rPr>
        <w:tab/>
        <w:t>Η πρόταση/πρωτοβουλία δεν συνεπάγεται τη χρησιμοποίηση ανθρώπινων πόρων</w:t>
      </w:r>
    </w:p>
    <w:p w:rsidR="00E506D3" w:rsidRDefault="00A1386A">
      <w:pPr>
        <w:pStyle w:val="ListDash1"/>
        <w:rPr>
          <w:noProof/>
        </w:rPr>
      </w:pPr>
      <w:r>
        <w:rPr>
          <w:noProof/>
        </w:rPr>
        <w:sym w:font="Wingdings" w:char="F0FE"/>
      </w:r>
      <w:r>
        <w:rPr>
          <w:noProof/>
        </w:rPr>
        <w:tab/>
        <w:t>Η πρόταση/πρωτοβουλία συνεπάγεται τη χρησιμοποίηση ανθρώπινων πόρων, όπως εξηγείται κατωτέρω:</w:t>
      </w:r>
    </w:p>
    <w:p w:rsidR="00E506D3" w:rsidRDefault="00A1386A">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E506D3">
        <w:trPr>
          <w:trHeight w:val="289"/>
        </w:trPr>
        <w:tc>
          <w:tcPr>
            <w:tcW w:w="1472" w:type="pct"/>
            <w:gridSpan w:val="2"/>
            <w:vAlign w:val="center"/>
          </w:tcPr>
          <w:p w:rsidR="00E506D3" w:rsidRDefault="00A1386A">
            <w:pPr>
              <w:pStyle w:val="Text1"/>
              <w:spacing w:before="40" w:after="40"/>
              <w:ind w:left="0"/>
              <w:jc w:val="center"/>
              <w:rPr>
                <w:i/>
                <w:noProof/>
                <w:sz w:val="16"/>
                <w:szCs w:val="16"/>
              </w:rPr>
            </w:pPr>
            <w:r>
              <w:rPr>
                <w:b/>
                <w:noProof/>
                <w:sz w:val="16"/>
              </w:rPr>
              <w:t>Έτη</w:t>
            </w:r>
          </w:p>
        </w:tc>
        <w:tc>
          <w:tcPr>
            <w:tcW w:w="466" w:type="pct"/>
            <w:shd w:val="clear" w:color="auto" w:fill="auto"/>
            <w:vAlign w:val="center"/>
          </w:tcPr>
          <w:p w:rsidR="00E506D3" w:rsidRDefault="00A1386A">
            <w:pPr>
              <w:spacing w:before="20" w:after="20"/>
              <w:jc w:val="center"/>
              <w:rPr>
                <w:b/>
                <w:noProof/>
                <w:sz w:val="16"/>
                <w:szCs w:val="16"/>
              </w:rPr>
            </w:pPr>
            <w:r>
              <w:rPr>
                <w:b/>
                <w:noProof/>
                <w:sz w:val="20"/>
              </w:rPr>
              <w:t>2021</w:t>
            </w:r>
          </w:p>
        </w:tc>
        <w:tc>
          <w:tcPr>
            <w:tcW w:w="534" w:type="pct"/>
            <w:shd w:val="clear" w:color="auto" w:fill="auto"/>
            <w:vAlign w:val="center"/>
          </w:tcPr>
          <w:p w:rsidR="00E506D3" w:rsidRDefault="00A1386A">
            <w:pPr>
              <w:spacing w:before="20" w:after="20"/>
              <w:jc w:val="center"/>
              <w:rPr>
                <w:b/>
                <w:noProof/>
                <w:sz w:val="20"/>
              </w:rPr>
            </w:pPr>
            <w:r>
              <w:rPr>
                <w:b/>
                <w:noProof/>
                <w:sz w:val="20"/>
              </w:rPr>
              <w:t>2022</w:t>
            </w:r>
          </w:p>
        </w:tc>
        <w:tc>
          <w:tcPr>
            <w:tcW w:w="466" w:type="pct"/>
            <w:shd w:val="clear" w:color="auto" w:fill="auto"/>
            <w:vAlign w:val="center"/>
          </w:tcPr>
          <w:p w:rsidR="00E506D3" w:rsidRDefault="00A1386A">
            <w:pPr>
              <w:spacing w:before="20" w:after="20"/>
              <w:jc w:val="center"/>
              <w:rPr>
                <w:b/>
                <w:noProof/>
                <w:sz w:val="20"/>
              </w:rPr>
            </w:pPr>
            <w:r>
              <w:rPr>
                <w:b/>
                <w:noProof/>
                <w:sz w:val="20"/>
              </w:rPr>
              <w:t>2023</w:t>
            </w:r>
          </w:p>
        </w:tc>
        <w:tc>
          <w:tcPr>
            <w:tcW w:w="534" w:type="pct"/>
            <w:shd w:val="clear" w:color="auto" w:fill="auto"/>
            <w:vAlign w:val="center"/>
          </w:tcPr>
          <w:p w:rsidR="00E506D3" w:rsidRDefault="00A1386A">
            <w:pPr>
              <w:spacing w:before="20" w:after="20"/>
              <w:jc w:val="center"/>
              <w:rPr>
                <w:b/>
                <w:noProof/>
                <w:sz w:val="20"/>
              </w:rPr>
            </w:pPr>
            <w:r>
              <w:rPr>
                <w:b/>
                <w:noProof/>
                <w:sz w:val="20"/>
              </w:rPr>
              <w:t>2024</w:t>
            </w:r>
          </w:p>
        </w:tc>
        <w:tc>
          <w:tcPr>
            <w:tcW w:w="533" w:type="pct"/>
            <w:shd w:val="clear" w:color="auto" w:fill="auto"/>
            <w:vAlign w:val="center"/>
          </w:tcPr>
          <w:p w:rsidR="00E506D3" w:rsidRDefault="00A1386A">
            <w:pPr>
              <w:jc w:val="center"/>
              <w:rPr>
                <w:b/>
                <w:noProof/>
                <w:sz w:val="20"/>
              </w:rPr>
            </w:pPr>
            <w:r>
              <w:rPr>
                <w:b/>
                <w:noProof/>
                <w:sz w:val="20"/>
              </w:rPr>
              <w:t>2025</w:t>
            </w:r>
          </w:p>
        </w:tc>
        <w:tc>
          <w:tcPr>
            <w:tcW w:w="468" w:type="pct"/>
            <w:shd w:val="clear" w:color="auto" w:fill="auto"/>
            <w:vAlign w:val="center"/>
          </w:tcPr>
          <w:p w:rsidR="00E506D3" w:rsidRDefault="00A1386A">
            <w:pPr>
              <w:jc w:val="center"/>
              <w:rPr>
                <w:b/>
                <w:noProof/>
                <w:sz w:val="20"/>
              </w:rPr>
            </w:pPr>
            <w:r>
              <w:rPr>
                <w:b/>
                <w:noProof/>
                <w:sz w:val="20"/>
              </w:rPr>
              <w:t>2026</w:t>
            </w:r>
          </w:p>
        </w:tc>
        <w:tc>
          <w:tcPr>
            <w:tcW w:w="527" w:type="pct"/>
            <w:shd w:val="clear" w:color="auto" w:fill="auto"/>
            <w:vAlign w:val="center"/>
          </w:tcPr>
          <w:p w:rsidR="00E506D3" w:rsidRDefault="00A1386A">
            <w:pPr>
              <w:jc w:val="center"/>
              <w:rPr>
                <w:b/>
                <w:noProof/>
                <w:sz w:val="20"/>
              </w:rPr>
            </w:pPr>
            <w:r>
              <w:rPr>
                <w:b/>
                <w:noProof/>
                <w:sz w:val="20"/>
              </w:rPr>
              <w:t>2027</w:t>
            </w:r>
          </w:p>
        </w:tc>
      </w:tr>
      <w:tr w:rsidR="00E506D3">
        <w:trPr>
          <w:trHeight w:val="289"/>
        </w:trPr>
        <w:tc>
          <w:tcPr>
            <w:tcW w:w="5000" w:type="pct"/>
            <w:gridSpan w:val="9"/>
          </w:tcPr>
          <w:p w:rsidR="00E506D3" w:rsidRDefault="00A1386A">
            <w:pPr>
              <w:jc w:val="left"/>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r>
      <w:tr w:rsidR="00E506D3">
        <w:trPr>
          <w:trHeight w:val="289"/>
        </w:trPr>
        <w:tc>
          <w:tcPr>
            <w:tcW w:w="1472" w:type="pct"/>
            <w:gridSpan w:val="2"/>
          </w:tcPr>
          <w:p w:rsidR="00E506D3" w:rsidRDefault="00A1386A">
            <w:pPr>
              <w:pStyle w:val="Text1"/>
              <w:spacing w:beforeLines="20" w:before="48" w:afterLines="20" w:after="48"/>
              <w:ind w:left="134"/>
              <w:jc w:val="left"/>
              <w:rPr>
                <w:b/>
                <w:noProof/>
                <w:sz w:val="16"/>
                <w:szCs w:val="16"/>
              </w:rPr>
            </w:pPr>
            <w:r>
              <w:rPr>
                <w:noProof/>
                <w:sz w:val="16"/>
              </w:rPr>
              <w:t>Έδρα και αντιπροσωπείες της Επιτροπής</w:t>
            </w:r>
          </w:p>
        </w:tc>
        <w:tc>
          <w:tcPr>
            <w:tcW w:w="466"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38</w:t>
            </w:r>
          </w:p>
        </w:tc>
        <w:tc>
          <w:tcPr>
            <w:tcW w:w="534"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45</w:t>
            </w:r>
          </w:p>
        </w:tc>
        <w:tc>
          <w:tcPr>
            <w:tcW w:w="466"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45</w:t>
            </w:r>
          </w:p>
        </w:tc>
        <w:tc>
          <w:tcPr>
            <w:tcW w:w="534"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45</w:t>
            </w:r>
          </w:p>
        </w:tc>
        <w:tc>
          <w:tcPr>
            <w:tcW w:w="533"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45</w:t>
            </w:r>
          </w:p>
        </w:tc>
        <w:tc>
          <w:tcPr>
            <w:tcW w:w="468"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45</w:t>
            </w:r>
          </w:p>
        </w:tc>
        <w:tc>
          <w:tcPr>
            <w:tcW w:w="527"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45</w:t>
            </w:r>
          </w:p>
        </w:tc>
      </w:tr>
      <w:tr w:rsidR="00E506D3">
        <w:trPr>
          <w:trHeight w:val="289"/>
        </w:trPr>
        <w:tc>
          <w:tcPr>
            <w:tcW w:w="1472" w:type="pct"/>
            <w:gridSpan w:val="2"/>
          </w:tcPr>
          <w:p w:rsidR="00E506D3" w:rsidRDefault="00A1386A">
            <w:pPr>
              <w:pStyle w:val="Text1"/>
              <w:spacing w:beforeLines="20" w:before="48" w:afterLines="20" w:after="48"/>
              <w:ind w:left="134"/>
              <w:jc w:val="left"/>
              <w:rPr>
                <w:noProof/>
                <w:sz w:val="16"/>
                <w:szCs w:val="16"/>
              </w:rPr>
            </w:pPr>
            <w:r>
              <w:rPr>
                <w:noProof/>
                <w:sz w:val="16"/>
              </w:rPr>
              <w:t>Αντιπροσωπείες της ΕΕ</w:t>
            </w:r>
          </w:p>
        </w:tc>
        <w:tc>
          <w:tcPr>
            <w:tcW w:w="466"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2</w:t>
            </w:r>
          </w:p>
        </w:tc>
        <w:tc>
          <w:tcPr>
            <w:tcW w:w="534"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2</w:t>
            </w:r>
          </w:p>
        </w:tc>
        <w:tc>
          <w:tcPr>
            <w:tcW w:w="466"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2</w:t>
            </w:r>
          </w:p>
        </w:tc>
        <w:tc>
          <w:tcPr>
            <w:tcW w:w="534"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2</w:t>
            </w:r>
          </w:p>
        </w:tc>
        <w:tc>
          <w:tcPr>
            <w:tcW w:w="533"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2</w:t>
            </w:r>
          </w:p>
        </w:tc>
        <w:tc>
          <w:tcPr>
            <w:tcW w:w="468"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2</w:t>
            </w:r>
          </w:p>
        </w:tc>
        <w:tc>
          <w:tcPr>
            <w:tcW w:w="527"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2</w:t>
            </w:r>
          </w:p>
        </w:tc>
      </w:tr>
      <w:tr w:rsidR="00E506D3">
        <w:trPr>
          <w:trHeight w:val="289"/>
        </w:trPr>
        <w:tc>
          <w:tcPr>
            <w:tcW w:w="1472" w:type="pct"/>
            <w:gridSpan w:val="2"/>
          </w:tcPr>
          <w:p w:rsidR="00E506D3" w:rsidRDefault="00A1386A">
            <w:pPr>
              <w:pStyle w:val="Text1"/>
              <w:spacing w:beforeLines="20" w:before="48" w:afterLines="20" w:after="48"/>
              <w:ind w:left="134"/>
              <w:jc w:val="left"/>
              <w:rPr>
                <w:noProof/>
                <w:sz w:val="16"/>
                <w:szCs w:val="16"/>
              </w:rPr>
            </w:pPr>
            <w:r>
              <w:rPr>
                <w:noProof/>
                <w:sz w:val="16"/>
              </w:rPr>
              <w:t>Έρευνα</w:t>
            </w:r>
          </w:p>
        </w:tc>
        <w:tc>
          <w:tcPr>
            <w:tcW w:w="466" w:type="pct"/>
            <w:shd w:val="clear" w:color="auto" w:fill="auto"/>
            <w:vAlign w:val="center"/>
          </w:tcPr>
          <w:p w:rsidR="00E506D3" w:rsidRDefault="00E506D3">
            <w:pPr>
              <w:spacing w:beforeLines="20" w:before="48" w:afterLines="20" w:after="48"/>
              <w:jc w:val="center"/>
              <w:rPr>
                <w:noProof/>
                <w:sz w:val="16"/>
                <w:szCs w:val="16"/>
              </w:rPr>
            </w:pPr>
          </w:p>
        </w:tc>
        <w:tc>
          <w:tcPr>
            <w:tcW w:w="534" w:type="pct"/>
            <w:shd w:val="clear" w:color="auto" w:fill="auto"/>
            <w:vAlign w:val="center"/>
          </w:tcPr>
          <w:p w:rsidR="00E506D3" w:rsidRDefault="00E506D3">
            <w:pPr>
              <w:spacing w:beforeLines="20" w:before="48" w:afterLines="20" w:after="48"/>
              <w:jc w:val="center"/>
              <w:rPr>
                <w:noProof/>
                <w:sz w:val="16"/>
                <w:szCs w:val="16"/>
              </w:rPr>
            </w:pPr>
          </w:p>
        </w:tc>
        <w:tc>
          <w:tcPr>
            <w:tcW w:w="466" w:type="pct"/>
            <w:shd w:val="clear" w:color="auto" w:fill="auto"/>
            <w:vAlign w:val="center"/>
          </w:tcPr>
          <w:p w:rsidR="00E506D3" w:rsidRDefault="00E506D3">
            <w:pPr>
              <w:spacing w:beforeLines="20" w:before="48" w:afterLines="20" w:after="48"/>
              <w:jc w:val="center"/>
              <w:rPr>
                <w:noProof/>
                <w:sz w:val="16"/>
                <w:szCs w:val="16"/>
              </w:rPr>
            </w:pPr>
          </w:p>
        </w:tc>
        <w:tc>
          <w:tcPr>
            <w:tcW w:w="534" w:type="pct"/>
            <w:shd w:val="clear" w:color="auto" w:fill="auto"/>
            <w:vAlign w:val="center"/>
          </w:tcPr>
          <w:p w:rsidR="00E506D3" w:rsidRDefault="00E506D3">
            <w:pPr>
              <w:spacing w:beforeLines="20" w:before="48" w:afterLines="20" w:after="48"/>
              <w:jc w:val="center"/>
              <w:rPr>
                <w:noProof/>
                <w:sz w:val="16"/>
                <w:szCs w:val="16"/>
              </w:rPr>
            </w:pPr>
          </w:p>
        </w:tc>
        <w:tc>
          <w:tcPr>
            <w:tcW w:w="533" w:type="pct"/>
            <w:shd w:val="clear" w:color="auto" w:fill="auto"/>
            <w:vAlign w:val="center"/>
          </w:tcPr>
          <w:p w:rsidR="00E506D3" w:rsidRDefault="00E506D3">
            <w:pPr>
              <w:spacing w:beforeLines="20" w:before="48" w:afterLines="20" w:after="48"/>
              <w:jc w:val="center"/>
              <w:rPr>
                <w:noProof/>
                <w:sz w:val="16"/>
                <w:szCs w:val="16"/>
              </w:rPr>
            </w:pPr>
          </w:p>
        </w:tc>
        <w:tc>
          <w:tcPr>
            <w:tcW w:w="468" w:type="pct"/>
            <w:shd w:val="clear" w:color="auto" w:fill="auto"/>
            <w:vAlign w:val="center"/>
          </w:tcPr>
          <w:p w:rsidR="00E506D3" w:rsidRDefault="00E506D3">
            <w:pPr>
              <w:spacing w:beforeLines="20" w:before="48" w:afterLines="20" w:after="48"/>
              <w:jc w:val="center"/>
              <w:rPr>
                <w:noProof/>
                <w:sz w:val="16"/>
                <w:szCs w:val="16"/>
              </w:rPr>
            </w:pPr>
          </w:p>
        </w:tc>
        <w:tc>
          <w:tcPr>
            <w:tcW w:w="527" w:type="pct"/>
            <w:shd w:val="clear" w:color="auto" w:fill="auto"/>
            <w:vAlign w:val="center"/>
          </w:tcPr>
          <w:p w:rsidR="00E506D3" w:rsidRDefault="00E506D3">
            <w:pPr>
              <w:spacing w:beforeLines="20" w:before="48" w:afterLines="20" w:after="48"/>
              <w:jc w:val="center"/>
              <w:rPr>
                <w:noProof/>
                <w:sz w:val="16"/>
                <w:szCs w:val="16"/>
              </w:rPr>
            </w:pPr>
          </w:p>
        </w:tc>
      </w:tr>
      <w:tr w:rsidR="00E506D3">
        <w:trPr>
          <w:trHeight w:val="293"/>
        </w:trPr>
        <w:tc>
          <w:tcPr>
            <w:tcW w:w="5000" w:type="pct"/>
            <w:gridSpan w:val="9"/>
          </w:tcPr>
          <w:p w:rsidR="00E506D3" w:rsidRDefault="00A1386A">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IΠΑ) — AC, AL, END, INT και JPD</w:t>
            </w:r>
            <w:r>
              <w:rPr>
                <w:noProof/>
                <w:sz w:val="16"/>
              </w:rPr>
              <w:t xml:space="preserve"> </w:t>
            </w:r>
          </w:p>
          <w:p w:rsidR="00E506D3" w:rsidRDefault="00A1386A">
            <w:pPr>
              <w:pStyle w:val="Text1"/>
              <w:spacing w:before="0" w:after="0"/>
              <w:ind w:left="0"/>
              <w:jc w:val="left"/>
              <w:rPr>
                <w:noProof/>
                <w:sz w:val="16"/>
                <w:szCs w:val="16"/>
              </w:rPr>
            </w:pPr>
            <w:r>
              <w:rPr>
                <w:noProof/>
                <w:sz w:val="16"/>
              </w:rPr>
              <w:t>Τομέας 7</w:t>
            </w:r>
          </w:p>
        </w:tc>
      </w:tr>
      <w:tr w:rsidR="00E506D3">
        <w:trPr>
          <w:trHeight w:val="485"/>
        </w:trPr>
        <w:tc>
          <w:tcPr>
            <w:tcW w:w="735" w:type="pct"/>
            <w:vMerge w:val="restart"/>
            <w:vAlign w:val="center"/>
          </w:tcPr>
          <w:p w:rsidR="00E506D3" w:rsidRDefault="00A1386A">
            <w:pPr>
              <w:pStyle w:val="Text1"/>
              <w:spacing w:beforeLines="20" w:before="48" w:afterLines="20" w:after="48"/>
              <w:ind w:left="136"/>
              <w:jc w:val="left"/>
              <w:rPr>
                <w:b/>
                <w:noProof/>
                <w:sz w:val="16"/>
                <w:szCs w:val="16"/>
              </w:rPr>
            </w:pPr>
            <w:r>
              <w:rPr>
                <w:noProof/>
                <w:sz w:val="16"/>
              </w:rPr>
              <w:t>Χρηματοδοτούμενο από τον ΤΟΜΕΑ 7 του πολυετούς δημοσιονομικού πλαισίου</w:t>
            </w:r>
            <w:r>
              <w:rPr>
                <w:b/>
                <w:noProof/>
                <w:sz w:val="16"/>
              </w:rPr>
              <w:t xml:space="preserve"> </w:t>
            </w:r>
          </w:p>
        </w:tc>
        <w:tc>
          <w:tcPr>
            <w:tcW w:w="737" w:type="pct"/>
            <w:vAlign w:val="center"/>
          </w:tcPr>
          <w:p w:rsidR="00E506D3" w:rsidRDefault="00A1386A">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3</w:t>
            </w:r>
          </w:p>
        </w:tc>
        <w:tc>
          <w:tcPr>
            <w:tcW w:w="534"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3</w:t>
            </w:r>
          </w:p>
        </w:tc>
        <w:tc>
          <w:tcPr>
            <w:tcW w:w="466"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3</w:t>
            </w:r>
          </w:p>
        </w:tc>
        <w:tc>
          <w:tcPr>
            <w:tcW w:w="534"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3</w:t>
            </w:r>
          </w:p>
        </w:tc>
        <w:tc>
          <w:tcPr>
            <w:tcW w:w="533"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3</w:t>
            </w:r>
          </w:p>
        </w:tc>
        <w:tc>
          <w:tcPr>
            <w:tcW w:w="468"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3</w:t>
            </w:r>
          </w:p>
        </w:tc>
        <w:tc>
          <w:tcPr>
            <w:tcW w:w="527" w:type="pct"/>
            <w:shd w:val="clear" w:color="auto" w:fill="auto"/>
            <w:vAlign w:val="center"/>
          </w:tcPr>
          <w:p w:rsidR="00E506D3" w:rsidRDefault="00A1386A">
            <w:pPr>
              <w:spacing w:beforeLines="20" w:before="48" w:afterLines="20" w:after="48"/>
              <w:jc w:val="center"/>
              <w:rPr>
                <w:noProof/>
                <w:sz w:val="16"/>
                <w:szCs w:val="16"/>
              </w:rPr>
            </w:pPr>
            <w:r>
              <w:rPr>
                <w:noProof/>
                <w:color w:val="000000"/>
                <w:sz w:val="16"/>
              </w:rPr>
              <w:t>3</w:t>
            </w:r>
          </w:p>
        </w:tc>
      </w:tr>
      <w:tr w:rsidR="00E506D3">
        <w:trPr>
          <w:trHeight w:val="289"/>
        </w:trPr>
        <w:tc>
          <w:tcPr>
            <w:tcW w:w="735" w:type="pct"/>
            <w:vMerge/>
            <w:vAlign w:val="center"/>
          </w:tcPr>
          <w:p w:rsidR="00E506D3" w:rsidRDefault="00E506D3">
            <w:pPr>
              <w:pStyle w:val="Text1"/>
              <w:spacing w:beforeLines="20" w:before="48" w:afterLines="20" w:after="48"/>
              <w:ind w:left="136"/>
              <w:jc w:val="left"/>
              <w:rPr>
                <w:noProof/>
                <w:sz w:val="16"/>
                <w:szCs w:val="16"/>
              </w:rPr>
            </w:pPr>
          </w:p>
        </w:tc>
        <w:tc>
          <w:tcPr>
            <w:tcW w:w="737" w:type="pct"/>
            <w:vAlign w:val="center"/>
          </w:tcPr>
          <w:p w:rsidR="00E506D3" w:rsidRDefault="00A1386A">
            <w:pPr>
              <w:pStyle w:val="Text1"/>
              <w:spacing w:beforeLines="20" w:before="48" w:afterLines="20" w:after="48"/>
              <w:ind w:left="136"/>
              <w:jc w:val="left"/>
              <w:rPr>
                <w:noProof/>
                <w:sz w:val="16"/>
                <w:szCs w:val="16"/>
              </w:rPr>
            </w:pPr>
            <w:r>
              <w:rPr>
                <w:noProof/>
                <w:sz w:val="16"/>
              </w:rPr>
              <w:t xml:space="preserve">- σε αντιπροσωπείες </w:t>
            </w:r>
          </w:p>
        </w:tc>
        <w:tc>
          <w:tcPr>
            <w:tcW w:w="466" w:type="pct"/>
            <w:shd w:val="clear" w:color="auto" w:fill="auto"/>
            <w:vAlign w:val="center"/>
          </w:tcPr>
          <w:p w:rsidR="00E506D3" w:rsidRDefault="00E506D3">
            <w:pPr>
              <w:spacing w:beforeLines="20" w:before="48" w:afterLines="20" w:after="48"/>
              <w:jc w:val="center"/>
              <w:rPr>
                <w:noProof/>
                <w:sz w:val="16"/>
                <w:szCs w:val="16"/>
              </w:rPr>
            </w:pPr>
          </w:p>
        </w:tc>
        <w:tc>
          <w:tcPr>
            <w:tcW w:w="534" w:type="pct"/>
            <w:shd w:val="clear" w:color="auto" w:fill="auto"/>
            <w:vAlign w:val="center"/>
          </w:tcPr>
          <w:p w:rsidR="00E506D3" w:rsidRDefault="00E506D3">
            <w:pPr>
              <w:spacing w:beforeLines="20" w:before="48" w:afterLines="20" w:after="48"/>
              <w:jc w:val="center"/>
              <w:rPr>
                <w:noProof/>
                <w:sz w:val="16"/>
                <w:szCs w:val="16"/>
              </w:rPr>
            </w:pPr>
          </w:p>
        </w:tc>
        <w:tc>
          <w:tcPr>
            <w:tcW w:w="466" w:type="pct"/>
            <w:shd w:val="clear" w:color="auto" w:fill="auto"/>
            <w:vAlign w:val="center"/>
          </w:tcPr>
          <w:p w:rsidR="00E506D3" w:rsidRDefault="00E506D3">
            <w:pPr>
              <w:spacing w:beforeLines="20" w:before="48" w:afterLines="20" w:after="48"/>
              <w:jc w:val="center"/>
              <w:rPr>
                <w:noProof/>
                <w:sz w:val="16"/>
                <w:szCs w:val="16"/>
              </w:rPr>
            </w:pPr>
          </w:p>
        </w:tc>
        <w:tc>
          <w:tcPr>
            <w:tcW w:w="534" w:type="pct"/>
            <w:shd w:val="clear" w:color="auto" w:fill="auto"/>
            <w:vAlign w:val="center"/>
          </w:tcPr>
          <w:p w:rsidR="00E506D3" w:rsidRDefault="00E506D3">
            <w:pPr>
              <w:spacing w:beforeLines="20" w:before="48" w:afterLines="20" w:after="48"/>
              <w:jc w:val="center"/>
              <w:rPr>
                <w:noProof/>
                <w:sz w:val="16"/>
                <w:szCs w:val="16"/>
              </w:rPr>
            </w:pPr>
          </w:p>
        </w:tc>
        <w:tc>
          <w:tcPr>
            <w:tcW w:w="533" w:type="pct"/>
            <w:shd w:val="clear" w:color="auto" w:fill="auto"/>
            <w:vAlign w:val="center"/>
          </w:tcPr>
          <w:p w:rsidR="00E506D3" w:rsidRDefault="00E506D3">
            <w:pPr>
              <w:spacing w:beforeLines="20" w:before="48" w:afterLines="20" w:after="48"/>
              <w:jc w:val="center"/>
              <w:rPr>
                <w:noProof/>
                <w:sz w:val="16"/>
                <w:szCs w:val="16"/>
              </w:rPr>
            </w:pPr>
          </w:p>
        </w:tc>
        <w:tc>
          <w:tcPr>
            <w:tcW w:w="468" w:type="pct"/>
            <w:shd w:val="clear" w:color="auto" w:fill="auto"/>
            <w:vAlign w:val="center"/>
          </w:tcPr>
          <w:p w:rsidR="00E506D3" w:rsidRDefault="00E506D3">
            <w:pPr>
              <w:spacing w:beforeLines="20" w:before="48" w:afterLines="20" w:after="48"/>
              <w:jc w:val="center"/>
              <w:rPr>
                <w:noProof/>
                <w:sz w:val="16"/>
                <w:szCs w:val="16"/>
              </w:rPr>
            </w:pPr>
          </w:p>
        </w:tc>
        <w:tc>
          <w:tcPr>
            <w:tcW w:w="527" w:type="pct"/>
            <w:shd w:val="clear" w:color="auto" w:fill="auto"/>
            <w:vAlign w:val="center"/>
          </w:tcPr>
          <w:p w:rsidR="00E506D3" w:rsidRDefault="00E506D3">
            <w:pPr>
              <w:spacing w:beforeLines="20" w:before="48" w:afterLines="20" w:after="48"/>
              <w:jc w:val="center"/>
              <w:rPr>
                <w:noProof/>
                <w:sz w:val="16"/>
                <w:szCs w:val="16"/>
              </w:rPr>
            </w:pPr>
          </w:p>
        </w:tc>
      </w:tr>
      <w:tr w:rsidR="00E506D3">
        <w:trPr>
          <w:trHeight w:val="370"/>
        </w:trPr>
        <w:tc>
          <w:tcPr>
            <w:tcW w:w="735" w:type="pct"/>
            <w:vMerge w:val="restart"/>
            <w:vAlign w:val="center"/>
          </w:tcPr>
          <w:p w:rsidR="00E506D3" w:rsidRDefault="00A1386A">
            <w:pPr>
              <w:pStyle w:val="Text1"/>
              <w:spacing w:beforeLines="20" w:before="48" w:afterLines="20" w:after="48"/>
              <w:ind w:left="136"/>
              <w:jc w:val="left"/>
              <w:rPr>
                <w:b/>
                <w:noProof/>
                <w:sz w:val="16"/>
                <w:szCs w:val="16"/>
              </w:rPr>
            </w:pPr>
            <w:r>
              <w:rPr>
                <w:noProof/>
                <w:sz w:val="16"/>
              </w:rPr>
              <w:t>Χρηματοδοτούμενο από το κονδύλιο του προγράμματος</w:t>
            </w:r>
            <w:r>
              <w:rPr>
                <w:b/>
                <w:noProof/>
                <w:sz w:val="16"/>
              </w:rPr>
              <w:t xml:space="preserve"> </w:t>
            </w:r>
          </w:p>
        </w:tc>
        <w:tc>
          <w:tcPr>
            <w:tcW w:w="737" w:type="pct"/>
            <w:shd w:val="clear" w:color="auto" w:fill="auto"/>
            <w:vAlign w:val="center"/>
          </w:tcPr>
          <w:p w:rsidR="00E506D3" w:rsidRDefault="00A1386A">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center"/>
          </w:tcPr>
          <w:p w:rsidR="00E506D3" w:rsidRDefault="00E506D3">
            <w:pPr>
              <w:pStyle w:val="Text1"/>
              <w:spacing w:beforeLines="20" w:before="48" w:afterLines="20" w:after="48"/>
              <w:ind w:left="0"/>
              <w:jc w:val="center"/>
              <w:rPr>
                <w:noProof/>
                <w:sz w:val="16"/>
                <w:szCs w:val="16"/>
              </w:rPr>
            </w:pPr>
          </w:p>
        </w:tc>
        <w:tc>
          <w:tcPr>
            <w:tcW w:w="534" w:type="pct"/>
            <w:shd w:val="clear" w:color="auto" w:fill="auto"/>
            <w:vAlign w:val="center"/>
          </w:tcPr>
          <w:p w:rsidR="00E506D3" w:rsidRDefault="00E506D3">
            <w:pPr>
              <w:spacing w:beforeLines="20" w:before="48" w:afterLines="20" w:after="48"/>
              <w:jc w:val="center"/>
              <w:rPr>
                <w:noProof/>
                <w:sz w:val="16"/>
                <w:szCs w:val="16"/>
              </w:rPr>
            </w:pPr>
          </w:p>
        </w:tc>
        <w:tc>
          <w:tcPr>
            <w:tcW w:w="466" w:type="pct"/>
            <w:shd w:val="clear" w:color="auto" w:fill="auto"/>
            <w:vAlign w:val="center"/>
          </w:tcPr>
          <w:p w:rsidR="00E506D3" w:rsidRDefault="00E506D3">
            <w:pPr>
              <w:spacing w:beforeLines="20" w:before="48" w:afterLines="20" w:after="48"/>
              <w:jc w:val="center"/>
              <w:rPr>
                <w:noProof/>
                <w:sz w:val="16"/>
                <w:szCs w:val="16"/>
              </w:rPr>
            </w:pPr>
          </w:p>
        </w:tc>
        <w:tc>
          <w:tcPr>
            <w:tcW w:w="534" w:type="pct"/>
            <w:shd w:val="clear" w:color="auto" w:fill="auto"/>
            <w:vAlign w:val="center"/>
          </w:tcPr>
          <w:p w:rsidR="00E506D3" w:rsidRDefault="00E506D3">
            <w:pPr>
              <w:spacing w:beforeLines="20" w:before="48" w:afterLines="20" w:after="48"/>
              <w:jc w:val="center"/>
              <w:rPr>
                <w:noProof/>
                <w:sz w:val="16"/>
                <w:szCs w:val="16"/>
              </w:rPr>
            </w:pPr>
          </w:p>
        </w:tc>
        <w:tc>
          <w:tcPr>
            <w:tcW w:w="533" w:type="pct"/>
            <w:shd w:val="clear" w:color="auto" w:fill="auto"/>
            <w:vAlign w:val="center"/>
          </w:tcPr>
          <w:p w:rsidR="00E506D3" w:rsidRDefault="00E506D3">
            <w:pPr>
              <w:spacing w:beforeLines="20" w:before="48" w:afterLines="20" w:after="48"/>
              <w:jc w:val="center"/>
              <w:rPr>
                <w:noProof/>
                <w:sz w:val="16"/>
                <w:szCs w:val="16"/>
              </w:rPr>
            </w:pPr>
          </w:p>
        </w:tc>
        <w:tc>
          <w:tcPr>
            <w:tcW w:w="468" w:type="pct"/>
            <w:shd w:val="clear" w:color="auto" w:fill="auto"/>
            <w:vAlign w:val="center"/>
          </w:tcPr>
          <w:p w:rsidR="00E506D3" w:rsidRDefault="00E506D3">
            <w:pPr>
              <w:spacing w:beforeLines="20" w:before="48" w:afterLines="20" w:after="48"/>
              <w:jc w:val="center"/>
              <w:rPr>
                <w:noProof/>
                <w:sz w:val="16"/>
                <w:szCs w:val="16"/>
              </w:rPr>
            </w:pPr>
          </w:p>
        </w:tc>
        <w:tc>
          <w:tcPr>
            <w:tcW w:w="527" w:type="pct"/>
            <w:shd w:val="clear" w:color="auto" w:fill="auto"/>
            <w:vAlign w:val="center"/>
          </w:tcPr>
          <w:p w:rsidR="00E506D3" w:rsidRDefault="00E506D3">
            <w:pPr>
              <w:spacing w:beforeLines="20" w:before="48" w:afterLines="20" w:after="48"/>
              <w:jc w:val="center"/>
              <w:rPr>
                <w:noProof/>
                <w:sz w:val="16"/>
                <w:szCs w:val="16"/>
              </w:rPr>
            </w:pPr>
          </w:p>
        </w:tc>
      </w:tr>
      <w:tr w:rsidR="00E506D3">
        <w:trPr>
          <w:trHeight w:val="289"/>
        </w:trPr>
        <w:tc>
          <w:tcPr>
            <w:tcW w:w="735" w:type="pct"/>
            <w:vMerge/>
          </w:tcPr>
          <w:p w:rsidR="00E506D3" w:rsidRDefault="00E506D3">
            <w:pPr>
              <w:pStyle w:val="Text1"/>
              <w:spacing w:beforeLines="20" w:before="48" w:afterLines="20" w:after="48"/>
              <w:ind w:left="136"/>
              <w:jc w:val="left"/>
              <w:rPr>
                <w:b/>
                <w:noProof/>
                <w:sz w:val="16"/>
                <w:szCs w:val="16"/>
              </w:rPr>
            </w:pPr>
          </w:p>
        </w:tc>
        <w:tc>
          <w:tcPr>
            <w:tcW w:w="737" w:type="pct"/>
            <w:shd w:val="clear" w:color="auto" w:fill="auto"/>
            <w:vAlign w:val="center"/>
          </w:tcPr>
          <w:p w:rsidR="00E506D3" w:rsidRDefault="00A1386A">
            <w:pPr>
              <w:pStyle w:val="Text1"/>
              <w:spacing w:beforeLines="20" w:before="48" w:afterLines="20" w:after="48"/>
              <w:ind w:left="136"/>
              <w:jc w:val="left"/>
              <w:rPr>
                <w:b/>
                <w:noProof/>
                <w:sz w:val="16"/>
                <w:szCs w:val="16"/>
              </w:rPr>
            </w:pPr>
            <w:r>
              <w:rPr>
                <w:noProof/>
                <w:sz w:val="16"/>
              </w:rPr>
              <w:t xml:space="preserve">- σε αντιπροσωπείες </w:t>
            </w:r>
          </w:p>
        </w:tc>
        <w:tc>
          <w:tcPr>
            <w:tcW w:w="466" w:type="pct"/>
            <w:shd w:val="clear" w:color="auto" w:fill="auto"/>
            <w:vAlign w:val="center"/>
          </w:tcPr>
          <w:p w:rsidR="00E506D3" w:rsidRDefault="00E506D3">
            <w:pPr>
              <w:pStyle w:val="Text1"/>
              <w:spacing w:beforeLines="20" w:before="48" w:afterLines="20" w:after="48"/>
              <w:ind w:left="0"/>
              <w:jc w:val="center"/>
              <w:rPr>
                <w:noProof/>
                <w:sz w:val="16"/>
                <w:szCs w:val="16"/>
              </w:rPr>
            </w:pPr>
          </w:p>
        </w:tc>
        <w:tc>
          <w:tcPr>
            <w:tcW w:w="534" w:type="pct"/>
            <w:shd w:val="clear" w:color="auto" w:fill="auto"/>
            <w:vAlign w:val="center"/>
          </w:tcPr>
          <w:p w:rsidR="00E506D3" w:rsidRDefault="00E506D3">
            <w:pPr>
              <w:spacing w:beforeLines="20" w:before="48" w:afterLines="20" w:after="48"/>
              <w:jc w:val="center"/>
              <w:rPr>
                <w:noProof/>
                <w:sz w:val="16"/>
                <w:szCs w:val="16"/>
              </w:rPr>
            </w:pPr>
          </w:p>
        </w:tc>
        <w:tc>
          <w:tcPr>
            <w:tcW w:w="466" w:type="pct"/>
            <w:shd w:val="clear" w:color="auto" w:fill="auto"/>
            <w:vAlign w:val="center"/>
          </w:tcPr>
          <w:p w:rsidR="00E506D3" w:rsidRDefault="00E506D3">
            <w:pPr>
              <w:spacing w:beforeLines="20" w:before="48" w:afterLines="20" w:after="48"/>
              <w:jc w:val="center"/>
              <w:rPr>
                <w:noProof/>
                <w:sz w:val="16"/>
                <w:szCs w:val="16"/>
              </w:rPr>
            </w:pPr>
          </w:p>
        </w:tc>
        <w:tc>
          <w:tcPr>
            <w:tcW w:w="534" w:type="pct"/>
            <w:shd w:val="clear" w:color="auto" w:fill="auto"/>
            <w:vAlign w:val="center"/>
          </w:tcPr>
          <w:p w:rsidR="00E506D3" w:rsidRDefault="00E506D3">
            <w:pPr>
              <w:spacing w:beforeLines="20" w:before="48" w:afterLines="20" w:after="48"/>
              <w:jc w:val="center"/>
              <w:rPr>
                <w:noProof/>
                <w:sz w:val="16"/>
                <w:szCs w:val="16"/>
              </w:rPr>
            </w:pPr>
          </w:p>
        </w:tc>
        <w:tc>
          <w:tcPr>
            <w:tcW w:w="533" w:type="pct"/>
            <w:shd w:val="clear" w:color="auto" w:fill="auto"/>
            <w:vAlign w:val="center"/>
          </w:tcPr>
          <w:p w:rsidR="00E506D3" w:rsidRDefault="00E506D3">
            <w:pPr>
              <w:spacing w:beforeLines="20" w:before="48" w:afterLines="20" w:after="48"/>
              <w:jc w:val="center"/>
              <w:rPr>
                <w:noProof/>
                <w:sz w:val="16"/>
                <w:szCs w:val="16"/>
              </w:rPr>
            </w:pPr>
          </w:p>
        </w:tc>
        <w:tc>
          <w:tcPr>
            <w:tcW w:w="468" w:type="pct"/>
            <w:shd w:val="clear" w:color="auto" w:fill="auto"/>
            <w:vAlign w:val="center"/>
          </w:tcPr>
          <w:p w:rsidR="00E506D3" w:rsidRDefault="00E506D3">
            <w:pPr>
              <w:spacing w:beforeLines="20" w:before="48" w:afterLines="20" w:after="48"/>
              <w:jc w:val="center"/>
              <w:rPr>
                <w:noProof/>
                <w:sz w:val="16"/>
                <w:szCs w:val="16"/>
              </w:rPr>
            </w:pPr>
          </w:p>
        </w:tc>
        <w:tc>
          <w:tcPr>
            <w:tcW w:w="527" w:type="pct"/>
            <w:shd w:val="clear" w:color="auto" w:fill="auto"/>
            <w:vAlign w:val="center"/>
          </w:tcPr>
          <w:p w:rsidR="00E506D3" w:rsidRDefault="00E506D3">
            <w:pPr>
              <w:spacing w:beforeLines="20" w:before="48" w:afterLines="20" w:after="48"/>
              <w:jc w:val="center"/>
              <w:rPr>
                <w:noProof/>
                <w:sz w:val="16"/>
                <w:szCs w:val="16"/>
              </w:rPr>
            </w:pPr>
          </w:p>
        </w:tc>
      </w:tr>
      <w:tr w:rsidR="00E506D3">
        <w:trPr>
          <w:trHeight w:val="289"/>
        </w:trPr>
        <w:tc>
          <w:tcPr>
            <w:tcW w:w="1472" w:type="pct"/>
            <w:gridSpan w:val="2"/>
          </w:tcPr>
          <w:p w:rsidR="00E506D3" w:rsidRDefault="00A1386A">
            <w:pPr>
              <w:pStyle w:val="Text1"/>
              <w:spacing w:beforeLines="20" w:before="48" w:afterLines="20" w:after="48"/>
              <w:ind w:left="136"/>
              <w:jc w:val="left"/>
              <w:rPr>
                <w:noProof/>
                <w:sz w:val="16"/>
                <w:szCs w:val="16"/>
              </w:rPr>
            </w:pPr>
            <w:r>
              <w:rPr>
                <w:noProof/>
                <w:sz w:val="16"/>
              </w:rPr>
              <w:t>Έρευνα</w:t>
            </w:r>
          </w:p>
        </w:tc>
        <w:tc>
          <w:tcPr>
            <w:tcW w:w="466" w:type="pct"/>
            <w:shd w:val="clear" w:color="auto" w:fill="auto"/>
            <w:vAlign w:val="center"/>
          </w:tcPr>
          <w:p w:rsidR="00E506D3" w:rsidRDefault="00E506D3">
            <w:pPr>
              <w:spacing w:beforeLines="20" w:before="48" w:afterLines="20" w:after="48"/>
              <w:jc w:val="center"/>
              <w:rPr>
                <w:noProof/>
                <w:sz w:val="16"/>
                <w:szCs w:val="16"/>
              </w:rPr>
            </w:pPr>
          </w:p>
        </w:tc>
        <w:tc>
          <w:tcPr>
            <w:tcW w:w="534" w:type="pct"/>
            <w:shd w:val="clear" w:color="auto" w:fill="auto"/>
            <w:vAlign w:val="center"/>
          </w:tcPr>
          <w:p w:rsidR="00E506D3" w:rsidRDefault="00E506D3">
            <w:pPr>
              <w:spacing w:beforeLines="20" w:before="48" w:afterLines="20" w:after="48"/>
              <w:jc w:val="center"/>
              <w:rPr>
                <w:noProof/>
                <w:sz w:val="16"/>
                <w:szCs w:val="16"/>
              </w:rPr>
            </w:pPr>
          </w:p>
        </w:tc>
        <w:tc>
          <w:tcPr>
            <w:tcW w:w="466" w:type="pct"/>
            <w:shd w:val="clear" w:color="auto" w:fill="auto"/>
            <w:vAlign w:val="center"/>
          </w:tcPr>
          <w:p w:rsidR="00E506D3" w:rsidRDefault="00E506D3">
            <w:pPr>
              <w:spacing w:beforeLines="20" w:before="48" w:afterLines="20" w:after="48"/>
              <w:jc w:val="center"/>
              <w:rPr>
                <w:noProof/>
                <w:sz w:val="16"/>
                <w:szCs w:val="16"/>
              </w:rPr>
            </w:pPr>
          </w:p>
        </w:tc>
        <w:tc>
          <w:tcPr>
            <w:tcW w:w="534" w:type="pct"/>
            <w:shd w:val="clear" w:color="auto" w:fill="auto"/>
            <w:vAlign w:val="center"/>
          </w:tcPr>
          <w:p w:rsidR="00E506D3" w:rsidRDefault="00E506D3">
            <w:pPr>
              <w:spacing w:beforeLines="20" w:before="48" w:afterLines="20" w:after="48"/>
              <w:jc w:val="center"/>
              <w:rPr>
                <w:noProof/>
                <w:sz w:val="16"/>
                <w:szCs w:val="16"/>
              </w:rPr>
            </w:pPr>
          </w:p>
        </w:tc>
        <w:tc>
          <w:tcPr>
            <w:tcW w:w="533" w:type="pct"/>
            <w:shd w:val="clear" w:color="auto" w:fill="auto"/>
            <w:vAlign w:val="center"/>
          </w:tcPr>
          <w:p w:rsidR="00E506D3" w:rsidRDefault="00E506D3">
            <w:pPr>
              <w:spacing w:beforeLines="20" w:before="48" w:afterLines="20" w:after="48"/>
              <w:jc w:val="center"/>
              <w:rPr>
                <w:noProof/>
                <w:sz w:val="16"/>
                <w:szCs w:val="16"/>
              </w:rPr>
            </w:pPr>
          </w:p>
        </w:tc>
        <w:tc>
          <w:tcPr>
            <w:tcW w:w="468" w:type="pct"/>
            <w:shd w:val="clear" w:color="auto" w:fill="auto"/>
            <w:vAlign w:val="center"/>
          </w:tcPr>
          <w:p w:rsidR="00E506D3" w:rsidRDefault="00E506D3">
            <w:pPr>
              <w:spacing w:beforeLines="20" w:before="48" w:afterLines="20" w:after="48"/>
              <w:jc w:val="center"/>
              <w:rPr>
                <w:noProof/>
                <w:sz w:val="16"/>
                <w:szCs w:val="16"/>
              </w:rPr>
            </w:pPr>
          </w:p>
        </w:tc>
        <w:tc>
          <w:tcPr>
            <w:tcW w:w="527" w:type="pct"/>
            <w:shd w:val="clear" w:color="auto" w:fill="auto"/>
            <w:vAlign w:val="center"/>
          </w:tcPr>
          <w:p w:rsidR="00E506D3" w:rsidRDefault="00E506D3">
            <w:pPr>
              <w:spacing w:beforeLines="20" w:before="48" w:afterLines="20" w:after="48"/>
              <w:jc w:val="center"/>
              <w:rPr>
                <w:noProof/>
                <w:sz w:val="16"/>
                <w:szCs w:val="16"/>
              </w:rPr>
            </w:pPr>
          </w:p>
        </w:tc>
      </w:tr>
      <w:tr w:rsidR="00E506D3">
        <w:trPr>
          <w:trHeight w:val="289"/>
        </w:trPr>
        <w:tc>
          <w:tcPr>
            <w:tcW w:w="1472" w:type="pct"/>
            <w:gridSpan w:val="2"/>
            <w:tcBorders>
              <w:bottom w:val="double" w:sz="4" w:space="0" w:color="auto"/>
            </w:tcBorders>
          </w:tcPr>
          <w:p w:rsidR="00E506D3" w:rsidRDefault="00A1386A">
            <w:pPr>
              <w:pStyle w:val="Text1"/>
              <w:spacing w:beforeLines="20" w:before="48" w:afterLines="20" w:after="48"/>
              <w:ind w:left="134"/>
              <w:jc w:val="left"/>
              <w:rPr>
                <w:noProof/>
                <w:sz w:val="16"/>
                <w:szCs w:val="16"/>
              </w:rPr>
            </w:pPr>
            <w:r>
              <w:rPr>
                <w:noProof/>
                <w:sz w:val="16"/>
              </w:rPr>
              <w:t>Άλλα (να προσδιοριστούν)</w:t>
            </w:r>
          </w:p>
        </w:tc>
        <w:tc>
          <w:tcPr>
            <w:tcW w:w="466" w:type="pct"/>
            <w:tcBorders>
              <w:bottom w:val="double" w:sz="4" w:space="0" w:color="auto"/>
            </w:tcBorders>
            <w:shd w:val="clear" w:color="auto" w:fill="auto"/>
            <w:vAlign w:val="center"/>
          </w:tcPr>
          <w:p w:rsidR="00E506D3" w:rsidRDefault="00E506D3">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E506D3" w:rsidRDefault="00E506D3">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E506D3" w:rsidRDefault="00E506D3">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E506D3" w:rsidRDefault="00E506D3">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E506D3" w:rsidRDefault="00E506D3">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E506D3" w:rsidRDefault="00E506D3">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E506D3" w:rsidRDefault="00E506D3">
            <w:pPr>
              <w:spacing w:beforeLines="20" w:before="48" w:afterLines="20" w:after="48"/>
              <w:jc w:val="center"/>
              <w:rPr>
                <w:noProof/>
                <w:sz w:val="16"/>
                <w:szCs w:val="16"/>
              </w:rPr>
            </w:pPr>
          </w:p>
        </w:tc>
      </w:tr>
      <w:tr w:rsidR="00E506D3">
        <w:trPr>
          <w:trHeight w:val="289"/>
        </w:trPr>
        <w:tc>
          <w:tcPr>
            <w:tcW w:w="1472" w:type="pct"/>
            <w:gridSpan w:val="2"/>
            <w:tcBorders>
              <w:top w:val="double" w:sz="4" w:space="0" w:color="auto"/>
            </w:tcBorders>
          </w:tcPr>
          <w:p w:rsidR="00E506D3" w:rsidRDefault="00A1386A">
            <w:pPr>
              <w:pStyle w:val="Text1"/>
              <w:spacing w:beforeLines="20" w:before="48" w:afterLines="20" w:after="48"/>
              <w:ind w:left="136"/>
              <w:jc w:val="left"/>
              <w:rPr>
                <w:noProof/>
                <w:sz w:val="16"/>
                <w:szCs w:val="16"/>
              </w:rPr>
            </w:pPr>
            <w:r>
              <w:rPr>
                <w:b/>
                <w:noProof/>
                <w:sz w:val="16"/>
              </w:rPr>
              <w:t>ΣΥΝΟΛΟ</w:t>
            </w:r>
          </w:p>
        </w:tc>
        <w:tc>
          <w:tcPr>
            <w:tcW w:w="466" w:type="pct"/>
            <w:tcBorders>
              <w:top w:val="double" w:sz="4" w:space="0" w:color="auto"/>
            </w:tcBorders>
            <w:shd w:val="clear" w:color="auto" w:fill="auto"/>
            <w:vAlign w:val="center"/>
          </w:tcPr>
          <w:p w:rsidR="00E506D3" w:rsidRDefault="00A1386A">
            <w:pPr>
              <w:spacing w:beforeLines="20" w:before="48" w:afterLines="20" w:after="48"/>
              <w:jc w:val="center"/>
              <w:rPr>
                <w:b/>
                <w:noProof/>
                <w:sz w:val="16"/>
                <w:szCs w:val="16"/>
              </w:rPr>
            </w:pPr>
            <w:r>
              <w:rPr>
                <w:b/>
                <w:noProof/>
                <w:color w:val="000000"/>
                <w:sz w:val="16"/>
              </w:rPr>
              <w:t>43</w:t>
            </w:r>
          </w:p>
        </w:tc>
        <w:tc>
          <w:tcPr>
            <w:tcW w:w="534" w:type="pct"/>
            <w:tcBorders>
              <w:top w:val="double" w:sz="4" w:space="0" w:color="auto"/>
            </w:tcBorders>
            <w:shd w:val="clear" w:color="auto" w:fill="auto"/>
            <w:vAlign w:val="center"/>
          </w:tcPr>
          <w:p w:rsidR="00E506D3" w:rsidRDefault="00A1386A">
            <w:pPr>
              <w:spacing w:beforeLines="20" w:before="48" w:afterLines="20" w:after="48"/>
              <w:jc w:val="center"/>
              <w:rPr>
                <w:b/>
                <w:noProof/>
                <w:sz w:val="16"/>
                <w:szCs w:val="16"/>
              </w:rPr>
            </w:pPr>
            <w:r>
              <w:rPr>
                <w:b/>
                <w:noProof/>
                <w:color w:val="000000"/>
                <w:sz w:val="16"/>
              </w:rPr>
              <w:t>50</w:t>
            </w:r>
          </w:p>
        </w:tc>
        <w:tc>
          <w:tcPr>
            <w:tcW w:w="466" w:type="pct"/>
            <w:tcBorders>
              <w:top w:val="double" w:sz="4" w:space="0" w:color="auto"/>
            </w:tcBorders>
            <w:shd w:val="clear" w:color="auto" w:fill="auto"/>
            <w:vAlign w:val="center"/>
          </w:tcPr>
          <w:p w:rsidR="00E506D3" w:rsidRDefault="00A1386A">
            <w:pPr>
              <w:spacing w:beforeLines="20" w:before="48" w:afterLines="20" w:after="48"/>
              <w:jc w:val="center"/>
              <w:rPr>
                <w:b/>
                <w:noProof/>
                <w:sz w:val="16"/>
                <w:szCs w:val="16"/>
              </w:rPr>
            </w:pPr>
            <w:r>
              <w:rPr>
                <w:b/>
                <w:noProof/>
                <w:color w:val="000000"/>
                <w:sz w:val="16"/>
              </w:rPr>
              <w:t>50</w:t>
            </w:r>
          </w:p>
        </w:tc>
        <w:tc>
          <w:tcPr>
            <w:tcW w:w="534" w:type="pct"/>
            <w:tcBorders>
              <w:top w:val="double" w:sz="4" w:space="0" w:color="auto"/>
            </w:tcBorders>
            <w:shd w:val="clear" w:color="auto" w:fill="auto"/>
            <w:vAlign w:val="center"/>
          </w:tcPr>
          <w:p w:rsidR="00E506D3" w:rsidRDefault="00A1386A">
            <w:pPr>
              <w:spacing w:beforeLines="20" w:before="48" w:afterLines="20" w:after="48"/>
              <w:jc w:val="center"/>
              <w:rPr>
                <w:b/>
                <w:noProof/>
                <w:sz w:val="16"/>
                <w:szCs w:val="16"/>
              </w:rPr>
            </w:pPr>
            <w:r>
              <w:rPr>
                <w:b/>
                <w:noProof/>
                <w:color w:val="000000"/>
                <w:sz w:val="16"/>
              </w:rPr>
              <w:t>50</w:t>
            </w:r>
          </w:p>
        </w:tc>
        <w:tc>
          <w:tcPr>
            <w:tcW w:w="533" w:type="pct"/>
            <w:tcBorders>
              <w:top w:val="double" w:sz="4" w:space="0" w:color="auto"/>
            </w:tcBorders>
            <w:shd w:val="clear" w:color="auto" w:fill="auto"/>
            <w:vAlign w:val="center"/>
          </w:tcPr>
          <w:p w:rsidR="00E506D3" w:rsidRDefault="00A1386A">
            <w:pPr>
              <w:spacing w:beforeLines="20" w:before="48" w:afterLines="20" w:after="48"/>
              <w:jc w:val="center"/>
              <w:rPr>
                <w:b/>
                <w:noProof/>
                <w:sz w:val="16"/>
                <w:szCs w:val="16"/>
              </w:rPr>
            </w:pPr>
            <w:r>
              <w:rPr>
                <w:b/>
                <w:noProof/>
                <w:color w:val="000000"/>
                <w:sz w:val="16"/>
              </w:rPr>
              <w:t>50</w:t>
            </w:r>
          </w:p>
        </w:tc>
        <w:tc>
          <w:tcPr>
            <w:tcW w:w="468" w:type="pct"/>
            <w:tcBorders>
              <w:top w:val="double" w:sz="4" w:space="0" w:color="auto"/>
            </w:tcBorders>
            <w:shd w:val="clear" w:color="auto" w:fill="auto"/>
            <w:vAlign w:val="center"/>
          </w:tcPr>
          <w:p w:rsidR="00E506D3" w:rsidRDefault="00A1386A">
            <w:pPr>
              <w:spacing w:beforeLines="20" w:before="48" w:afterLines="20" w:after="48"/>
              <w:jc w:val="center"/>
              <w:rPr>
                <w:b/>
                <w:noProof/>
                <w:sz w:val="16"/>
                <w:szCs w:val="16"/>
              </w:rPr>
            </w:pPr>
            <w:r>
              <w:rPr>
                <w:b/>
                <w:noProof/>
                <w:color w:val="000000"/>
                <w:sz w:val="16"/>
              </w:rPr>
              <w:t>50</w:t>
            </w:r>
          </w:p>
        </w:tc>
        <w:tc>
          <w:tcPr>
            <w:tcW w:w="527" w:type="pct"/>
            <w:tcBorders>
              <w:top w:val="double" w:sz="4" w:space="0" w:color="auto"/>
            </w:tcBorders>
            <w:shd w:val="clear" w:color="auto" w:fill="auto"/>
            <w:vAlign w:val="center"/>
          </w:tcPr>
          <w:p w:rsidR="00E506D3" w:rsidRDefault="00A1386A">
            <w:pPr>
              <w:spacing w:beforeLines="20" w:before="48" w:afterLines="20" w:after="48"/>
              <w:jc w:val="center"/>
              <w:rPr>
                <w:b/>
                <w:noProof/>
                <w:sz w:val="16"/>
                <w:szCs w:val="16"/>
              </w:rPr>
            </w:pPr>
            <w:r>
              <w:rPr>
                <w:b/>
                <w:noProof/>
                <w:color w:val="000000"/>
                <w:sz w:val="16"/>
              </w:rPr>
              <w:t>50</w:t>
            </w:r>
          </w:p>
        </w:tc>
      </w:tr>
    </w:tbl>
    <w:p w:rsidR="00E506D3" w:rsidRDefault="00A1386A">
      <w:pPr>
        <w:pStyle w:val="Text1"/>
        <w:ind w:left="0"/>
        <w:rPr>
          <w:noProof/>
          <w:sz w:val="18"/>
          <w:szCs w:val="18"/>
        </w:rPr>
      </w:pPr>
      <w:r>
        <w:rPr>
          <w:noProof/>
          <w:sz w:val="18"/>
        </w:rPr>
        <w:t xml:space="preserve">Οι ανάγκες σε ανθρώπινους πόρους θα </w:t>
      </w:r>
      <w:r>
        <w:rPr>
          <w:noProof/>
          <w:sz w:val="18"/>
        </w:rPr>
        <w:t xml:space="preserve">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w:t>
      </w:r>
      <w:r>
        <w:rPr>
          <w:noProof/>
          <w:sz w:val="18"/>
        </w:rPr>
        <w:t>στο πλαίσιο της ετήσιας διαδικασίας κατανομής και λαμβανομένων υπόψη των υφιστάμενων δημοσιονομικών περιορισμών.</w:t>
      </w:r>
    </w:p>
    <w:p w:rsidR="00E506D3" w:rsidRDefault="00A1386A">
      <w:pPr>
        <w:rPr>
          <w:noProof/>
          <w:sz w:val="20"/>
        </w:rPr>
      </w:pPr>
      <w:r>
        <w:rPr>
          <w:noProof/>
          <w:sz w:val="20"/>
        </w:rPr>
        <w:t>Περιγραφή των προς εκτέλεση καθηκόντων:</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E506D3">
        <w:tc>
          <w:tcPr>
            <w:tcW w:w="3240" w:type="dxa"/>
          </w:tcPr>
          <w:p w:rsidR="00E506D3" w:rsidRDefault="00A1386A">
            <w:pPr>
              <w:rPr>
                <w:noProof/>
                <w:sz w:val="20"/>
              </w:rPr>
            </w:pPr>
            <w:r>
              <w:rPr>
                <w:noProof/>
                <w:sz w:val="20"/>
              </w:rPr>
              <w:t>Μόνιμοι και έκτακτοι υπάλληλοι</w:t>
            </w:r>
          </w:p>
        </w:tc>
        <w:tc>
          <w:tcPr>
            <w:tcW w:w="7392" w:type="dxa"/>
          </w:tcPr>
          <w:p w:rsidR="00E506D3" w:rsidRDefault="00A1386A">
            <w:pPr>
              <w:autoSpaceDE w:val="0"/>
              <w:autoSpaceDN w:val="0"/>
              <w:adjustRightInd w:val="0"/>
              <w:spacing w:before="0" w:after="0"/>
              <w:jc w:val="left"/>
              <w:rPr>
                <w:noProof/>
                <w:sz w:val="20"/>
                <w:szCs w:val="20"/>
              </w:rPr>
            </w:pPr>
            <w:r>
              <w:rPr>
                <w:noProof/>
                <w:sz w:val="20"/>
              </w:rPr>
              <w:t>Το προσωπικό 50 ΙΠΑ έως το 2027 αντιπροσωπεύει το συνολικό προσωπικό που</w:t>
            </w:r>
            <w:r>
              <w:rPr>
                <w:noProof/>
                <w:sz w:val="20"/>
              </w:rPr>
              <w:t xml:space="preserve"> είναι απαραίτητο για την εκτέλεση και τη διαχείριση του Ταμείου. Αποτελείται από προσωπικό που ήδη εργάζεται στη ΓΔ HOME για το ΤΕΑ (τιμή βάσης: 33 ΙΠΑ = 3 CA, 11 AST, 19 AD) από τον Απρίλιο του 2018 και επιπλέον προσωπικό (+3 AST, +14 AD εκ των οποίων 2 </w:t>
            </w:r>
            <w:r>
              <w:rPr>
                <w:noProof/>
                <w:sz w:val="20"/>
              </w:rPr>
              <w:t>για τις αντιπροσωπείες). Βλ. την παρακάτω περιγραφή των καθηκόντων του εν λόγω επιπλέον προσωπικού:</w:t>
            </w:r>
          </w:p>
          <w:p w:rsidR="00E506D3" w:rsidRDefault="00E506D3">
            <w:pPr>
              <w:autoSpaceDE w:val="0"/>
              <w:autoSpaceDN w:val="0"/>
              <w:adjustRightInd w:val="0"/>
              <w:spacing w:before="0" w:after="0"/>
              <w:jc w:val="left"/>
              <w:rPr>
                <w:b/>
                <w:noProof/>
                <w:sz w:val="20"/>
                <w:szCs w:val="20"/>
              </w:rPr>
            </w:pPr>
          </w:p>
          <w:p w:rsidR="00E506D3" w:rsidRDefault="00A1386A">
            <w:pPr>
              <w:autoSpaceDE w:val="0"/>
              <w:autoSpaceDN w:val="0"/>
              <w:adjustRightInd w:val="0"/>
              <w:spacing w:before="0" w:after="0"/>
              <w:jc w:val="left"/>
              <w:rPr>
                <w:b/>
                <w:noProof/>
                <w:sz w:val="20"/>
                <w:szCs w:val="20"/>
              </w:rPr>
            </w:pPr>
            <w:r>
              <w:rPr>
                <w:b/>
                <w:noProof/>
                <w:sz w:val="20"/>
              </w:rPr>
              <w:t>Σχεδιασμός, προγραμματισμός, σχέση με τους οργανισμούς (+ 1 AD):</w:t>
            </w:r>
          </w:p>
          <w:p w:rsidR="00E506D3" w:rsidRDefault="00A1386A">
            <w:pPr>
              <w:autoSpaceDE w:val="0"/>
              <w:autoSpaceDN w:val="0"/>
              <w:adjustRightInd w:val="0"/>
              <w:spacing w:before="0" w:after="0"/>
              <w:jc w:val="left"/>
              <w:rPr>
                <w:noProof/>
                <w:sz w:val="20"/>
                <w:szCs w:val="20"/>
              </w:rPr>
            </w:pPr>
            <w:r>
              <w:rPr>
                <w:noProof/>
                <w:sz w:val="20"/>
              </w:rPr>
              <w:t>- παροχή εισροής στη διαδικασία του προϋπολογισμού,</w:t>
            </w:r>
          </w:p>
          <w:p w:rsidR="00E506D3" w:rsidRDefault="00A1386A">
            <w:pPr>
              <w:autoSpaceDE w:val="0"/>
              <w:autoSpaceDN w:val="0"/>
              <w:adjustRightInd w:val="0"/>
              <w:spacing w:before="0" w:after="0"/>
              <w:jc w:val="left"/>
              <w:rPr>
                <w:noProof/>
                <w:sz w:val="20"/>
                <w:szCs w:val="20"/>
              </w:rPr>
            </w:pPr>
            <w:r>
              <w:rPr>
                <w:noProof/>
                <w:sz w:val="20"/>
              </w:rPr>
              <w:t>- δημιουργία συνδέσμου μεταξύ των κεφα</w:t>
            </w:r>
            <w:r>
              <w:rPr>
                <w:noProof/>
                <w:sz w:val="20"/>
              </w:rPr>
              <w:t>λαίων και των οργανισμών (π.χ. επιχορηγήσεις/συμφωνίες ανάθεσης σε οργανισμούς)</w:t>
            </w:r>
          </w:p>
          <w:p w:rsidR="00E506D3" w:rsidRDefault="00E506D3">
            <w:pPr>
              <w:autoSpaceDE w:val="0"/>
              <w:autoSpaceDN w:val="0"/>
              <w:adjustRightInd w:val="0"/>
              <w:spacing w:before="0" w:after="0"/>
              <w:jc w:val="left"/>
              <w:rPr>
                <w:noProof/>
                <w:sz w:val="20"/>
                <w:szCs w:val="20"/>
              </w:rPr>
            </w:pPr>
          </w:p>
          <w:p w:rsidR="00E506D3" w:rsidRDefault="00A1386A">
            <w:pPr>
              <w:autoSpaceDE w:val="0"/>
              <w:autoSpaceDN w:val="0"/>
              <w:adjustRightInd w:val="0"/>
              <w:spacing w:before="0" w:after="0"/>
              <w:jc w:val="left"/>
              <w:rPr>
                <w:b/>
                <w:noProof/>
                <w:sz w:val="20"/>
                <w:szCs w:val="20"/>
              </w:rPr>
            </w:pPr>
            <w:r>
              <w:rPr>
                <w:b/>
                <w:noProof/>
                <w:sz w:val="20"/>
              </w:rPr>
              <w:t>Έλεγχοι, OLAF, ECA (+3 AD):</w:t>
            </w:r>
          </w:p>
          <w:p w:rsidR="00E506D3" w:rsidRDefault="00A1386A">
            <w:pPr>
              <w:autoSpaceDE w:val="0"/>
              <w:autoSpaceDN w:val="0"/>
              <w:adjustRightInd w:val="0"/>
              <w:spacing w:before="0" w:after="0"/>
              <w:jc w:val="left"/>
              <w:rPr>
                <w:noProof/>
                <w:sz w:val="20"/>
                <w:szCs w:val="20"/>
              </w:rPr>
            </w:pPr>
            <w:r>
              <w:rPr>
                <w:noProof/>
                <w:sz w:val="20"/>
              </w:rPr>
              <w:t>- διενέργεια ελέγχων, όπως περιγράφεται ανωτέρω (εκ των προτέρων επαλήθευση, επιτροπή προμηθειών, εκ των υστέρων έλεγχοι, εσωτερικός έλεγχος, εκκαθ</w:t>
            </w:r>
            <w:r>
              <w:rPr>
                <w:noProof/>
                <w:sz w:val="20"/>
              </w:rPr>
              <w:t>άριση λογαριασμών),</w:t>
            </w:r>
          </w:p>
          <w:p w:rsidR="00E506D3" w:rsidRDefault="00A1386A">
            <w:pPr>
              <w:autoSpaceDE w:val="0"/>
              <w:autoSpaceDN w:val="0"/>
              <w:adjustRightInd w:val="0"/>
              <w:spacing w:before="0" w:after="0"/>
              <w:jc w:val="left"/>
              <w:rPr>
                <w:noProof/>
                <w:sz w:val="20"/>
                <w:szCs w:val="20"/>
              </w:rPr>
            </w:pPr>
            <w:r>
              <w:rPr>
                <w:noProof/>
              </w:rPr>
              <w:t>- παρακολούθηση των ελέγχων που διενεργούνται από την IAS και το Ελεγκτικό Συνέδριο.</w:t>
            </w:r>
          </w:p>
          <w:p w:rsidR="00E506D3" w:rsidRDefault="00E506D3">
            <w:pPr>
              <w:autoSpaceDE w:val="0"/>
              <w:autoSpaceDN w:val="0"/>
              <w:adjustRightInd w:val="0"/>
              <w:spacing w:before="0" w:after="0"/>
              <w:jc w:val="left"/>
              <w:rPr>
                <w:noProof/>
                <w:sz w:val="20"/>
                <w:szCs w:val="20"/>
              </w:rPr>
            </w:pPr>
          </w:p>
          <w:p w:rsidR="00E506D3" w:rsidRDefault="00A1386A">
            <w:pPr>
              <w:autoSpaceDE w:val="0"/>
              <w:autoSpaceDN w:val="0"/>
              <w:adjustRightInd w:val="0"/>
              <w:spacing w:before="0" w:after="0"/>
              <w:jc w:val="left"/>
              <w:rPr>
                <w:b/>
                <w:noProof/>
                <w:sz w:val="20"/>
                <w:szCs w:val="20"/>
              </w:rPr>
            </w:pPr>
            <w:r>
              <w:rPr>
                <w:b/>
                <w:noProof/>
                <w:sz w:val="20"/>
              </w:rPr>
              <w:t>Άμεση διαχείριση (+1 AST, +2 AD):</w:t>
            </w:r>
          </w:p>
          <w:p w:rsidR="00E506D3" w:rsidRDefault="00A1386A">
            <w:pPr>
              <w:autoSpaceDE w:val="0"/>
              <w:autoSpaceDN w:val="0"/>
              <w:adjustRightInd w:val="0"/>
              <w:spacing w:before="0" w:after="0"/>
              <w:jc w:val="left"/>
              <w:rPr>
                <w:noProof/>
                <w:sz w:val="20"/>
                <w:szCs w:val="20"/>
              </w:rPr>
            </w:pPr>
            <w:r>
              <w:rPr>
                <w:noProof/>
                <w:sz w:val="20"/>
              </w:rPr>
              <w:t>-</w:t>
            </w:r>
            <w:r>
              <w:rPr>
                <w:noProof/>
              </w:rPr>
              <w:t xml:space="preserve"> </w:t>
            </w:r>
            <w:r>
              <w:rPr>
                <w:noProof/>
                <w:sz w:val="20"/>
              </w:rPr>
              <w:t>εκπόνηση ετήσιων προγραμμάτων εργασίας/χρηματοδοτικών αποφάσεων, καθορισμός ετήσιων προτεραιοτήτων,</w:t>
            </w:r>
          </w:p>
          <w:p w:rsidR="00E506D3" w:rsidRDefault="00A1386A">
            <w:pPr>
              <w:autoSpaceDE w:val="0"/>
              <w:autoSpaceDN w:val="0"/>
              <w:adjustRightInd w:val="0"/>
              <w:spacing w:before="0" w:after="0"/>
              <w:jc w:val="left"/>
              <w:rPr>
                <w:noProof/>
                <w:sz w:val="20"/>
                <w:szCs w:val="20"/>
              </w:rPr>
            </w:pPr>
            <w:r>
              <w:rPr>
                <w:noProof/>
                <w:sz w:val="20"/>
              </w:rPr>
              <w:t>-</w:t>
            </w:r>
            <w:r>
              <w:rPr>
                <w:noProof/>
              </w:rPr>
              <w:t xml:space="preserve"> </w:t>
            </w:r>
            <w:r>
              <w:rPr>
                <w:noProof/>
                <w:sz w:val="20"/>
              </w:rPr>
              <w:t xml:space="preserve">επικοινωνία </w:t>
            </w:r>
            <w:r>
              <w:rPr>
                <w:noProof/>
                <w:sz w:val="20"/>
              </w:rPr>
              <w:t>με τους ενδιαφερόμενους φορείς (δυνητικούς / πραγματικούς δικαιούχους, κράτη μέλη κλπ.),</w:t>
            </w:r>
          </w:p>
          <w:p w:rsidR="00E506D3" w:rsidRDefault="00A1386A">
            <w:pPr>
              <w:autoSpaceDE w:val="0"/>
              <w:autoSpaceDN w:val="0"/>
              <w:adjustRightInd w:val="0"/>
              <w:spacing w:before="0" w:after="0"/>
              <w:jc w:val="left"/>
              <w:rPr>
                <w:noProof/>
                <w:sz w:val="20"/>
                <w:szCs w:val="20"/>
              </w:rPr>
            </w:pPr>
            <w:r>
              <w:rPr>
                <w:noProof/>
                <w:sz w:val="20"/>
              </w:rPr>
              <w:t>- διαχείριση των προσκλήσεων προς υποβολή προτάσεων και των προκηρύξεων διαγωνισμών, καθώς και των επακόλουθων διαδικασιών επιλογής,</w:t>
            </w:r>
          </w:p>
          <w:p w:rsidR="00E506D3" w:rsidRDefault="00A1386A">
            <w:pPr>
              <w:autoSpaceDE w:val="0"/>
              <w:autoSpaceDN w:val="0"/>
              <w:adjustRightInd w:val="0"/>
              <w:spacing w:before="0" w:after="0"/>
              <w:jc w:val="left"/>
              <w:rPr>
                <w:noProof/>
                <w:sz w:val="20"/>
                <w:szCs w:val="20"/>
              </w:rPr>
            </w:pPr>
            <w:r>
              <w:rPr>
                <w:noProof/>
                <w:sz w:val="20"/>
              </w:rPr>
              <w:t>-λειτουργική διαχείριση έργων.</w:t>
            </w:r>
          </w:p>
          <w:p w:rsidR="00E506D3" w:rsidRDefault="00E506D3">
            <w:pPr>
              <w:autoSpaceDE w:val="0"/>
              <w:autoSpaceDN w:val="0"/>
              <w:adjustRightInd w:val="0"/>
              <w:spacing w:before="0" w:after="0"/>
              <w:jc w:val="left"/>
              <w:rPr>
                <w:noProof/>
                <w:sz w:val="20"/>
                <w:szCs w:val="20"/>
              </w:rPr>
            </w:pPr>
          </w:p>
          <w:p w:rsidR="00E506D3" w:rsidRDefault="00A1386A">
            <w:pPr>
              <w:autoSpaceDE w:val="0"/>
              <w:autoSpaceDN w:val="0"/>
              <w:adjustRightInd w:val="0"/>
              <w:spacing w:before="0" w:after="0"/>
              <w:jc w:val="left"/>
              <w:rPr>
                <w:b/>
                <w:noProof/>
                <w:sz w:val="20"/>
                <w:szCs w:val="20"/>
              </w:rPr>
            </w:pPr>
            <w:r>
              <w:rPr>
                <w:b/>
                <w:noProof/>
                <w:sz w:val="20"/>
              </w:rPr>
              <w:t>Επ</w:t>
            </w:r>
            <w:r>
              <w:rPr>
                <w:b/>
                <w:noProof/>
                <w:sz w:val="20"/>
              </w:rPr>
              <w:t>ιμερισμένη διαχείριση (συμπεριλαμβανομένου του TF) (+1 AST, + 3AD):</w:t>
            </w:r>
          </w:p>
          <w:p w:rsidR="00E506D3" w:rsidRDefault="00A1386A">
            <w:pPr>
              <w:autoSpaceDE w:val="0"/>
              <w:autoSpaceDN w:val="0"/>
              <w:adjustRightInd w:val="0"/>
              <w:spacing w:before="0" w:after="0"/>
              <w:jc w:val="left"/>
              <w:rPr>
                <w:noProof/>
                <w:sz w:val="20"/>
                <w:szCs w:val="20"/>
              </w:rPr>
            </w:pPr>
            <w:r>
              <w:rPr>
                <w:noProof/>
                <w:sz w:val="20"/>
              </w:rPr>
              <w:t>- διενέργεια του πολιτικού διαλόγου με τα κράτη μέλη,</w:t>
            </w:r>
          </w:p>
          <w:p w:rsidR="00E506D3" w:rsidRDefault="00A1386A">
            <w:pPr>
              <w:autoSpaceDE w:val="0"/>
              <w:autoSpaceDN w:val="0"/>
              <w:adjustRightInd w:val="0"/>
              <w:spacing w:before="0" w:after="0"/>
              <w:jc w:val="left"/>
              <w:rPr>
                <w:noProof/>
                <w:sz w:val="20"/>
                <w:szCs w:val="20"/>
              </w:rPr>
            </w:pPr>
            <w:r>
              <w:rPr>
                <w:noProof/>
                <w:sz w:val="20"/>
              </w:rPr>
              <w:t>- διαχείριση εθνικών προγραμμάτων,</w:t>
            </w:r>
          </w:p>
          <w:p w:rsidR="00E506D3" w:rsidRDefault="00A1386A">
            <w:pPr>
              <w:autoSpaceDE w:val="0"/>
              <w:autoSpaceDN w:val="0"/>
              <w:adjustRightInd w:val="0"/>
              <w:spacing w:before="0" w:after="0"/>
              <w:jc w:val="left"/>
              <w:rPr>
                <w:noProof/>
                <w:sz w:val="20"/>
                <w:szCs w:val="20"/>
              </w:rPr>
            </w:pPr>
            <w:r>
              <w:rPr>
                <w:noProof/>
                <w:sz w:val="20"/>
              </w:rPr>
              <w:t>- σύνταξη κατευθυντήριων γραμμών προς τα κράτη μέλη,</w:t>
            </w:r>
          </w:p>
          <w:p w:rsidR="00E506D3" w:rsidRDefault="00A1386A">
            <w:pPr>
              <w:autoSpaceDE w:val="0"/>
              <w:autoSpaceDN w:val="0"/>
              <w:adjustRightInd w:val="0"/>
              <w:spacing w:before="0" w:after="0"/>
              <w:jc w:val="left"/>
              <w:rPr>
                <w:noProof/>
                <w:sz w:val="20"/>
                <w:szCs w:val="20"/>
              </w:rPr>
            </w:pPr>
            <w:r>
              <w:rPr>
                <w:noProof/>
                <w:sz w:val="20"/>
              </w:rPr>
              <w:t>- ανάπτυξη και διαχείριση εργαλείων ΤΠ διαχείρ</w:t>
            </w:r>
            <w:r>
              <w:rPr>
                <w:noProof/>
                <w:sz w:val="20"/>
              </w:rPr>
              <w:t>ισης επιχορηγήσεων και εθνικών προγραμμάτων.</w:t>
            </w:r>
          </w:p>
          <w:p w:rsidR="00E506D3" w:rsidRDefault="00E506D3">
            <w:pPr>
              <w:autoSpaceDE w:val="0"/>
              <w:autoSpaceDN w:val="0"/>
              <w:adjustRightInd w:val="0"/>
              <w:spacing w:before="0" w:after="0"/>
              <w:jc w:val="left"/>
              <w:rPr>
                <w:noProof/>
                <w:sz w:val="20"/>
                <w:szCs w:val="20"/>
              </w:rPr>
            </w:pPr>
          </w:p>
          <w:p w:rsidR="00E506D3" w:rsidRDefault="00A1386A">
            <w:pPr>
              <w:autoSpaceDE w:val="0"/>
              <w:autoSpaceDN w:val="0"/>
              <w:adjustRightInd w:val="0"/>
              <w:spacing w:before="0" w:after="0"/>
              <w:jc w:val="left"/>
              <w:rPr>
                <w:b/>
                <w:noProof/>
                <w:sz w:val="20"/>
                <w:szCs w:val="20"/>
              </w:rPr>
            </w:pPr>
            <w:r>
              <w:rPr>
                <w:b/>
                <w:noProof/>
                <w:sz w:val="20"/>
              </w:rPr>
              <w:t>Συνέργειες με άλλα ταμεία (+1 AD):</w:t>
            </w:r>
          </w:p>
          <w:p w:rsidR="00E506D3" w:rsidRDefault="00A1386A">
            <w:pPr>
              <w:autoSpaceDE w:val="0"/>
              <w:autoSpaceDN w:val="0"/>
              <w:adjustRightInd w:val="0"/>
              <w:spacing w:before="0" w:after="0"/>
              <w:jc w:val="left"/>
              <w:rPr>
                <w:noProof/>
                <w:sz w:val="20"/>
                <w:szCs w:val="20"/>
              </w:rPr>
            </w:pPr>
            <w:r>
              <w:rPr>
                <w:noProof/>
                <w:sz w:val="20"/>
              </w:rPr>
              <w:t>- συντονισμός με τα ταμεία με εξωτερική διάσταση,</w:t>
            </w:r>
          </w:p>
          <w:p w:rsidR="00E506D3" w:rsidRDefault="00A1386A">
            <w:pPr>
              <w:autoSpaceDE w:val="0"/>
              <w:autoSpaceDN w:val="0"/>
              <w:adjustRightInd w:val="0"/>
              <w:spacing w:before="0" w:after="0"/>
              <w:jc w:val="left"/>
              <w:rPr>
                <w:noProof/>
                <w:sz w:val="20"/>
                <w:szCs w:val="20"/>
              </w:rPr>
            </w:pPr>
            <w:r>
              <w:rPr>
                <w:noProof/>
                <w:sz w:val="20"/>
              </w:rPr>
              <w:t>- συντονισμός στο πλαίσιο του ΚΚΔ,</w:t>
            </w:r>
          </w:p>
          <w:p w:rsidR="00E506D3" w:rsidRDefault="00A1386A">
            <w:pPr>
              <w:autoSpaceDE w:val="0"/>
              <w:autoSpaceDN w:val="0"/>
              <w:adjustRightInd w:val="0"/>
              <w:spacing w:before="0" w:after="0"/>
              <w:jc w:val="left"/>
              <w:rPr>
                <w:noProof/>
                <w:sz w:val="20"/>
                <w:szCs w:val="20"/>
              </w:rPr>
            </w:pPr>
            <w:r>
              <w:rPr>
                <w:noProof/>
                <w:sz w:val="20"/>
              </w:rPr>
              <w:t>- συνέργειες και συμπληρωματικότητα με άλλα ταμεία.</w:t>
            </w:r>
          </w:p>
          <w:p w:rsidR="00E506D3" w:rsidRDefault="00E506D3">
            <w:pPr>
              <w:autoSpaceDE w:val="0"/>
              <w:autoSpaceDN w:val="0"/>
              <w:adjustRightInd w:val="0"/>
              <w:spacing w:before="0" w:after="0"/>
              <w:jc w:val="left"/>
              <w:rPr>
                <w:noProof/>
                <w:sz w:val="20"/>
                <w:szCs w:val="20"/>
              </w:rPr>
            </w:pPr>
          </w:p>
          <w:p w:rsidR="00E506D3" w:rsidRDefault="00A1386A">
            <w:pPr>
              <w:autoSpaceDE w:val="0"/>
              <w:autoSpaceDN w:val="0"/>
              <w:adjustRightInd w:val="0"/>
              <w:spacing w:before="0" w:after="0"/>
              <w:jc w:val="left"/>
              <w:rPr>
                <w:b/>
                <w:noProof/>
                <w:sz w:val="20"/>
                <w:szCs w:val="20"/>
              </w:rPr>
            </w:pPr>
            <w:r>
              <w:rPr>
                <w:b/>
                <w:noProof/>
                <w:sz w:val="20"/>
              </w:rPr>
              <w:t>Δημοσιονομική διαχείριση (+1 AST):</w:t>
            </w:r>
          </w:p>
          <w:p w:rsidR="00E506D3" w:rsidRDefault="00A1386A">
            <w:pPr>
              <w:autoSpaceDE w:val="0"/>
              <w:autoSpaceDN w:val="0"/>
              <w:adjustRightInd w:val="0"/>
              <w:spacing w:before="0" w:after="0"/>
              <w:jc w:val="left"/>
              <w:rPr>
                <w:noProof/>
                <w:sz w:val="20"/>
                <w:szCs w:val="20"/>
              </w:rPr>
            </w:pPr>
            <w:r>
              <w:rPr>
                <w:noProof/>
                <w:sz w:val="20"/>
              </w:rPr>
              <w:t xml:space="preserve">- </w:t>
            </w:r>
            <w:r>
              <w:rPr>
                <w:noProof/>
                <w:sz w:val="20"/>
              </w:rPr>
              <w:t>δημοσιονομική έναρξη και επαλήθευση,</w:t>
            </w:r>
          </w:p>
          <w:p w:rsidR="00E506D3" w:rsidRDefault="00A1386A">
            <w:pPr>
              <w:autoSpaceDE w:val="0"/>
              <w:autoSpaceDN w:val="0"/>
              <w:adjustRightInd w:val="0"/>
              <w:spacing w:before="0" w:after="0"/>
              <w:jc w:val="left"/>
              <w:rPr>
                <w:noProof/>
                <w:sz w:val="20"/>
                <w:szCs w:val="20"/>
              </w:rPr>
            </w:pPr>
            <w:r>
              <w:rPr>
                <w:noProof/>
                <w:sz w:val="20"/>
              </w:rPr>
              <w:t>- λογιστική,</w:t>
            </w:r>
          </w:p>
          <w:p w:rsidR="00E506D3" w:rsidRDefault="00A1386A">
            <w:pPr>
              <w:autoSpaceDE w:val="0"/>
              <w:autoSpaceDN w:val="0"/>
              <w:adjustRightInd w:val="0"/>
              <w:spacing w:before="0" w:after="0"/>
              <w:jc w:val="left"/>
              <w:rPr>
                <w:noProof/>
                <w:sz w:val="20"/>
                <w:szCs w:val="20"/>
              </w:rPr>
            </w:pPr>
            <w:r>
              <w:rPr>
                <w:noProof/>
                <w:sz w:val="20"/>
              </w:rPr>
              <w:t>- παρακολούθηση και υποβολή εκθέσεων για την επίτευξη των στόχων, περιλαμβανομένης της ετήσιας έκθεσης δραστηριοτήτων και των εκθέσεων δευτερεύοντος διατάκτη.</w:t>
            </w:r>
          </w:p>
          <w:p w:rsidR="00E506D3" w:rsidRDefault="00E506D3">
            <w:pPr>
              <w:autoSpaceDE w:val="0"/>
              <w:autoSpaceDN w:val="0"/>
              <w:adjustRightInd w:val="0"/>
              <w:spacing w:before="0" w:after="0"/>
              <w:jc w:val="left"/>
              <w:rPr>
                <w:noProof/>
                <w:sz w:val="20"/>
                <w:szCs w:val="20"/>
              </w:rPr>
            </w:pPr>
          </w:p>
          <w:p w:rsidR="00E506D3" w:rsidRDefault="00A1386A">
            <w:pPr>
              <w:autoSpaceDE w:val="0"/>
              <w:autoSpaceDN w:val="0"/>
              <w:adjustRightInd w:val="0"/>
              <w:spacing w:before="0" w:after="0"/>
              <w:jc w:val="left"/>
              <w:rPr>
                <w:b/>
                <w:noProof/>
                <w:sz w:val="20"/>
              </w:rPr>
            </w:pPr>
            <w:r>
              <w:rPr>
                <w:b/>
                <w:noProof/>
                <w:sz w:val="20"/>
              </w:rPr>
              <w:t>Προσωπικό για άλλες διευθύνσεις που ασχολούντα</w:t>
            </w:r>
            <w:r>
              <w:rPr>
                <w:b/>
                <w:noProof/>
                <w:sz w:val="20"/>
              </w:rPr>
              <w:t>ι με ζητήματα χρηματοδότησης (+ 2 AD):</w:t>
            </w:r>
          </w:p>
          <w:p w:rsidR="00E506D3" w:rsidRDefault="00A1386A">
            <w:pPr>
              <w:autoSpaceDE w:val="0"/>
              <w:autoSpaceDN w:val="0"/>
              <w:adjustRightInd w:val="0"/>
              <w:spacing w:before="0" w:after="0"/>
              <w:jc w:val="left"/>
              <w:rPr>
                <w:noProof/>
                <w:sz w:val="20"/>
                <w:szCs w:val="20"/>
              </w:rPr>
            </w:pPr>
            <w:r>
              <w:rPr>
                <w:noProof/>
              </w:rPr>
              <w:t xml:space="preserve">- </w:t>
            </w:r>
            <w:r>
              <w:rPr>
                <w:noProof/>
                <w:sz w:val="20"/>
              </w:rPr>
              <w:t>Υπεύθυνοι πολιτικής που ασχολούνται με την εκτέλεση των ταμείων (π.χ. αξιολόγηση των τεχνικών εκθέσεων από δικαιούχους υπό άμεση διαχείριση, αναθεώρηση των ετήσιων εκθέσεων υλοποίησης για επιμερισμένη διαχείριση, λε</w:t>
            </w:r>
            <w:r>
              <w:rPr>
                <w:noProof/>
                <w:sz w:val="20"/>
              </w:rPr>
              <w:t>ιτουργική διαχείριση έργων).</w:t>
            </w:r>
          </w:p>
        </w:tc>
      </w:tr>
      <w:tr w:rsidR="00E506D3">
        <w:tc>
          <w:tcPr>
            <w:tcW w:w="3240" w:type="dxa"/>
          </w:tcPr>
          <w:p w:rsidR="00E506D3" w:rsidRDefault="00A1386A">
            <w:pPr>
              <w:spacing w:before="60" w:after="60"/>
              <w:rPr>
                <w:noProof/>
                <w:sz w:val="20"/>
              </w:rPr>
            </w:pPr>
            <w:r>
              <w:rPr>
                <w:noProof/>
                <w:sz w:val="20"/>
              </w:rPr>
              <w:t>Εξωτερικό προσωπικό</w:t>
            </w:r>
          </w:p>
        </w:tc>
        <w:tc>
          <w:tcPr>
            <w:tcW w:w="7392" w:type="dxa"/>
          </w:tcPr>
          <w:p w:rsidR="00E506D3" w:rsidRDefault="00A1386A">
            <w:pPr>
              <w:rPr>
                <w:noProof/>
                <w:sz w:val="20"/>
              </w:rPr>
            </w:pPr>
            <w:r>
              <w:rPr>
                <w:noProof/>
                <w:sz w:val="20"/>
              </w:rPr>
              <w:t>Τα καθήκοντα είναι παρόμοια με αυτά των μονίμων και προσωρινών υπαλλήλων, με εξαίρεση τα καθήκοντα που δεν είναι δυνατό να ασκηθούν από εξωτερικό προσωπικό.</w:t>
            </w:r>
          </w:p>
        </w:tc>
      </w:tr>
      <w:tr w:rsidR="00E506D3">
        <w:tc>
          <w:tcPr>
            <w:tcW w:w="3240" w:type="dxa"/>
          </w:tcPr>
          <w:p w:rsidR="00E506D3" w:rsidRDefault="00A1386A">
            <w:pPr>
              <w:autoSpaceDE w:val="0"/>
              <w:autoSpaceDN w:val="0"/>
              <w:adjustRightInd w:val="0"/>
              <w:spacing w:before="0" w:after="0"/>
              <w:jc w:val="left"/>
              <w:rPr>
                <w:noProof/>
                <w:sz w:val="20"/>
              </w:rPr>
            </w:pPr>
            <w:r>
              <w:rPr>
                <w:noProof/>
                <w:sz w:val="20"/>
              </w:rPr>
              <w:t>Προσωπικό στις αντιπροσωπείες</w:t>
            </w:r>
          </w:p>
          <w:p w:rsidR="00E506D3" w:rsidRDefault="00E506D3">
            <w:pPr>
              <w:spacing w:before="60" w:after="60"/>
              <w:rPr>
                <w:noProof/>
                <w:sz w:val="20"/>
              </w:rPr>
            </w:pPr>
          </w:p>
        </w:tc>
        <w:tc>
          <w:tcPr>
            <w:tcW w:w="7392" w:type="dxa"/>
          </w:tcPr>
          <w:p w:rsidR="00E506D3" w:rsidRDefault="00A1386A">
            <w:pPr>
              <w:rPr>
                <w:noProof/>
                <w:sz w:val="20"/>
              </w:rPr>
            </w:pPr>
            <w:r>
              <w:rPr>
                <w:b/>
                <w:noProof/>
                <w:sz w:val="20"/>
              </w:rPr>
              <w:t>+ 2 AD:</w:t>
            </w:r>
            <w:r>
              <w:rPr>
                <w:noProof/>
                <w:sz w:val="20"/>
              </w:rPr>
              <w:t xml:space="preserve"> Για να πλαισιώσουν την χάραξη πολιτικής στον τομέα εσωτερικών υποθέσεων, και ιδίως της εξωτερικής διάστασής του, οι αντιπροσωπείες της ΕΕ πρέπει να είναι εξοπλισμένες με επαρκή πραγματογνωμοσύνη στον τομέα εσωτερικών υποθέσεων. Αυτό θα μπορούσε να αφορά π</w:t>
            </w:r>
            <w:r>
              <w:rPr>
                <w:noProof/>
                <w:sz w:val="20"/>
              </w:rPr>
              <w:t xml:space="preserve">ροσωπικό από την Ευρωπαϊκή Επιτροπή και/ή την Ευρωπαϊκή Υπηρεσία Εξωτερικής Δράσης. </w:t>
            </w:r>
          </w:p>
        </w:tc>
      </w:tr>
    </w:tbl>
    <w:p w:rsidR="00E506D3" w:rsidRDefault="00E506D3">
      <w:pPr>
        <w:rPr>
          <w:noProof/>
        </w:rPr>
        <w:sectPr w:rsidR="00E506D3" w:rsidSect="00A1386A">
          <w:pgSz w:w="11907" w:h="16840"/>
          <w:pgMar w:top="1134" w:right="1418" w:bottom="1134" w:left="1418" w:header="709" w:footer="709" w:gutter="0"/>
          <w:cols w:space="708"/>
          <w:docGrid w:linePitch="360"/>
        </w:sectPr>
      </w:pPr>
    </w:p>
    <w:p w:rsidR="00E506D3" w:rsidRDefault="00A1386A">
      <w:pPr>
        <w:pStyle w:val="ManualHeading3"/>
        <w:rPr>
          <w:bCs/>
          <w:noProof/>
          <w:szCs w:val="24"/>
        </w:rPr>
      </w:pPr>
      <w:r>
        <w:t>3.2.3.</w:t>
      </w:r>
      <w:r>
        <w:tab/>
      </w:r>
      <w:r>
        <w:rPr>
          <w:noProof/>
        </w:rPr>
        <w:t>Συμμετοχή τρίτων στη χρηματοδότηση</w:t>
      </w:r>
    </w:p>
    <w:p w:rsidR="00E506D3" w:rsidRDefault="00A1386A">
      <w:pPr>
        <w:pStyle w:val="Text1"/>
        <w:rPr>
          <w:noProof/>
        </w:rPr>
      </w:pPr>
      <w:r>
        <w:rPr>
          <w:noProof/>
        </w:rPr>
        <w:t>Η πρόταση/πρωτοβουλία:</w:t>
      </w:r>
    </w:p>
    <w:p w:rsidR="00E506D3" w:rsidRDefault="00A1386A">
      <w:pPr>
        <w:pStyle w:val="ListDash1"/>
        <w:rPr>
          <w:noProof/>
        </w:rPr>
      </w:pPr>
      <w:r>
        <w:rPr>
          <w:noProof/>
        </w:rPr>
        <w:sym w:font="Wingdings" w:char="F0A8"/>
      </w:r>
      <w:r>
        <w:rPr>
          <w:noProof/>
        </w:rPr>
        <w:tab/>
        <w:t>δεν προβλέπει συγχρηματοδότηση από τρίτους</w:t>
      </w:r>
    </w:p>
    <w:p w:rsidR="00E506D3" w:rsidRDefault="00A1386A">
      <w:pPr>
        <w:pStyle w:val="ListDash1"/>
        <w:rPr>
          <w:noProof/>
        </w:rPr>
      </w:pPr>
      <w:r>
        <w:rPr>
          <w:noProof/>
        </w:rPr>
        <w:sym w:font="Wingdings" w:char="F0FE"/>
      </w:r>
      <w:r>
        <w:rPr>
          <w:noProof/>
        </w:rPr>
        <w:tab/>
        <w:t xml:space="preserve">προβλέπει τη συγχρηματοδότηση από </w:t>
      </w:r>
      <w:r>
        <w:rPr>
          <w:noProof/>
        </w:rPr>
        <w:t>τρίτους που εκτιμάται παρακάτω:</w:t>
      </w:r>
    </w:p>
    <w:p w:rsidR="00E506D3" w:rsidRDefault="00A1386A">
      <w:pPr>
        <w:jc w:val="right"/>
        <w:rPr>
          <w:noProof/>
          <w:sz w:val="20"/>
        </w:rPr>
      </w:pPr>
      <w:r>
        <w:rPr>
          <w:noProof/>
          <w:sz w:val="20"/>
        </w:rPr>
        <w:t>Πιστώσεις σε εκατ. EUR (με 3 δεκαδικά ψηφία)</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506D3">
        <w:trPr>
          <w:cantSplit/>
          <w:jc w:val="center"/>
        </w:trPr>
        <w:tc>
          <w:tcPr>
            <w:tcW w:w="2340" w:type="dxa"/>
            <w:vAlign w:val="center"/>
          </w:tcPr>
          <w:p w:rsidR="00E506D3" w:rsidRDefault="00A1386A">
            <w:pPr>
              <w:spacing w:before="60" w:after="60"/>
              <w:jc w:val="center"/>
              <w:rPr>
                <w:b/>
                <w:noProof/>
                <w:sz w:val="20"/>
              </w:rPr>
            </w:pPr>
            <w:r>
              <w:rPr>
                <w:b/>
                <w:noProof/>
                <w:sz w:val="20"/>
              </w:rPr>
              <w:t>Έτη</w:t>
            </w:r>
          </w:p>
        </w:tc>
        <w:tc>
          <w:tcPr>
            <w:tcW w:w="964" w:type="dxa"/>
            <w:vAlign w:val="center"/>
          </w:tcPr>
          <w:p w:rsidR="00E506D3" w:rsidRDefault="00A1386A">
            <w:pPr>
              <w:jc w:val="center"/>
              <w:rPr>
                <w:noProof/>
                <w:sz w:val="20"/>
              </w:rPr>
            </w:pPr>
            <w:r>
              <w:rPr>
                <w:b/>
                <w:noProof/>
                <w:sz w:val="20"/>
              </w:rPr>
              <w:t>2021</w:t>
            </w:r>
          </w:p>
        </w:tc>
        <w:tc>
          <w:tcPr>
            <w:tcW w:w="964" w:type="dxa"/>
            <w:vAlign w:val="center"/>
          </w:tcPr>
          <w:p w:rsidR="00E506D3" w:rsidRDefault="00A1386A">
            <w:pPr>
              <w:jc w:val="center"/>
              <w:rPr>
                <w:b/>
                <w:noProof/>
                <w:sz w:val="20"/>
              </w:rPr>
            </w:pPr>
            <w:r>
              <w:rPr>
                <w:b/>
                <w:noProof/>
                <w:sz w:val="20"/>
              </w:rPr>
              <w:t>2022</w:t>
            </w:r>
          </w:p>
        </w:tc>
        <w:tc>
          <w:tcPr>
            <w:tcW w:w="964" w:type="dxa"/>
            <w:vAlign w:val="center"/>
          </w:tcPr>
          <w:p w:rsidR="00E506D3" w:rsidRDefault="00A1386A">
            <w:pPr>
              <w:jc w:val="center"/>
              <w:rPr>
                <w:b/>
                <w:noProof/>
                <w:sz w:val="20"/>
              </w:rPr>
            </w:pPr>
            <w:r>
              <w:rPr>
                <w:b/>
                <w:noProof/>
                <w:sz w:val="20"/>
              </w:rPr>
              <w:t>2023</w:t>
            </w:r>
          </w:p>
        </w:tc>
        <w:tc>
          <w:tcPr>
            <w:tcW w:w="964" w:type="dxa"/>
            <w:vAlign w:val="center"/>
          </w:tcPr>
          <w:p w:rsidR="00E506D3" w:rsidRDefault="00A1386A">
            <w:pPr>
              <w:jc w:val="center"/>
              <w:rPr>
                <w:b/>
                <w:noProof/>
                <w:sz w:val="20"/>
              </w:rPr>
            </w:pPr>
            <w:r>
              <w:rPr>
                <w:b/>
                <w:noProof/>
                <w:sz w:val="20"/>
              </w:rPr>
              <w:t>2024</w:t>
            </w:r>
          </w:p>
        </w:tc>
        <w:tc>
          <w:tcPr>
            <w:tcW w:w="964" w:type="dxa"/>
            <w:vAlign w:val="center"/>
          </w:tcPr>
          <w:p w:rsidR="00E506D3" w:rsidRDefault="00A1386A">
            <w:pPr>
              <w:jc w:val="center"/>
              <w:rPr>
                <w:b/>
                <w:noProof/>
                <w:sz w:val="20"/>
              </w:rPr>
            </w:pPr>
            <w:r>
              <w:rPr>
                <w:b/>
                <w:noProof/>
                <w:sz w:val="20"/>
              </w:rPr>
              <w:t>2025</w:t>
            </w:r>
          </w:p>
        </w:tc>
        <w:tc>
          <w:tcPr>
            <w:tcW w:w="964" w:type="dxa"/>
            <w:vAlign w:val="center"/>
          </w:tcPr>
          <w:p w:rsidR="00E506D3" w:rsidRDefault="00A1386A">
            <w:pPr>
              <w:jc w:val="center"/>
              <w:rPr>
                <w:b/>
                <w:noProof/>
                <w:sz w:val="20"/>
              </w:rPr>
            </w:pPr>
            <w:r>
              <w:rPr>
                <w:b/>
                <w:noProof/>
                <w:sz w:val="20"/>
              </w:rPr>
              <w:t>2026</w:t>
            </w:r>
          </w:p>
        </w:tc>
        <w:tc>
          <w:tcPr>
            <w:tcW w:w="964" w:type="dxa"/>
            <w:vAlign w:val="center"/>
          </w:tcPr>
          <w:p w:rsidR="00E506D3" w:rsidRDefault="00A1386A">
            <w:pPr>
              <w:jc w:val="center"/>
              <w:rPr>
                <w:b/>
                <w:noProof/>
                <w:sz w:val="20"/>
              </w:rPr>
            </w:pPr>
            <w:r>
              <w:rPr>
                <w:b/>
                <w:noProof/>
                <w:sz w:val="20"/>
              </w:rPr>
              <w:t>2027</w:t>
            </w:r>
          </w:p>
        </w:tc>
        <w:tc>
          <w:tcPr>
            <w:tcW w:w="1158" w:type="dxa"/>
            <w:vAlign w:val="center"/>
          </w:tcPr>
          <w:p w:rsidR="00E506D3" w:rsidRDefault="00A1386A">
            <w:pPr>
              <w:spacing w:before="60" w:after="60"/>
              <w:jc w:val="center"/>
              <w:rPr>
                <w:b/>
                <w:noProof/>
                <w:sz w:val="20"/>
              </w:rPr>
            </w:pPr>
            <w:r>
              <w:rPr>
                <w:b/>
                <w:noProof/>
                <w:sz w:val="20"/>
              </w:rPr>
              <w:t>ΣΥΝΟΛΟ</w:t>
            </w:r>
          </w:p>
        </w:tc>
      </w:tr>
      <w:tr w:rsidR="00E506D3">
        <w:trPr>
          <w:cantSplit/>
          <w:jc w:val="center"/>
        </w:trPr>
        <w:tc>
          <w:tcPr>
            <w:tcW w:w="2340" w:type="dxa"/>
          </w:tcPr>
          <w:p w:rsidR="00E506D3" w:rsidRDefault="00A1386A">
            <w:pPr>
              <w:rPr>
                <w:noProof/>
              </w:rPr>
            </w:pPr>
            <w:r>
              <w:rPr>
                <w:noProof/>
                <w:sz w:val="20"/>
              </w:rPr>
              <w:t>Προσδιορισμός του φορέα συγχρηματοδότησης</w:t>
            </w:r>
            <w:r>
              <w:rPr>
                <w:i/>
                <w:noProof/>
                <w:sz w:val="20"/>
              </w:rPr>
              <w:t xml:space="preserve"> </w:t>
            </w:r>
          </w:p>
        </w:tc>
        <w:tc>
          <w:tcPr>
            <w:tcW w:w="964" w:type="dxa"/>
            <w:vAlign w:val="center"/>
          </w:tcPr>
          <w:p w:rsidR="00E506D3" w:rsidRDefault="00A1386A">
            <w:pPr>
              <w:spacing w:before="60" w:after="60"/>
              <w:jc w:val="center"/>
              <w:rPr>
                <w:noProof/>
                <w:sz w:val="20"/>
              </w:rPr>
            </w:pPr>
            <w:r>
              <w:rPr>
                <w:noProof/>
                <w:sz w:val="20"/>
              </w:rPr>
              <w:t>Κράτος μέλος</w:t>
            </w:r>
          </w:p>
        </w:tc>
        <w:tc>
          <w:tcPr>
            <w:tcW w:w="964" w:type="dxa"/>
            <w:vAlign w:val="center"/>
          </w:tcPr>
          <w:p w:rsidR="00E506D3" w:rsidRDefault="00A1386A">
            <w:pPr>
              <w:spacing w:before="60" w:after="60"/>
              <w:jc w:val="center"/>
              <w:rPr>
                <w:noProof/>
                <w:sz w:val="20"/>
              </w:rPr>
            </w:pPr>
            <w:r>
              <w:rPr>
                <w:noProof/>
                <w:sz w:val="20"/>
              </w:rPr>
              <w:t>Κράτος μέλος</w:t>
            </w:r>
          </w:p>
        </w:tc>
        <w:tc>
          <w:tcPr>
            <w:tcW w:w="964" w:type="dxa"/>
            <w:vAlign w:val="center"/>
          </w:tcPr>
          <w:p w:rsidR="00E506D3" w:rsidRDefault="00A1386A">
            <w:pPr>
              <w:spacing w:before="60" w:after="60"/>
              <w:jc w:val="center"/>
              <w:rPr>
                <w:noProof/>
                <w:sz w:val="20"/>
              </w:rPr>
            </w:pPr>
            <w:r>
              <w:rPr>
                <w:noProof/>
                <w:sz w:val="20"/>
              </w:rPr>
              <w:t>Κράτος μέλος</w:t>
            </w:r>
          </w:p>
        </w:tc>
        <w:tc>
          <w:tcPr>
            <w:tcW w:w="964" w:type="dxa"/>
            <w:vAlign w:val="center"/>
          </w:tcPr>
          <w:p w:rsidR="00E506D3" w:rsidRDefault="00A1386A">
            <w:pPr>
              <w:spacing w:before="60" w:after="60"/>
              <w:jc w:val="center"/>
              <w:rPr>
                <w:noProof/>
                <w:sz w:val="20"/>
              </w:rPr>
            </w:pPr>
            <w:r>
              <w:rPr>
                <w:noProof/>
                <w:sz w:val="20"/>
              </w:rPr>
              <w:t>Κράτος μέλος</w:t>
            </w:r>
          </w:p>
        </w:tc>
        <w:tc>
          <w:tcPr>
            <w:tcW w:w="964" w:type="dxa"/>
            <w:vAlign w:val="center"/>
          </w:tcPr>
          <w:p w:rsidR="00E506D3" w:rsidRDefault="00A1386A">
            <w:pPr>
              <w:spacing w:before="60" w:after="60"/>
              <w:jc w:val="center"/>
              <w:rPr>
                <w:noProof/>
                <w:sz w:val="20"/>
              </w:rPr>
            </w:pPr>
            <w:r>
              <w:rPr>
                <w:noProof/>
                <w:sz w:val="20"/>
              </w:rPr>
              <w:t>Κράτος μέλος</w:t>
            </w:r>
          </w:p>
        </w:tc>
        <w:tc>
          <w:tcPr>
            <w:tcW w:w="964" w:type="dxa"/>
            <w:vAlign w:val="center"/>
          </w:tcPr>
          <w:p w:rsidR="00E506D3" w:rsidRDefault="00A1386A">
            <w:pPr>
              <w:spacing w:before="60" w:after="60"/>
              <w:jc w:val="center"/>
              <w:rPr>
                <w:noProof/>
                <w:sz w:val="20"/>
              </w:rPr>
            </w:pPr>
            <w:r>
              <w:rPr>
                <w:noProof/>
                <w:sz w:val="20"/>
              </w:rPr>
              <w:t>Κράτος μέλος</w:t>
            </w:r>
          </w:p>
        </w:tc>
        <w:tc>
          <w:tcPr>
            <w:tcW w:w="964" w:type="dxa"/>
            <w:vAlign w:val="center"/>
          </w:tcPr>
          <w:p w:rsidR="00E506D3" w:rsidRDefault="00A1386A">
            <w:pPr>
              <w:spacing w:before="60" w:after="60"/>
              <w:jc w:val="center"/>
              <w:rPr>
                <w:noProof/>
                <w:sz w:val="20"/>
              </w:rPr>
            </w:pPr>
            <w:r>
              <w:rPr>
                <w:noProof/>
                <w:sz w:val="20"/>
              </w:rPr>
              <w:t xml:space="preserve">Κράτος </w:t>
            </w:r>
            <w:r>
              <w:rPr>
                <w:noProof/>
                <w:sz w:val="20"/>
              </w:rPr>
              <w:t>μέλος</w:t>
            </w:r>
          </w:p>
        </w:tc>
        <w:tc>
          <w:tcPr>
            <w:tcW w:w="1158" w:type="dxa"/>
            <w:vAlign w:val="center"/>
          </w:tcPr>
          <w:p w:rsidR="00E506D3" w:rsidRDefault="00E506D3">
            <w:pPr>
              <w:spacing w:before="60" w:after="60"/>
              <w:jc w:val="center"/>
              <w:rPr>
                <w:noProof/>
                <w:sz w:val="20"/>
              </w:rPr>
            </w:pPr>
          </w:p>
        </w:tc>
      </w:tr>
      <w:tr w:rsidR="00E506D3">
        <w:trPr>
          <w:cantSplit/>
          <w:jc w:val="center"/>
        </w:trPr>
        <w:tc>
          <w:tcPr>
            <w:tcW w:w="2340" w:type="dxa"/>
          </w:tcPr>
          <w:p w:rsidR="00E506D3" w:rsidRDefault="00A1386A">
            <w:pPr>
              <w:spacing w:before="60" w:after="60"/>
              <w:jc w:val="left"/>
              <w:rPr>
                <w:noProof/>
                <w:sz w:val="20"/>
              </w:rPr>
            </w:pPr>
            <w:r>
              <w:rPr>
                <w:noProof/>
                <w:sz w:val="20"/>
              </w:rPr>
              <w:t xml:space="preserve">ΣΥΝΟΛΟ συγχρηματοδοτούμενων πιστώσεων </w:t>
            </w:r>
          </w:p>
        </w:tc>
        <w:tc>
          <w:tcPr>
            <w:tcW w:w="964" w:type="dxa"/>
            <w:vAlign w:val="center"/>
          </w:tcPr>
          <w:p w:rsidR="00E506D3" w:rsidRDefault="00A1386A">
            <w:pPr>
              <w:spacing w:before="60" w:after="60"/>
              <w:jc w:val="center"/>
              <w:rPr>
                <w:noProof/>
                <w:sz w:val="20"/>
              </w:rPr>
            </w:pPr>
            <w:r>
              <w:rPr>
                <w:noProof/>
                <w:sz w:val="20"/>
              </w:rPr>
              <w:t>Προς επιβεβαίωση</w:t>
            </w:r>
          </w:p>
        </w:tc>
        <w:tc>
          <w:tcPr>
            <w:tcW w:w="964" w:type="dxa"/>
            <w:vAlign w:val="center"/>
          </w:tcPr>
          <w:p w:rsidR="00E506D3" w:rsidRDefault="00A1386A">
            <w:pPr>
              <w:spacing w:before="60" w:after="60"/>
              <w:jc w:val="center"/>
              <w:rPr>
                <w:noProof/>
                <w:sz w:val="20"/>
              </w:rPr>
            </w:pPr>
            <w:r>
              <w:rPr>
                <w:noProof/>
                <w:sz w:val="20"/>
              </w:rPr>
              <w:t>Προς επιβεβαίωση</w:t>
            </w:r>
          </w:p>
        </w:tc>
        <w:tc>
          <w:tcPr>
            <w:tcW w:w="964" w:type="dxa"/>
            <w:vAlign w:val="center"/>
          </w:tcPr>
          <w:p w:rsidR="00E506D3" w:rsidRDefault="00A1386A">
            <w:pPr>
              <w:spacing w:before="60" w:after="60"/>
              <w:jc w:val="center"/>
              <w:rPr>
                <w:noProof/>
                <w:sz w:val="20"/>
              </w:rPr>
            </w:pPr>
            <w:r>
              <w:rPr>
                <w:noProof/>
                <w:sz w:val="20"/>
              </w:rPr>
              <w:t>Προς επιβεβαίωση</w:t>
            </w:r>
          </w:p>
        </w:tc>
        <w:tc>
          <w:tcPr>
            <w:tcW w:w="964" w:type="dxa"/>
            <w:vAlign w:val="center"/>
          </w:tcPr>
          <w:p w:rsidR="00E506D3" w:rsidRDefault="00A1386A">
            <w:pPr>
              <w:spacing w:before="60" w:after="60"/>
              <w:jc w:val="center"/>
              <w:rPr>
                <w:noProof/>
                <w:sz w:val="20"/>
              </w:rPr>
            </w:pPr>
            <w:r>
              <w:rPr>
                <w:noProof/>
                <w:sz w:val="20"/>
              </w:rPr>
              <w:t>Προς επιβεβαίωση</w:t>
            </w:r>
          </w:p>
        </w:tc>
        <w:tc>
          <w:tcPr>
            <w:tcW w:w="964" w:type="dxa"/>
            <w:vAlign w:val="center"/>
          </w:tcPr>
          <w:p w:rsidR="00E506D3" w:rsidRDefault="00A1386A">
            <w:pPr>
              <w:spacing w:before="60" w:after="60"/>
              <w:jc w:val="center"/>
              <w:rPr>
                <w:noProof/>
                <w:sz w:val="20"/>
              </w:rPr>
            </w:pPr>
            <w:r>
              <w:rPr>
                <w:noProof/>
                <w:sz w:val="20"/>
              </w:rPr>
              <w:t>Προς επιβεβαίωση</w:t>
            </w:r>
          </w:p>
        </w:tc>
        <w:tc>
          <w:tcPr>
            <w:tcW w:w="964" w:type="dxa"/>
            <w:vAlign w:val="center"/>
          </w:tcPr>
          <w:p w:rsidR="00E506D3" w:rsidRDefault="00A1386A">
            <w:pPr>
              <w:spacing w:before="60" w:after="60"/>
              <w:jc w:val="center"/>
              <w:rPr>
                <w:noProof/>
                <w:sz w:val="20"/>
              </w:rPr>
            </w:pPr>
            <w:r>
              <w:rPr>
                <w:noProof/>
                <w:sz w:val="20"/>
              </w:rPr>
              <w:t>Προς επιβεβαίωση</w:t>
            </w:r>
          </w:p>
        </w:tc>
        <w:tc>
          <w:tcPr>
            <w:tcW w:w="964" w:type="dxa"/>
            <w:vAlign w:val="center"/>
          </w:tcPr>
          <w:p w:rsidR="00E506D3" w:rsidRDefault="00A1386A">
            <w:pPr>
              <w:spacing w:before="60" w:after="60"/>
              <w:jc w:val="center"/>
              <w:rPr>
                <w:noProof/>
                <w:sz w:val="20"/>
              </w:rPr>
            </w:pPr>
            <w:r>
              <w:rPr>
                <w:noProof/>
                <w:sz w:val="20"/>
              </w:rPr>
              <w:t>Προς επιβεβαίωση</w:t>
            </w:r>
          </w:p>
        </w:tc>
        <w:tc>
          <w:tcPr>
            <w:tcW w:w="1158" w:type="dxa"/>
            <w:vAlign w:val="center"/>
          </w:tcPr>
          <w:p w:rsidR="00E506D3" w:rsidRDefault="00E506D3">
            <w:pPr>
              <w:spacing w:before="60" w:after="60"/>
              <w:jc w:val="center"/>
              <w:rPr>
                <w:noProof/>
                <w:sz w:val="20"/>
              </w:rPr>
            </w:pPr>
          </w:p>
        </w:tc>
      </w:tr>
    </w:tbl>
    <w:p w:rsidR="00E506D3" w:rsidRDefault="00E506D3">
      <w:pPr>
        <w:rPr>
          <w:noProof/>
        </w:rPr>
      </w:pPr>
    </w:p>
    <w:p w:rsidR="00E506D3" w:rsidRDefault="00A1386A">
      <w:pPr>
        <w:pStyle w:val="ManualHeading2"/>
        <w:rPr>
          <w:bCs/>
          <w:noProof/>
          <w:szCs w:val="24"/>
        </w:rPr>
      </w:pPr>
      <w:r>
        <w:t>3.3.</w:t>
      </w:r>
      <w:r>
        <w:tab/>
      </w:r>
      <w:r>
        <w:rPr>
          <w:noProof/>
        </w:rPr>
        <w:t>Εκτιμώμενες επιπτώσεις στα έσοδα</w:t>
      </w:r>
    </w:p>
    <w:p w:rsidR="00E506D3" w:rsidRDefault="00A1386A">
      <w:pPr>
        <w:pStyle w:val="ListDash1"/>
        <w:rPr>
          <w:noProof/>
        </w:rPr>
      </w:pPr>
      <w:r>
        <w:rPr>
          <w:noProof/>
        </w:rPr>
        <w:sym w:font="Wingdings" w:char="F0FE"/>
      </w:r>
      <w:r>
        <w:rPr>
          <w:noProof/>
        </w:rPr>
        <w:tab/>
        <w:t xml:space="preserve">Η πρόταση/πρωτοβουλία δεν έχει δημοσιονομικές </w:t>
      </w:r>
      <w:r>
        <w:rPr>
          <w:noProof/>
        </w:rPr>
        <w:t>επιπτώσεις στα έσοδα.</w:t>
      </w:r>
    </w:p>
    <w:p w:rsidR="00E506D3" w:rsidRDefault="00A1386A">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rsidR="00E506D3" w:rsidRDefault="00A1386A">
      <w:pPr>
        <w:pStyle w:val="ListNumberLevel3"/>
        <w:tabs>
          <w:tab w:val="clear" w:pos="2126"/>
          <w:tab w:val="num" w:pos="1843"/>
        </w:tabs>
        <w:rPr>
          <w:noProof/>
        </w:rPr>
      </w:pPr>
      <w:r>
        <w:rPr>
          <w:noProof/>
        </w:rPr>
        <w:sym w:font="Wingdings" w:char="F0A8"/>
      </w:r>
      <w:r>
        <w:rPr>
          <w:noProof/>
        </w:rPr>
        <w:tab/>
        <w:t>στους ιδίους πόρους</w:t>
      </w:r>
    </w:p>
    <w:p w:rsidR="00E506D3" w:rsidRDefault="00A1386A">
      <w:pPr>
        <w:pStyle w:val="ListNumberLevel3"/>
        <w:tabs>
          <w:tab w:val="clear" w:pos="2126"/>
          <w:tab w:val="num" w:pos="1843"/>
        </w:tabs>
        <w:rPr>
          <w:noProof/>
        </w:rPr>
      </w:pPr>
      <w:r>
        <w:rPr>
          <w:noProof/>
        </w:rPr>
        <w:sym w:font="Wingdings" w:char="F0A8"/>
      </w:r>
      <w:r>
        <w:rPr>
          <w:noProof/>
        </w:rPr>
        <w:tab/>
        <w:t xml:space="preserve"> στα διάφορα έσοδα</w:t>
      </w:r>
    </w:p>
    <w:p w:rsidR="00E506D3" w:rsidRDefault="00A1386A">
      <w:pPr>
        <w:jc w:val="right"/>
        <w:rPr>
          <w:noProof/>
        </w:rPr>
      </w:pPr>
      <w:r>
        <w:rPr>
          <w:noProof/>
        </w:rPr>
        <w:t xml:space="preserve"> Να αναφερθεί αν τα έσοδα προορίζονται για γραμμές δαπανών </w:t>
      </w:r>
      <w:r>
        <w:rPr>
          <w:noProof/>
        </w:rPr>
        <w:sym w:font="Wingdings" w:char="F0A8"/>
      </w:r>
      <w:r>
        <w:rPr>
          <w:noProof/>
        </w:rPr>
        <w:tab/>
      </w:r>
    </w:p>
    <w:p w:rsidR="00E506D3" w:rsidRDefault="00A1386A">
      <w:pPr>
        <w:jc w:val="right"/>
        <w:rPr>
          <w:i/>
          <w:noProof/>
          <w:sz w:val="20"/>
        </w:rPr>
      </w:pPr>
      <w:r>
        <w:rPr>
          <w:noProof/>
        </w:rPr>
        <w:t>σε εκατ. EUR (με τρία δεκαδικά ψηφία)</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E506D3">
        <w:trPr>
          <w:trHeight w:val="388"/>
          <w:jc w:val="center"/>
        </w:trPr>
        <w:tc>
          <w:tcPr>
            <w:tcW w:w="2144" w:type="dxa"/>
            <w:vMerge w:val="restart"/>
            <w:vAlign w:val="center"/>
          </w:tcPr>
          <w:p w:rsidR="00E506D3" w:rsidRDefault="00A1386A">
            <w:pPr>
              <w:spacing w:before="40" w:after="40"/>
              <w:rPr>
                <w:noProof/>
                <w:sz w:val="18"/>
              </w:rPr>
            </w:pPr>
            <w:r>
              <w:rPr>
                <w:noProof/>
                <w:sz w:val="18"/>
              </w:rPr>
              <w:t>Γραμμή εσόδων του προϋπολογισμού</w:t>
            </w:r>
          </w:p>
        </w:tc>
        <w:tc>
          <w:tcPr>
            <w:tcW w:w="7200" w:type="dxa"/>
            <w:gridSpan w:val="7"/>
            <w:vAlign w:val="center"/>
          </w:tcPr>
          <w:p w:rsidR="00E506D3" w:rsidRDefault="00A1386A">
            <w:pPr>
              <w:jc w:val="center"/>
              <w:rPr>
                <w:noProof/>
                <w:sz w:val="18"/>
              </w:rPr>
            </w:pPr>
            <w:r>
              <w:rPr>
                <w:noProof/>
                <w:sz w:val="18"/>
              </w:rPr>
              <w:t>Επιπτώσεις της πρότασης/πρωτοβουλίας</w:t>
            </w:r>
            <w:r>
              <w:rPr>
                <w:rStyle w:val="FootnoteReference"/>
                <w:noProof/>
                <w:sz w:val="18"/>
              </w:rPr>
              <w:footnoteReference w:id="47"/>
            </w:r>
          </w:p>
        </w:tc>
      </w:tr>
      <w:tr w:rsidR="00E506D3">
        <w:trPr>
          <w:trHeight w:val="388"/>
          <w:jc w:val="center"/>
        </w:trPr>
        <w:tc>
          <w:tcPr>
            <w:tcW w:w="2144" w:type="dxa"/>
            <w:vMerge/>
          </w:tcPr>
          <w:p w:rsidR="00E506D3" w:rsidRDefault="00E506D3">
            <w:pPr>
              <w:spacing w:before="40" w:after="40"/>
              <w:rPr>
                <w:noProof/>
                <w:sz w:val="18"/>
              </w:rPr>
            </w:pPr>
          </w:p>
        </w:tc>
        <w:tc>
          <w:tcPr>
            <w:tcW w:w="1080" w:type="dxa"/>
            <w:vAlign w:val="center"/>
          </w:tcPr>
          <w:p w:rsidR="00E506D3" w:rsidRDefault="00A1386A">
            <w:pPr>
              <w:jc w:val="center"/>
              <w:rPr>
                <w:noProof/>
                <w:sz w:val="18"/>
              </w:rPr>
            </w:pPr>
            <w:r>
              <w:rPr>
                <w:b/>
                <w:noProof/>
                <w:sz w:val="20"/>
              </w:rPr>
              <w:t>2021</w:t>
            </w:r>
          </w:p>
        </w:tc>
        <w:tc>
          <w:tcPr>
            <w:tcW w:w="900" w:type="dxa"/>
            <w:vAlign w:val="center"/>
          </w:tcPr>
          <w:p w:rsidR="00E506D3" w:rsidRDefault="00A1386A">
            <w:pPr>
              <w:jc w:val="center"/>
              <w:rPr>
                <w:b/>
                <w:noProof/>
                <w:sz w:val="20"/>
              </w:rPr>
            </w:pPr>
            <w:r>
              <w:rPr>
                <w:b/>
                <w:noProof/>
                <w:sz w:val="20"/>
              </w:rPr>
              <w:t>2022</w:t>
            </w:r>
          </w:p>
        </w:tc>
        <w:tc>
          <w:tcPr>
            <w:tcW w:w="900" w:type="dxa"/>
            <w:vAlign w:val="center"/>
          </w:tcPr>
          <w:p w:rsidR="00E506D3" w:rsidRDefault="00A1386A">
            <w:pPr>
              <w:jc w:val="center"/>
              <w:rPr>
                <w:b/>
                <w:noProof/>
                <w:sz w:val="20"/>
              </w:rPr>
            </w:pPr>
            <w:r>
              <w:rPr>
                <w:b/>
                <w:noProof/>
                <w:sz w:val="20"/>
              </w:rPr>
              <w:t>2023</w:t>
            </w:r>
          </w:p>
        </w:tc>
        <w:tc>
          <w:tcPr>
            <w:tcW w:w="1080" w:type="dxa"/>
            <w:vAlign w:val="center"/>
          </w:tcPr>
          <w:p w:rsidR="00E506D3" w:rsidRDefault="00A1386A">
            <w:pPr>
              <w:jc w:val="center"/>
              <w:rPr>
                <w:b/>
                <w:noProof/>
                <w:sz w:val="20"/>
              </w:rPr>
            </w:pPr>
            <w:r>
              <w:rPr>
                <w:b/>
                <w:noProof/>
                <w:sz w:val="20"/>
              </w:rPr>
              <w:t>2024</w:t>
            </w:r>
          </w:p>
        </w:tc>
        <w:tc>
          <w:tcPr>
            <w:tcW w:w="1080" w:type="dxa"/>
            <w:vAlign w:val="center"/>
          </w:tcPr>
          <w:p w:rsidR="00E506D3" w:rsidRDefault="00A1386A">
            <w:pPr>
              <w:jc w:val="center"/>
              <w:rPr>
                <w:b/>
                <w:noProof/>
                <w:sz w:val="20"/>
              </w:rPr>
            </w:pPr>
            <w:r>
              <w:rPr>
                <w:b/>
                <w:noProof/>
                <w:sz w:val="20"/>
              </w:rPr>
              <w:t>2025</w:t>
            </w:r>
          </w:p>
        </w:tc>
        <w:tc>
          <w:tcPr>
            <w:tcW w:w="1080" w:type="dxa"/>
            <w:vAlign w:val="center"/>
          </w:tcPr>
          <w:p w:rsidR="00E506D3" w:rsidRDefault="00A1386A">
            <w:pPr>
              <w:jc w:val="center"/>
              <w:rPr>
                <w:b/>
                <w:noProof/>
                <w:sz w:val="20"/>
              </w:rPr>
            </w:pPr>
            <w:r>
              <w:rPr>
                <w:b/>
                <w:noProof/>
                <w:sz w:val="20"/>
              </w:rPr>
              <w:t>2026</w:t>
            </w:r>
          </w:p>
        </w:tc>
        <w:tc>
          <w:tcPr>
            <w:tcW w:w="1080" w:type="dxa"/>
            <w:vAlign w:val="center"/>
          </w:tcPr>
          <w:p w:rsidR="00E506D3" w:rsidRDefault="00A1386A">
            <w:pPr>
              <w:jc w:val="center"/>
              <w:rPr>
                <w:b/>
                <w:noProof/>
                <w:sz w:val="20"/>
              </w:rPr>
            </w:pPr>
            <w:r>
              <w:rPr>
                <w:b/>
                <w:noProof/>
                <w:sz w:val="20"/>
              </w:rPr>
              <w:t>2027</w:t>
            </w:r>
          </w:p>
        </w:tc>
      </w:tr>
      <w:tr w:rsidR="00E506D3">
        <w:trPr>
          <w:trHeight w:val="388"/>
          <w:jc w:val="center"/>
        </w:trPr>
        <w:tc>
          <w:tcPr>
            <w:tcW w:w="2144" w:type="dxa"/>
            <w:vAlign w:val="center"/>
          </w:tcPr>
          <w:p w:rsidR="00E506D3" w:rsidRDefault="00A1386A">
            <w:pPr>
              <w:spacing w:before="40" w:after="40"/>
              <w:rPr>
                <w:noProof/>
                <w:sz w:val="18"/>
              </w:rPr>
            </w:pPr>
            <w:r>
              <w:rPr>
                <w:noProof/>
                <w:sz w:val="18"/>
              </w:rPr>
              <w:t>Άρθρο ………….</w:t>
            </w:r>
          </w:p>
        </w:tc>
        <w:tc>
          <w:tcPr>
            <w:tcW w:w="1080" w:type="dxa"/>
          </w:tcPr>
          <w:p w:rsidR="00E506D3" w:rsidRDefault="00E506D3">
            <w:pPr>
              <w:spacing w:beforeLines="40" w:before="96" w:afterLines="40" w:after="96"/>
              <w:jc w:val="center"/>
              <w:rPr>
                <w:noProof/>
                <w:sz w:val="18"/>
              </w:rPr>
            </w:pPr>
          </w:p>
        </w:tc>
        <w:tc>
          <w:tcPr>
            <w:tcW w:w="900" w:type="dxa"/>
          </w:tcPr>
          <w:p w:rsidR="00E506D3" w:rsidRDefault="00E506D3">
            <w:pPr>
              <w:spacing w:beforeLines="40" w:before="96" w:afterLines="40" w:after="96"/>
              <w:jc w:val="center"/>
              <w:rPr>
                <w:noProof/>
                <w:sz w:val="18"/>
              </w:rPr>
            </w:pPr>
          </w:p>
        </w:tc>
        <w:tc>
          <w:tcPr>
            <w:tcW w:w="900" w:type="dxa"/>
          </w:tcPr>
          <w:p w:rsidR="00E506D3" w:rsidRDefault="00E506D3">
            <w:pPr>
              <w:spacing w:beforeLines="40" w:before="96" w:afterLines="40" w:after="96"/>
              <w:jc w:val="center"/>
              <w:rPr>
                <w:noProof/>
                <w:sz w:val="18"/>
              </w:rPr>
            </w:pPr>
          </w:p>
        </w:tc>
        <w:tc>
          <w:tcPr>
            <w:tcW w:w="1080" w:type="dxa"/>
          </w:tcPr>
          <w:p w:rsidR="00E506D3" w:rsidRDefault="00E506D3">
            <w:pPr>
              <w:spacing w:beforeLines="40" w:before="96" w:afterLines="40" w:after="96"/>
              <w:jc w:val="center"/>
              <w:rPr>
                <w:noProof/>
                <w:sz w:val="18"/>
              </w:rPr>
            </w:pPr>
          </w:p>
        </w:tc>
        <w:tc>
          <w:tcPr>
            <w:tcW w:w="1080" w:type="dxa"/>
          </w:tcPr>
          <w:p w:rsidR="00E506D3" w:rsidRDefault="00E506D3">
            <w:pPr>
              <w:spacing w:beforeLines="40" w:before="96" w:afterLines="40" w:after="96"/>
              <w:jc w:val="center"/>
              <w:rPr>
                <w:noProof/>
                <w:sz w:val="18"/>
              </w:rPr>
            </w:pPr>
          </w:p>
        </w:tc>
        <w:tc>
          <w:tcPr>
            <w:tcW w:w="1080" w:type="dxa"/>
          </w:tcPr>
          <w:p w:rsidR="00E506D3" w:rsidRDefault="00E506D3">
            <w:pPr>
              <w:spacing w:beforeLines="40" w:before="96" w:afterLines="40" w:after="96"/>
              <w:jc w:val="center"/>
              <w:rPr>
                <w:noProof/>
                <w:sz w:val="18"/>
              </w:rPr>
            </w:pPr>
          </w:p>
        </w:tc>
        <w:tc>
          <w:tcPr>
            <w:tcW w:w="1080" w:type="dxa"/>
          </w:tcPr>
          <w:p w:rsidR="00E506D3" w:rsidRDefault="00E506D3">
            <w:pPr>
              <w:spacing w:beforeLines="40" w:before="96" w:afterLines="40" w:after="96"/>
              <w:jc w:val="center"/>
              <w:rPr>
                <w:noProof/>
                <w:sz w:val="18"/>
              </w:rPr>
            </w:pPr>
          </w:p>
        </w:tc>
      </w:tr>
    </w:tbl>
    <w:p w:rsidR="00E506D3" w:rsidRDefault="00A1386A">
      <w:pPr>
        <w:pStyle w:val="Text1"/>
        <w:rPr>
          <w:noProof/>
          <w:sz w:val="20"/>
        </w:rPr>
      </w:pPr>
      <w:r>
        <w:rPr>
          <w:noProof/>
          <w:sz w:val="20"/>
        </w:rPr>
        <w:t>Ως προς τα έσοδα «για ειδικό προορισμό», να προσδιοριστούν οι γραμμές δαπανών του προϋπολογισμού που επηρεάζονται.</w:t>
      </w:r>
    </w:p>
    <w:p w:rsidR="00E506D3" w:rsidRDefault="00E506D3">
      <w:pPr>
        <w:pStyle w:val="Text1"/>
        <w:pBdr>
          <w:top w:val="single" w:sz="4" w:space="1" w:color="auto"/>
          <w:left w:val="single" w:sz="4" w:space="4" w:color="auto"/>
          <w:bottom w:val="single" w:sz="4" w:space="1" w:color="auto"/>
          <w:right w:val="single" w:sz="4" w:space="4" w:color="auto"/>
        </w:pBdr>
        <w:rPr>
          <w:noProof/>
        </w:rPr>
      </w:pPr>
    </w:p>
    <w:p w:rsidR="00E506D3" w:rsidRDefault="00A1386A">
      <w:pPr>
        <w:pStyle w:val="Text1"/>
        <w:rPr>
          <w:noProof/>
          <w:sz w:val="20"/>
        </w:rPr>
      </w:pPr>
      <w:r>
        <w:rPr>
          <w:noProof/>
          <w:sz w:val="20"/>
        </w:rPr>
        <w:t xml:space="preserve">Άλλες </w:t>
      </w:r>
      <w:r>
        <w:rPr>
          <w:noProof/>
          <w:sz w:val="20"/>
        </w:rPr>
        <w:t>παρατηρήσεις (π.χ. μέθοδος/τύπος για τον υπολογισμό των επιπτώσεων στα έσοδα ή τυχόν άλλες πληροφορίες).</w:t>
      </w:r>
    </w:p>
    <w:p w:rsidR="00E506D3" w:rsidRDefault="00E506D3">
      <w:pPr>
        <w:pStyle w:val="Text1"/>
        <w:pBdr>
          <w:top w:val="single" w:sz="4" w:space="1" w:color="auto"/>
          <w:left w:val="single" w:sz="4" w:space="4" w:color="auto"/>
          <w:bottom w:val="single" w:sz="4" w:space="1" w:color="auto"/>
          <w:right w:val="single" w:sz="4" w:space="4" w:color="auto"/>
        </w:pBdr>
        <w:rPr>
          <w:noProof/>
        </w:rPr>
      </w:pPr>
    </w:p>
    <w:sectPr w:rsidR="00E506D3" w:rsidSect="00A1386A">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D3" w:rsidRDefault="00A1386A">
      <w:pPr>
        <w:spacing w:before="0" w:after="0"/>
      </w:pPr>
      <w:r>
        <w:separator/>
      </w:r>
    </w:p>
  </w:endnote>
  <w:endnote w:type="continuationSeparator" w:id="0">
    <w:p w:rsidR="00E506D3" w:rsidRDefault="00A1386A">
      <w:pPr>
        <w:spacing w:before="0" w:after="0"/>
      </w:pPr>
      <w:r>
        <w:continuationSeparator/>
      </w:r>
    </w:p>
  </w:endnote>
  <w:endnote w:type="continuationNotice" w:id="1">
    <w:p w:rsidR="00E506D3" w:rsidRDefault="00E506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 Square Sans Cond Pro">
    <w:panose1 w:val="020B0506040000020004"/>
    <w:charset w:val="00"/>
    <w:family w:val="swiss"/>
    <w:pitch w:val="variable"/>
    <w:sig w:usb0="A00002BF" w:usb1="500000DB" w:usb2="00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Landscape"/>
      <w:rPr>
        <w:rFonts w:ascii="Arial" w:hAnsi="Arial" w:cs="Arial"/>
        <w:b/>
        <w:sz w:val="48"/>
      </w:rPr>
    </w:pPr>
    <w:r w:rsidRPr="00A1386A">
      <w:rPr>
        <w:rFonts w:ascii="Arial" w:hAnsi="Arial" w:cs="Arial"/>
        <w:b/>
        <w:sz w:val="48"/>
      </w:rPr>
      <w:t>EL</w:t>
    </w:r>
    <w:r w:rsidRPr="00A1386A">
      <w:rPr>
        <w:rFonts w:ascii="Arial" w:hAnsi="Arial" w:cs="Arial"/>
        <w:b/>
        <w:sz w:val="48"/>
      </w:rPr>
      <w:tab/>
    </w:r>
    <w:r>
      <w:fldChar w:fldCharType="begin"/>
    </w:r>
    <w:r>
      <w:instrText xml:space="preserve"> PAGE  \* MERGEFORMAT </w:instrText>
    </w:r>
    <w:r>
      <w:fldChar w:fldCharType="separate"/>
    </w:r>
    <w:r>
      <w:rPr>
        <w:noProof/>
      </w:rPr>
      <w:t>58</w:t>
    </w:r>
    <w:r>
      <w:fldChar w:fldCharType="end"/>
    </w:r>
    <w:r>
      <w:tab/>
    </w:r>
    <w:r w:rsidRPr="00A1386A">
      <w:tab/>
    </w:r>
    <w:r w:rsidRPr="00A1386A">
      <w:rPr>
        <w:rFonts w:ascii="Arial" w:hAnsi="Arial" w:cs="Arial"/>
        <w:b/>
        <w:sz w:val="48"/>
      </w:rPr>
      <w:t>EL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D3" w:rsidRPr="00A1386A" w:rsidRDefault="00A1386A" w:rsidP="00A1386A">
    <w:pPr>
      <w:pStyle w:val="Footer"/>
      <w:rPr>
        <w:rFonts w:ascii="Arial" w:hAnsi="Arial" w:cs="Arial"/>
        <w:b/>
        <w:sz w:val="48"/>
      </w:rPr>
    </w:pPr>
    <w:r w:rsidRPr="00A1386A">
      <w:rPr>
        <w:rFonts w:ascii="Arial" w:hAnsi="Arial" w:cs="Arial"/>
        <w:b/>
        <w:sz w:val="48"/>
      </w:rPr>
      <w:t>EL</w:t>
    </w:r>
    <w:r w:rsidRPr="00A1386A">
      <w:rPr>
        <w:rFonts w:ascii="Arial" w:hAnsi="Arial" w:cs="Arial"/>
        <w:b/>
        <w:sz w:val="48"/>
      </w:rPr>
      <w:tab/>
    </w:r>
    <w:r>
      <w:fldChar w:fldCharType="begin"/>
    </w:r>
    <w:r>
      <w:instrText xml:space="preserve"> PAGE  \* MERGEFORMAT </w:instrText>
    </w:r>
    <w:r>
      <w:fldChar w:fldCharType="separate"/>
    </w:r>
    <w:r>
      <w:rPr>
        <w:noProof/>
      </w:rPr>
      <w:t>62</w:t>
    </w:r>
    <w:r>
      <w:fldChar w:fldCharType="end"/>
    </w:r>
    <w:r>
      <w:tab/>
    </w:r>
    <w:r w:rsidRPr="00A1386A">
      <w:tab/>
    </w:r>
    <w:r w:rsidRPr="00A1386A">
      <w:rPr>
        <w:rFonts w:ascii="Arial" w:hAnsi="Arial" w:cs="Arial"/>
        <w:b/>
        <w:sz w:val="48"/>
      </w:rPr>
      <w:t>EL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
      <w:rPr>
        <w:rFonts w:ascii="Arial" w:hAnsi="Arial" w:cs="Arial"/>
        <w:b/>
        <w:sz w:val="48"/>
      </w:rPr>
    </w:pPr>
    <w:r w:rsidRPr="00A1386A">
      <w:rPr>
        <w:rFonts w:ascii="Arial" w:hAnsi="Arial" w:cs="Arial"/>
        <w:b/>
        <w:sz w:val="48"/>
      </w:rPr>
      <w:t>EL</w:t>
    </w:r>
    <w:r w:rsidRPr="00A1386A">
      <w:rPr>
        <w:rFonts w:ascii="Arial" w:hAnsi="Arial" w:cs="Arial"/>
        <w:b/>
        <w:sz w:val="48"/>
      </w:rPr>
      <w:tab/>
    </w:r>
    <w:r w:rsidRPr="00A1386A">
      <w:rPr>
        <w:rFonts w:ascii="Arial" w:hAnsi="Arial" w:cs="Arial"/>
        <w:b/>
        <w:sz w:val="48"/>
      </w:rPr>
      <w:tab/>
    </w:r>
    <w:r w:rsidRPr="00A1386A">
      <w:tab/>
    </w:r>
    <w:r w:rsidRPr="00A1386A">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
      <w:rPr>
        <w:rFonts w:ascii="Arial" w:hAnsi="Arial" w:cs="Arial"/>
        <w:b/>
        <w:sz w:val="48"/>
      </w:rPr>
    </w:pPr>
    <w:r w:rsidRPr="00A1386A">
      <w:rPr>
        <w:rFonts w:ascii="Arial" w:hAnsi="Arial" w:cs="Arial"/>
        <w:b/>
        <w:sz w:val="48"/>
      </w:rPr>
      <w:t>EL</w:t>
    </w:r>
    <w:r w:rsidRPr="00A1386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A1386A">
      <w:tab/>
    </w:r>
    <w:r w:rsidRPr="00A1386A">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
      <w:rPr>
        <w:rFonts w:ascii="Arial" w:hAnsi="Arial" w:cs="Arial"/>
        <w:b/>
        <w:sz w:val="48"/>
      </w:rPr>
    </w:pPr>
    <w:r w:rsidRPr="00A1386A">
      <w:rPr>
        <w:rFonts w:ascii="Arial" w:hAnsi="Arial" w:cs="Arial"/>
        <w:b/>
        <w:sz w:val="48"/>
      </w:rPr>
      <w:t>EL</w:t>
    </w:r>
    <w:r w:rsidRPr="00A1386A">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rsidRPr="00A1386A">
      <w:tab/>
    </w:r>
    <w:r w:rsidRPr="00A1386A">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
      <w:rPr>
        <w:rFonts w:ascii="Arial" w:hAnsi="Arial" w:cs="Arial"/>
        <w:b/>
        <w:sz w:val="48"/>
      </w:rPr>
    </w:pPr>
    <w:r w:rsidRPr="00A1386A">
      <w:rPr>
        <w:rFonts w:ascii="Arial" w:hAnsi="Arial" w:cs="Arial"/>
        <w:b/>
        <w:sz w:val="48"/>
      </w:rPr>
      <w:t>EL</w:t>
    </w:r>
    <w:r w:rsidRPr="00A1386A">
      <w:rPr>
        <w:rFonts w:ascii="Arial" w:hAnsi="Arial" w:cs="Arial"/>
        <w:b/>
        <w:sz w:val="48"/>
      </w:rPr>
      <w:tab/>
    </w:r>
    <w:r>
      <w:fldChar w:fldCharType="begin"/>
    </w:r>
    <w:r>
      <w:instrText xml:space="preserve"> PAGE  \* MERGEFORMAT </w:instrText>
    </w:r>
    <w:r>
      <w:fldChar w:fldCharType="separate"/>
    </w:r>
    <w:r>
      <w:rPr>
        <w:noProof/>
      </w:rPr>
      <w:t>56</w:t>
    </w:r>
    <w:r>
      <w:fldChar w:fldCharType="end"/>
    </w:r>
    <w:r>
      <w:tab/>
    </w:r>
    <w:r w:rsidRPr="00A1386A">
      <w:tab/>
    </w:r>
    <w:r w:rsidRPr="00A1386A">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D3" w:rsidRDefault="00A1386A">
      <w:pPr>
        <w:spacing w:before="0" w:after="0"/>
      </w:pPr>
      <w:r>
        <w:separator/>
      </w:r>
    </w:p>
  </w:footnote>
  <w:footnote w:type="continuationSeparator" w:id="0">
    <w:p w:rsidR="00E506D3" w:rsidRDefault="00A1386A">
      <w:pPr>
        <w:spacing w:before="0" w:after="0"/>
      </w:pPr>
      <w:r>
        <w:continuationSeparator/>
      </w:r>
    </w:p>
  </w:footnote>
  <w:footnote w:type="continuationNotice" w:id="1">
    <w:p w:rsidR="00E506D3" w:rsidRDefault="00E506D3">
      <w:pPr>
        <w:spacing w:before="0" w:after="0"/>
      </w:pPr>
    </w:p>
  </w:footnote>
  <w:footnote w:id="2">
    <w:p w:rsidR="00E506D3" w:rsidRDefault="00A1386A">
      <w:pPr>
        <w:pStyle w:val="FootnoteText"/>
      </w:pPr>
      <w:r>
        <w:rPr>
          <w:rStyle w:val="FootnoteReference"/>
        </w:rPr>
        <w:footnoteRef/>
      </w:r>
      <w:r>
        <w:tab/>
        <w:t>COM(2018) 321 final της 2ας Μαΐου 2018.</w:t>
      </w:r>
    </w:p>
  </w:footnote>
  <w:footnote w:id="3">
    <w:p w:rsidR="00E506D3" w:rsidRDefault="00A1386A">
      <w:pPr>
        <w:pStyle w:val="FootnoteText"/>
      </w:pPr>
      <w:r>
        <w:rPr>
          <w:rStyle w:val="FootnoteReference"/>
        </w:rPr>
        <w:footnoteRef/>
      </w:r>
      <w:r>
        <w:tab/>
        <w:t>Κανονισμός (ΕΕ) αριθ. 513/2014 του Ευρωπαϊκού Κοινοβουλίου και του Συμβουλίου, της 16ης Απριλίου 201</w:t>
      </w:r>
      <w:r>
        <w:t>4, για τη θέσπιση, στο πλαίσιο του Ταμείου Εσωτερικής Ασφάλειας, του μέσου για τη χρηματοδοτική στήριξη της αστυνομικής συνεργασίας, της πρόληψης και καταστολής της εγκληματικότητας και της διαχείρισης των κρίσεων και την κατάργηση της απόφασης 2007/125/ΔΕ</w:t>
      </w:r>
      <w:r>
        <w:t>Υ του Συμβουλίου (ΕΕ L 150 της 20.5.2014, σ. 93).</w:t>
      </w:r>
    </w:p>
  </w:footnote>
  <w:footnote w:id="4">
    <w:p w:rsidR="00E506D3" w:rsidRDefault="00A1386A">
      <w:pPr>
        <w:pStyle w:val="FootnoteText"/>
      </w:pPr>
      <w:r>
        <w:rPr>
          <w:rStyle w:val="FootnoteReference"/>
        </w:rPr>
        <w:footnoteRef/>
      </w:r>
      <w:r>
        <w:tab/>
        <w:t>Κανονισμός (ΕΕ) αριθ. 1382/2013 του Ευρωπαϊκού Κοινοβουλίου και του Συμβουλίου, της 17ης Δεκεμβρίου 2013, για τη θέσπιση του Προγράμματος «Δικαιοσύνη», για την περίοδο 2014-2020.</w:t>
      </w:r>
    </w:p>
  </w:footnote>
  <w:footnote w:id="5">
    <w:p w:rsidR="00E506D3" w:rsidRDefault="00A1386A">
      <w:pPr>
        <w:pStyle w:val="FootnoteText"/>
      </w:pPr>
      <w:r>
        <w:rPr>
          <w:rStyle w:val="FootnoteReference"/>
        </w:rPr>
        <w:footnoteRef/>
      </w:r>
      <w:r>
        <w:tab/>
        <w:t xml:space="preserve">COM(2018) 321 final </w:t>
      </w:r>
      <w:r>
        <w:t>(της 2.5.2017).</w:t>
      </w:r>
    </w:p>
  </w:footnote>
  <w:footnote w:id="6">
    <w:p w:rsidR="00E506D3" w:rsidRDefault="00A1386A">
      <w:pPr>
        <w:pStyle w:val="FootnoteText"/>
      </w:pPr>
      <w:r>
        <w:rPr>
          <w:rStyle w:val="FootnoteReference"/>
        </w:rPr>
        <w:footnoteRef/>
      </w:r>
      <w:r>
        <w:tab/>
        <w:t>«Ένας σύγχρονος προϋπολογισμός για μια Ένωση που προστατεύει, ενδυναμώνει και υπερασπίζεται τους πολίτες της: Πολυετές δημοσιονομικό πλαίσιο 2021-2027», COM(2018) 321 της 2.5.2018.</w:t>
      </w:r>
    </w:p>
  </w:footnote>
  <w:footnote w:id="7">
    <w:p w:rsidR="00E506D3" w:rsidRDefault="00A1386A">
      <w:pPr>
        <w:pStyle w:val="FootnoteText"/>
      </w:pPr>
      <w:r>
        <w:rPr>
          <w:rStyle w:val="FootnoteReference"/>
        </w:rPr>
        <w:footnoteRef/>
      </w:r>
      <w:r>
        <w:tab/>
        <w:t>COM(2018) 375 της 29ης Μαΐου 2018.</w:t>
      </w:r>
    </w:p>
  </w:footnote>
  <w:footnote w:id="8">
    <w:p w:rsidR="00E506D3" w:rsidRDefault="00A1386A">
      <w:pPr>
        <w:pStyle w:val="FootnoteText"/>
      </w:pPr>
      <w:r>
        <w:rPr>
          <w:rStyle w:val="FootnoteReference"/>
        </w:rPr>
        <w:footnoteRef/>
      </w:r>
      <w:r>
        <w:tab/>
        <w:t xml:space="preserve">Κανονισμός (ΕΕ) Χ </w:t>
      </w:r>
    </w:p>
  </w:footnote>
  <w:footnote w:id="9">
    <w:p w:rsidR="00E506D3" w:rsidRDefault="00A1386A">
      <w:pPr>
        <w:pStyle w:val="FootnoteText"/>
      </w:pPr>
      <w:r>
        <w:rPr>
          <w:rStyle w:val="FootnoteReference"/>
        </w:rPr>
        <w:footnoteRef/>
      </w:r>
      <w:r>
        <w:tab/>
      </w:r>
    </w:p>
  </w:footnote>
  <w:footnote w:id="10">
    <w:p w:rsidR="00E506D3" w:rsidRDefault="00A1386A">
      <w:pPr>
        <w:pStyle w:val="FootnoteText"/>
      </w:pPr>
      <w:r>
        <w:rPr>
          <w:rStyle w:val="FootnoteReference"/>
        </w:rPr>
        <w:footnoteRef/>
      </w:r>
      <w:r>
        <w:tab/>
      </w:r>
    </w:p>
  </w:footnote>
  <w:footnote w:id="11">
    <w:p w:rsidR="00E506D3" w:rsidRDefault="00A1386A">
      <w:pPr>
        <w:pStyle w:val="FootnoteText"/>
      </w:pPr>
      <w:r>
        <w:rPr>
          <w:rStyle w:val="FootnoteReference"/>
        </w:rPr>
        <w:footnoteRef/>
      </w:r>
      <w:r>
        <w:tab/>
        <w:t>COM(2015)185 final, 28 Απριλίου 2015.</w:t>
      </w:r>
    </w:p>
  </w:footnote>
  <w:footnote w:id="12">
    <w:p w:rsidR="00E506D3" w:rsidRDefault="00A1386A">
      <w:pPr>
        <w:pStyle w:val="FootnoteText"/>
      </w:pPr>
      <w:r>
        <w:rPr>
          <w:rStyle w:val="FootnoteReference"/>
        </w:rPr>
        <w:footnoteRef/>
      </w:r>
      <w:r>
        <w:tab/>
        <w:t>Συμπεράσματα του Συμβουλίου της 16ης Ιουνίου 2015 για την ανανεωμένη στρατηγική εσωτερικής ασφάλειας 2015-2020 της Ευρωπαϊκής Ένωσης</w:t>
      </w:r>
    </w:p>
  </w:footnote>
  <w:footnote w:id="13">
    <w:p w:rsidR="00E506D3" w:rsidRDefault="00A1386A">
      <w:pPr>
        <w:pStyle w:val="FootnoteText"/>
      </w:pPr>
      <w:r>
        <w:rPr>
          <w:rStyle w:val="FootnoteReference"/>
        </w:rPr>
        <w:footnoteRef/>
      </w:r>
      <w:r>
        <w:tab/>
        <w:t>Ψήφισμα του Ευρωπαϊκού Κοινοβουλίου της 9ης Ιουλίου 2015 σχετικά με το ε</w:t>
      </w:r>
      <w:r>
        <w:t>υρωπαϊκό θεματολόγιο για την ασφάλεια (2015/2697 (RSP)).</w:t>
      </w:r>
    </w:p>
  </w:footnote>
  <w:footnote w:id="14">
    <w:p w:rsidR="00E506D3" w:rsidRDefault="00A1386A">
      <w:pPr>
        <w:pStyle w:val="FootnoteText"/>
      </w:pPr>
      <w:r>
        <w:rPr>
          <w:rStyle w:val="FootnoteReference"/>
        </w:rPr>
        <w:footnoteRef/>
      </w:r>
      <w:r>
        <w:tab/>
        <w:t>COM(2017) 794 final.</w:t>
      </w:r>
    </w:p>
  </w:footnote>
  <w:footnote w:id="15">
    <w:p w:rsidR="00E506D3" w:rsidRDefault="00A1386A">
      <w:pPr>
        <w:pStyle w:val="FootnoteText"/>
      </w:pPr>
      <w:r>
        <w:rPr>
          <w:rStyle w:val="FootnoteReference"/>
        </w:rPr>
        <w:footnoteRef/>
      </w:r>
      <w:r>
        <w:tab/>
        <w:t>Κανονισμός (ΕΕ) αριθ. 513/2014 του Ευρωπαϊκού Κοινοβουλίου και του Συμβουλίου, της 16ης Απριλίου 2014, για τη θέσπιση, στο πλαίσιο του Ταμείου Εσωτερικής Ασφάλειας, του μέσου</w:t>
      </w:r>
      <w:r>
        <w:t xml:space="preserve"> για τη χρηματοδοτική στήριξη της αστυνομικής συνεργασίας, της πρόληψης και καταστολής της εγκληματικότητας και της διαχείρισης των κρίσεων, και για την κατάργηση της απόφασης 2007/125/ΔΕΥ του Συμβουλίου (ΕΕ L 150 της 20.5.2014, σ. 93).</w:t>
      </w:r>
    </w:p>
  </w:footnote>
  <w:footnote w:id="16">
    <w:p w:rsidR="00E506D3" w:rsidRDefault="00A1386A">
      <w:pPr>
        <w:pStyle w:val="FootnoteText"/>
      </w:pPr>
      <w:r>
        <w:rPr>
          <w:rStyle w:val="FootnoteReference"/>
        </w:rPr>
        <w:footnoteRef/>
      </w:r>
      <w:r>
        <w:tab/>
        <w:t>Κανονισμός (ΕΕ) α</w:t>
      </w:r>
      <w:r>
        <w:t>ριθ. 1053/2013 του Συμβουλίου, της 7ης Οκτωβρίου 2013, σχετικά με τη θέσπιση ενός μηχανισμού αξιολόγησης και παρακολούθησης για την επαλήθευση της εφαρμογής του κεκτημένου του Σένγκεν και την κατάργηση της απόφασης της εκτελεστικής επιτροπής της 16ης Σεπτε</w:t>
      </w:r>
      <w:r>
        <w:t>μβρίου 1998 σχετικά με τη σύσταση της μόνιμης επιτροπής για την αξιολόγηση και την εφαρμογή της σύμβασης Σένγκεν (ΕΕ L 295 της 6.11.2013, σ. 27).</w:t>
      </w:r>
    </w:p>
  </w:footnote>
  <w:footnote w:id="17">
    <w:p w:rsidR="00E506D3" w:rsidRDefault="00A1386A">
      <w:pPr>
        <w:pStyle w:val="FootnoteText"/>
        <w:jc w:val="left"/>
      </w:pPr>
      <w:r>
        <w:rPr>
          <w:rStyle w:val="FootnoteReference"/>
        </w:rPr>
        <w:footnoteRef/>
      </w:r>
      <w:r>
        <w:tab/>
        <w:t>ΕΕ C 373 της 20.12.2013, σ. 1.</w:t>
      </w:r>
      <w:r>
        <w:br/>
      </w:r>
      <w:hyperlink r:id="rId1">
        <w:r>
          <w:rPr>
            <w:rStyle w:val="Hyperlink"/>
            <w:color w:val="auto"/>
          </w:rPr>
          <w:t>http://eur-lex.europa.eu/legal-content/EN/TXT/?uri=uriserv:OJ.C_.2013.373.01.0001.01.ENG&amp;toc=OJ:C:2013:373:TOC</w:t>
        </w:r>
      </w:hyperlink>
    </w:p>
  </w:footnote>
  <w:footnote w:id="18">
    <w:p w:rsidR="00E506D3" w:rsidRDefault="00A1386A">
      <w:pPr>
        <w:pStyle w:val="FootnoteText"/>
      </w:pPr>
      <w:r>
        <w:rPr>
          <w:rStyle w:val="FootnoteReference"/>
        </w:rPr>
        <w:footnoteRef/>
      </w:r>
      <w:r>
        <w:tab/>
        <w:t>Πλήρης αναφορά</w:t>
      </w:r>
    </w:p>
  </w:footnote>
  <w:footnote w:id="19">
    <w:p w:rsidR="00E506D3" w:rsidRDefault="00A1386A">
      <w:pPr>
        <w:pStyle w:val="FootnoteText"/>
      </w:pPr>
      <w:r>
        <w:rPr>
          <w:rStyle w:val="FootnoteReference"/>
        </w:rPr>
        <w:footnoteRef/>
      </w:r>
      <w:r>
        <w:tab/>
        <w:t>Πλήρης αναφορά</w:t>
      </w:r>
    </w:p>
  </w:footnote>
  <w:footnote w:id="20">
    <w:p w:rsidR="00E506D3" w:rsidRDefault="00A1386A">
      <w:pPr>
        <w:pStyle w:val="FootnoteText"/>
      </w:pPr>
      <w:r>
        <w:rPr>
          <w:rStyle w:val="FootnoteReference"/>
        </w:rPr>
        <w:footnoteRef/>
      </w:r>
      <w:r>
        <w:tab/>
        <w:t>Κανονισμός (ΕΕ, Ευρατόμ) αριθ. 883/2013 του Ευρωπαϊκού Κ</w:t>
      </w:r>
      <w:r>
        <w:t>οινοβουλίου και του Συμβουλίου, της 11ης Σεπτεμβρίου 2013, σχετικά με τις έρευνες που πραγματοποιούνται από την Ευρωπαϊκή Υπηρεσία Καταπολέμησης της Απάτης (OLAF) και την κατάργηση του κανονισμού (ΕΚ) αριθ. 1073/1999 του Ευρωπαϊκού Κοινοβουλίου και του Συμ</w:t>
      </w:r>
      <w:r>
        <w:t>βουλίου και του κανονισμού (Ευρατόμ) αριθ. 1074/1999 του Συμβουλίου (ΕΕ L 248 της 18.9.2013, σ. 1).</w:t>
      </w:r>
    </w:p>
  </w:footnote>
  <w:footnote w:id="21">
    <w:p w:rsidR="00E506D3" w:rsidRDefault="00A1386A">
      <w:pPr>
        <w:pStyle w:val="FootnoteText"/>
      </w:pPr>
      <w:r>
        <w:rPr>
          <w:rStyle w:val="FootnoteReference"/>
        </w:rPr>
        <w:footnoteRef/>
      </w:r>
      <w:r>
        <w:tab/>
        <w:t>Κανονισμός (ΕΚ) αριθ. 2988/95 του Συμβουλίου, της 18ης Δεκεμβρίου 1995, σχετικά με την προστασία των οικονομικών συμφερόντων των Ευρωπαϊκών Κοινοτήτων (ΕΕ</w:t>
      </w:r>
      <w:r>
        <w:t xml:space="preserve"> L 312 της 23.12.95, σ. 1).</w:t>
      </w:r>
    </w:p>
  </w:footnote>
  <w:footnote w:id="22">
    <w:p w:rsidR="00E506D3" w:rsidRDefault="00A1386A">
      <w:pPr>
        <w:pStyle w:val="FootnoteText"/>
      </w:pPr>
      <w:r>
        <w:rPr>
          <w:rStyle w:val="FootnoteReference"/>
        </w:rPr>
        <w:footnoteRef/>
      </w:r>
      <w:r>
        <w:tab/>
        <w:t>Κανονισμός (Ευρατόμ, ΕΚ) αριθ. 2185/96 του Συμβουλίου,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w:t>
      </w:r>
      <w:r>
        <w:t>οτήτων από απάτες και λοιπές παρατυπίες (ΕΕ L 292 της 15.11.1996, σ. 2).</w:t>
      </w:r>
    </w:p>
  </w:footnote>
  <w:footnote w:id="23">
    <w:p w:rsidR="00E506D3" w:rsidRDefault="00A1386A">
      <w:pPr>
        <w:pStyle w:val="FootnoteText"/>
      </w:pPr>
      <w:r>
        <w:rPr>
          <w:rStyle w:val="FootnoteReference"/>
        </w:rPr>
        <w:footnoteRef/>
      </w:r>
      <w:r>
        <w:tab/>
        <w:t>Κανονισμός (ΕΕ) 2017/1939 του Συμβουλίου, της 12ης Οκτωβρίου 2017, σχετικά με την εφαρμογή ενισχυμένης συνεργασίας για τη σύσταση της Ευρωπαϊκής Εισαγγελίας (EPPO) (ΕΕ L 283 της 31.</w:t>
      </w:r>
      <w:r>
        <w:t>10.2017, σ. 1).</w:t>
      </w:r>
    </w:p>
  </w:footnote>
  <w:footnote w:id="24">
    <w:p w:rsidR="00E506D3" w:rsidRDefault="00A1386A">
      <w:pPr>
        <w:pStyle w:val="FootnoteText"/>
      </w:pPr>
      <w:r>
        <w:rPr>
          <w:rStyle w:val="FootnoteReference"/>
        </w:rPr>
        <w:footnoteRef/>
      </w:r>
      <w:r>
        <w:tab/>
        <w:t>Οδηγία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(ΕΕ L 198 της 28.7.2017, σ. 29</w:t>
      </w:r>
      <w:r>
        <w:t>).</w:t>
      </w:r>
    </w:p>
  </w:footnote>
  <w:footnote w:id="25">
    <w:p w:rsidR="00E506D3" w:rsidRDefault="00A1386A">
      <w:pPr>
        <w:pStyle w:val="FootnoteText"/>
      </w:pPr>
      <w:r>
        <w:rPr>
          <w:rStyle w:val="FootnoteReference"/>
        </w:rPr>
        <w:footnoteRef/>
      </w:r>
      <w:r>
        <w:tab/>
        <w:t>Απόφαση 2013/755/ΕΕ του Συμβουλίου, της 25ης Νοεμβρίου 2013, για τη σύνδεση των Υπερπόντιων Χωρών και Εδαφών με την Ευρωπαϊκή Ένωση («απόφαση για τη σύνδεση ΥΧΕ-ΕΕ») (ΕΕ L 344 της 19.12.2013, σ. 1).</w:t>
      </w:r>
    </w:p>
  </w:footnote>
  <w:footnote w:id="26">
    <w:p w:rsidR="00E506D3" w:rsidRDefault="00A1386A">
      <w:pPr>
        <w:pStyle w:val="FootnoteText"/>
      </w:pPr>
      <w:r>
        <w:rPr>
          <w:rStyle w:val="FootnoteReference"/>
        </w:rPr>
        <w:footnoteRef/>
      </w:r>
      <w:r>
        <w:tab/>
        <w:t>COM(2017) 623 final.</w:t>
      </w:r>
    </w:p>
  </w:footnote>
  <w:footnote w:id="27">
    <w:p w:rsidR="00E506D3" w:rsidRDefault="00A1386A">
      <w:pPr>
        <w:pStyle w:val="FootnoteText"/>
      </w:pPr>
      <w:r>
        <w:rPr>
          <w:rStyle w:val="FootnoteReference"/>
        </w:rPr>
        <w:footnoteRef/>
      </w:r>
      <w:r>
        <w:tab/>
        <w:t xml:space="preserve">Διοργανική συμφωνία μεταξύ </w:t>
      </w:r>
      <w:r>
        <w:t>του Ευρωπαϊκού Κοινοβουλίου, του Συμβουλίου της Ευρωπαϊκής Ένωσης και της Ευρωπαϊκής Επιτροπής για τη βελτίωση του νομοθετικού έργου, της 13ης Απριλίου 2016· ΕΕ L 123 της 12.5.2016, σ. 1-14.</w:t>
      </w:r>
    </w:p>
  </w:footnote>
  <w:footnote w:id="28">
    <w:p w:rsidR="00E506D3" w:rsidRDefault="00A1386A">
      <w:pPr>
        <w:pStyle w:val="FootnoteText"/>
      </w:pPr>
      <w:r>
        <w:rPr>
          <w:rStyle w:val="FootnoteReference"/>
        </w:rPr>
        <w:footnoteRef/>
      </w:r>
      <w:r>
        <w:tab/>
        <w:t>ΕΕ L 55 της 28.2.2011, σ. 13.</w:t>
      </w:r>
    </w:p>
  </w:footnote>
  <w:footnote w:id="29">
    <w:p w:rsidR="00E506D3" w:rsidRDefault="00A1386A">
      <w:pPr>
        <w:spacing w:before="0" w:after="0"/>
        <w:ind w:left="720" w:hanging="720"/>
        <w:rPr>
          <w:sz w:val="20"/>
          <w:szCs w:val="20"/>
        </w:rPr>
      </w:pPr>
      <w:r>
        <w:rPr>
          <w:rStyle w:val="FootnoteReference"/>
        </w:rPr>
        <w:footnoteRef/>
      </w:r>
      <w:r>
        <w:tab/>
      </w:r>
      <w:r>
        <w:rPr>
          <w:sz w:val="20"/>
        </w:rPr>
        <w:t xml:space="preserve">Κανονισμός (EE, Ευρατόμ) αριθ. </w:t>
      </w:r>
      <w:r>
        <w:rPr>
          <w:sz w:val="20"/>
        </w:rPr>
        <w:t>ΧΧΧ του Συμβουλίου.</w:t>
      </w:r>
    </w:p>
  </w:footnote>
  <w:footnote w:id="30">
    <w:p w:rsidR="00E506D3" w:rsidRDefault="00A1386A">
      <w:pPr>
        <w:pStyle w:val="FootnoteText"/>
      </w:pPr>
      <w:r>
        <w:rPr>
          <w:rStyle w:val="FootnoteReference"/>
        </w:rPr>
        <w:footnoteRef/>
      </w:r>
      <w:r>
        <w:tab/>
        <w:t>Απόφαση 2009/902/ΔΕΥ του Συμβουλίου, της 30ής Νοεμβρίου 2009, για τη δημιουργία Ευρωπαϊκού Δικτύου Πρόληψης του Εγκλήματος (EUCPN) και για την κατάργηση της απόφασης 2001/427/ΔΕΥ (ΕΕ L 321 της 8.12.2009, σ. 44).</w:t>
      </w:r>
    </w:p>
  </w:footnote>
  <w:footnote w:id="31">
    <w:p w:rsidR="00E506D3" w:rsidRDefault="00A1386A">
      <w:pPr>
        <w:pStyle w:val="FootnoteText"/>
      </w:pPr>
      <w:r>
        <w:rPr>
          <w:rStyle w:val="FootnoteReference"/>
        </w:rPr>
        <w:footnoteRef/>
      </w:r>
      <w:r>
        <w:tab/>
        <w:t>Συμπεράσματα του Συμ</w:t>
      </w:r>
      <w:r>
        <w:t>βουλίου των Υπουργών Δικαιοσύνης και Εσωτερικών Υποθέσεων, 8 και 9 Νοεμβρίου 2010.</w:t>
      </w:r>
    </w:p>
  </w:footnote>
  <w:footnote w:id="32">
    <w:p w:rsidR="00E506D3" w:rsidRDefault="00A1386A">
      <w:pPr>
        <w:pStyle w:val="FootnoteText"/>
      </w:pPr>
      <w:r>
        <w:rPr>
          <w:rStyle w:val="FootnoteReference"/>
        </w:rPr>
        <w:footnoteRef/>
      </w:r>
      <w:r>
        <w:tab/>
        <w:t>COM(2013) 172 για τη θέσπιση ευρωπαϊκού προγράμματος κατάρτισης για την επιβολή του νόμου (LETS).</w:t>
      </w:r>
    </w:p>
  </w:footnote>
  <w:footnote w:id="33">
    <w:p w:rsidR="00E506D3" w:rsidRDefault="00A1386A">
      <w:pPr>
        <w:pStyle w:val="FootnoteText"/>
      </w:pPr>
      <w:r>
        <w:rPr>
          <w:rStyle w:val="FootnoteReference"/>
        </w:rPr>
        <w:footnoteRef/>
      </w:r>
      <w:r>
        <w:tab/>
        <w:t xml:space="preserve">Κανονισμός (ΕΕ) 2015/2219, της 25ης Νοεμβρίου 2015, σχετικά με τον </w:t>
      </w:r>
      <w:r>
        <w:t>Οργανισμό της Ευρωπαϊκής Ένωσης για την Κατάρτιση στον Τομέα της Επιβολής του Νόμου (ΕΑΑ).</w:t>
      </w:r>
    </w:p>
  </w:footnote>
  <w:footnote w:id="34">
    <w:p w:rsidR="00E506D3" w:rsidRDefault="00A1386A">
      <w:pPr>
        <w:pStyle w:val="FootnoteText"/>
      </w:pPr>
      <w:r>
        <w:rPr>
          <w:rStyle w:val="FootnoteReference"/>
        </w:rPr>
        <w:footnoteRef/>
      </w:r>
      <w:r>
        <w:tab/>
        <w:t>Απόφαση-πλαίσιο 2008/841/ΔΕΥ του Συμβουλίου, της 24ης Οκτωβρίου 2008, για την καταπολέμηση του οργανωμένου εγκλήματος (ΕΕ L 300 της 11.11.2008, σ. 42).</w:t>
      </w:r>
    </w:p>
  </w:footnote>
  <w:footnote w:id="35">
    <w:p w:rsidR="00E506D3" w:rsidRDefault="00A1386A">
      <w:pPr>
        <w:pStyle w:val="FootnoteText"/>
      </w:pPr>
      <w:r>
        <w:rPr>
          <w:rStyle w:val="FootnoteReference"/>
        </w:rPr>
        <w:footnoteRef/>
      </w:r>
      <w:r>
        <w:tab/>
        <w:t xml:space="preserve">Οδηγία </w:t>
      </w:r>
      <w:r>
        <w:t>(ΕΕ) 2017/541 για την καταπολέμηση της τρομοκρατίας και την αντικατάσταση της απόφασης-πλαισίου 2002/475/ΔΕΥ του Συμβουλίου και την τροποποίηση της απόφασης 2005/671/ΔΕΥ του Συμβουλίου (ΕΕ L 88 της 31.3.2017, σ. 6).</w:t>
      </w:r>
    </w:p>
  </w:footnote>
  <w:footnote w:id="36">
    <w:p w:rsidR="00E506D3" w:rsidRDefault="00A1386A">
      <w:pPr>
        <w:pStyle w:val="FootnoteText"/>
      </w:pPr>
      <w:r>
        <w:rPr>
          <w:rStyle w:val="FootnoteReference"/>
        </w:rPr>
        <w:footnoteRef/>
      </w:r>
      <w:r>
        <w:tab/>
        <w:t>το «χρηματικό δόλωμα» είναι πραγματικό</w:t>
      </w:r>
      <w:r>
        <w:t xml:space="preserve"> χρήμα που παρουσιάζεται (εκτίθεται) κατά τη διάρκεια ποινικής έρευνας ως απόδειξη της ρευστότητας και φερεγγυότητας στους υπόπτους ή άλλα πρόσωπα τα οποία διαθέτουν πληροφορίες σχετικά με τη διαθεσιμότητα ή την παράδοση ή που ενεργούν ως διαμεσολαβητές, π</w:t>
      </w:r>
      <w:r>
        <w:t>ροκειμένου να εκτελέσουν μια εικονική αγορά με στόχο τη σύλληψη υπόπτων, τον εντοπισμό παράνομων εγκαταστάσεων παραγωγής ή εξάρθρωση ομάδας οργανωμένου εγκλήματος.</w:t>
      </w:r>
    </w:p>
  </w:footnote>
  <w:footnote w:id="37">
    <w:p w:rsidR="00E506D3" w:rsidRDefault="00A1386A">
      <w:pPr>
        <w:pStyle w:val="FootnoteText"/>
      </w:pPr>
      <w:r>
        <w:rPr>
          <w:rStyle w:val="FootnoteReference"/>
        </w:rPr>
        <w:footnoteRef/>
      </w:r>
      <w:r>
        <w:tab/>
        <w:t>[Πλήρης αναφορά]</w:t>
      </w:r>
    </w:p>
  </w:footnote>
  <w:footnote w:id="38">
    <w:p w:rsidR="00E506D3" w:rsidRDefault="00A1386A">
      <w:pPr>
        <w:pStyle w:val="FootnoteText"/>
      </w:pPr>
      <w:r>
        <w:rPr>
          <w:rStyle w:val="FootnoteReference"/>
        </w:rPr>
        <w:footnoteRef/>
      </w:r>
      <w:r>
        <w:tab/>
        <w:t>Όπως αναφέρεται στο άρθρο 58 παράγραφος 2 στοιχείο α) ή β) του δημοσιον</w:t>
      </w:r>
      <w:r>
        <w:t>ομικού κανονισμού.</w:t>
      </w:r>
    </w:p>
  </w:footnote>
  <w:footnote w:id="39">
    <w:p w:rsidR="00E506D3" w:rsidRDefault="00A1386A">
      <w:pPr>
        <w:pStyle w:val="FootnoteText"/>
      </w:pPr>
      <w:r>
        <w:rPr>
          <w:rStyle w:val="FootnoteReference"/>
        </w:rPr>
        <w:footnoteRef/>
      </w:r>
      <w:r>
        <w:tab/>
        <w:t>Οι λεπτομέρειες σχετικά με τους τρόπους διαχείρισης, καθώς και οι παραπομπές στον δημοσιονομικό κανονισμό είναι διαθέσιμες στον δικτυακό τόπο BudgWeb:</w:t>
      </w:r>
      <w:r>
        <w:tab/>
        <w:t xml:space="preserve"> </w:t>
      </w:r>
      <w:hyperlink r:id="rId2">
        <w:r>
          <w:rPr>
            <w:rStyle w:val="Hyperlink"/>
          </w:rPr>
          <w:t>https://myintracomm.ec.europa.eu/budgweb/EN/man/budgmanag/Pages/budgmanag.aspx</w:t>
        </w:r>
      </w:hyperlink>
    </w:p>
  </w:footnote>
  <w:footnote w:id="40">
    <w:p w:rsidR="00E506D3" w:rsidRDefault="00A1386A">
      <w:pPr>
        <w:pStyle w:val="FootnoteText"/>
      </w:pPr>
      <w:r>
        <w:rPr>
          <w:rStyle w:val="FootnoteReference"/>
        </w:rPr>
        <w:footnoteRef/>
      </w:r>
      <w:r>
        <w:tab/>
        <w:t>Το πρόγραμμα ενδέχεται να ανατεθεί (εν μέρει) σε εκτελεστικό οργανισμό, με την επιφύλαξη του αποτελέσματος της ανάλυσης κόστους/οφέλους και των αποφάσεων που πρ</w:t>
      </w:r>
      <w:r>
        <w:t>έπει να ληφθούν, και της ανάλογης προσαρμογής των σχετικών διοικητικών πιστώσεων για την υλοποίηση του προγράμματος στο πλαίσιο της Επιτροπής και του εκτελεστικού οργανισμού.</w:t>
      </w:r>
    </w:p>
  </w:footnote>
  <w:footnote w:id="41">
    <w:p w:rsidR="00E506D3" w:rsidRDefault="00A1386A">
      <w:pPr>
        <w:pStyle w:val="FootnoteText"/>
      </w:pPr>
      <w:r>
        <w:rPr>
          <w:rStyle w:val="FootnoteReference"/>
        </w:rPr>
        <w:footnoteRef/>
      </w:r>
      <w:r>
        <w:tab/>
        <w:t>Κατ’ εξουσιοδότηση κανονισμός (ΕΕ) αριθ. 1042/2014 της Επιτροπής, της 25ης Ιουλ</w:t>
      </w:r>
      <w:r>
        <w:t>ίου 2014, παράρτημα I· Κατ’ εξουσιοδότηση κανονισμός (ΕΕ) 2015/1973 της Επιτροπής, της 8ης Ιουλίου 2015.</w:t>
      </w:r>
    </w:p>
  </w:footnote>
  <w:footnote w:id="42">
    <w:p w:rsidR="00E506D3" w:rsidRDefault="00A1386A">
      <w:pPr>
        <w:pStyle w:val="FootnoteText"/>
      </w:pPr>
      <w:r>
        <w:rPr>
          <w:rStyle w:val="FootnoteReference"/>
        </w:rPr>
        <w:footnoteRef/>
      </w:r>
      <w:r>
        <w:tab/>
        <w:t>ΔΠ = διαχωριζόμενες πιστώσεις / ΜΔΠ = μη διαχωριζόμενες πιστώσεις</w:t>
      </w:r>
    </w:p>
  </w:footnote>
  <w:footnote w:id="43">
    <w:p w:rsidR="00E506D3" w:rsidRDefault="00A1386A">
      <w:pPr>
        <w:pStyle w:val="FootnoteText"/>
      </w:pPr>
      <w:r>
        <w:rPr>
          <w:rStyle w:val="FootnoteReference"/>
        </w:rPr>
        <w:footnoteRef/>
      </w:r>
      <w:r>
        <w:tab/>
        <w:t>ΕΖΕΣ: Ευρωπαϊκή Ζώνη Ελεύθερων Συναλλαγών.</w:t>
      </w:r>
    </w:p>
  </w:footnote>
  <w:footnote w:id="44">
    <w:p w:rsidR="00E506D3" w:rsidRDefault="00A1386A">
      <w:pPr>
        <w:pStyle w:val="FootnoteText"/>
      </w:pPr>
      <w:r>
        <w:rPr>
          <w:rStyle w:val="FootnoteReference"/>
        </w:rPr>
        <w:footnoteRef/>
      </w:r>
      <w:r>
        <w:tab/>
        <w:t>Υποψήφιες χώρες και, κατά περίπτωση,</w:t>
      </w:r>
      <w:r>
        <w:t xml:space="preserve"> δυνάμει υποψήφιες για ένταξη χώρες των Δυτικών Βαλκανίων.</w:t>
      </w:r>
    </w:p>
  </w:footnote>
  <w:footnote w:id="45">
    <w:p w:rsidR="00E506D3" w:rsidRDefault="00A1386A">
      <w:pPr>
        <w:pStyle w:val="FootnoteText"/>
      </w:pPr>
      <w:r>
        <w:rPr>
          <w:rStyle w:val="FootnoteReference"/>
        </w:rPr>
        <w:footnoteRef/>
      </w:r>
      <w:r>
        <w:tab/>
        <w:t>Στο πλαίσιο του ΤΣΟ, η ΓΔ BUDG πρότεινε περαιτέρω ανάλυση σε ειδικούς στόχους. Δεδομένης της ύπαρξης του θεματικού μέσου, η ΓΔ HOME δεν συμφωνεί με την εν λόγω πρόταση στο στάδιο αυτό.</w:t>
      </w:r>
    </w:p>
  </w:footnote>
  <w:footnote w:id="46">
    <w:p w:rsidR="00E506D3" w:rsidRDefault="00A1386A">
      <w:pPr>
        <w:pStyle w:val="FootnoteText"/>
      </w:pPr>
      <w:r>
        <w:rPr>
          <w:rStyle w:val="FootnoteReference"/>
        </w:rPr>
        <w:footnoteRef/>
      </w:r>
      <w:r>
        <w:tab/>
        <w:t xml:space="preserve">Τεχνική </w:t>
      </w:r>
      <w:r>
        <w:t>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7">
    <w:p w:rsidR="00E506D3" w:rsidRDefault="00A1386A">
      <w:pPr>
        <w:pStyle w:val="FootnoteText"/>
      </w:pPr>
      <w:r>
        <w:rPr>
          <w:rStyle w:val="FootnoteReference"/>
        </w:rPr>
        <w:footnoteRef/>
      </w:r>
      <w:r>
        <w:tab/>
        <w:t>Όσον αφορά τους παραδοσιακούς ιδίους πόρους (δασμούς, εισφορές ζάχαρης), τα αναγραφόμενα ποσά πρέπει να είναι</w:t>
      </w:r>
      <w:r>
        <w:t xml:space="preserve"> καθαρά ποσά, δηλ. τα ακαθάριστα ποσά μετά την αφαίρεση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D3" w:rsidRDefault="00E506D3" w:rsidP="00A1386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A" w:rsidRPr="00A1386A" w:rsidRDefault="00A1386A" w:rsidP="00A1386A">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3AC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ED8D5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B10A8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A5C0C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A9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829E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25"/>
    <w:lvlOverride w:ilvl="0">
      <w:startOverride w:val="1"/>
    </w:lvlOverride>
  </w:num>
  <w:num w:numId="7">
    <w:abstractNumId w:val="5"/>
  </w:num>
  <w:num w:numId="8">
    <w:abstractNumId w:val="4"/>
  </w:num>
  <w:num w:numId="9">
    <w:abstractNumId w:val="3"/>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2"/>
  </w:num>
  <w:num w:numId="46">
    <w:abstractNumId w:val="23"/>
  </w:num>
  <w:num w:numId="47">
    <w:abstractNumId w:val="10"/>
  </w:num>
  <w:num w:numId="48">
    <w:abstractNumId w:val="13"/>
  </w:num>
  <w:num w:numId="49">
    <w:abstractNumId w:val="8"/>
  </w:num>
  <w:num w:numId="50">
    <w:abstractNumId w:val="22"/>
  </w:num>
  <w:num w:numId="51">
    <w:abstractNumId w:val="7"/>
  </w:num>
  <w:num w:numId="52">
    <w:abstractNumId w:val="14"/>
  </w:num>
  <w:num w:numId="53">
    <w:abstractNumId w:val="18"/>
  </w:num>
  <w:num w:numId="54">
    <w:abstractNumId w:val="19"/>
  </w:num>
  <w:num w:numId="55">
    <w:abstractNumId w:val="9"/>
  </w:num>
  <w:num w:numId="56">
    <w:abstractNumId w:val="17"/>
  </w:num>
  <w:num w:numId="5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2 15:48: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942151E6-B92C-4128-A608-F9B954EED874"/>
    <w:docVar w:name="LW_COVERPAGE_TYPE" w:val="1"/>
    <w:docVar w:name="LW_CROSSREFERENCE" w:val="{SWD(2018) 347 final}_x000a_{SWD(2018) 348 final}_x000a_{SEC(2018) 315 final}"/>
    <w:docVar w:name="LW_DocType" w:val="COM"/>
    <w:docVar w:name="LW_EMISSION" w:val="13.6.2018"/>
    <w:docVar w:name="LW_EMISSION_ISODATE" w:val="2018-06-13"/>
    <w:docVar w:name="LW_EMISSION_LOCATION" w:val="BRX"/>
    <w:docVar w:name="LW_EMISSION_PREFIX" w:val="\u914?\u961?\u965?\u958?\u941?\u955?\u955?\u949?\u962?,"/>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50"/>
    <w:docVar w:name="LW_REF.II.NEW.CP_YEAR" w:val="2018"/>
    <w:docVar w:name="LW_REF.INST.NEW" w:val="COM"/>
    <w:docVar w:name="LW_REF.INST.NEW_ADOPTED" w:val="final"/>
    <w:docVar w:name="LW_REF.INST.NEW_TEXT" w:val="(2018)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47?\u953?\u945? \u964?\u951? \u952?\u941?\u963?\u960?\u953?\u963?\u951? \u964?\u959?\u965? \u932?\u945?\u956?\u949?\u943?\u959?\u965? \u917?\u963?\u969?\u964?\u949?\u961?\u953?\u954?\u942?\u962? \u913?\u963?\u966?\u940?\u955?\u949?\u953?\u945?\u962?"/>
    <w:docVar w:name="LW_TYPE.DOC.CP" w:val="\u922?\u913?\u925?\u927?\u925?\u921?\u931?\u924?\u927?\u931? \u932?\u927?\u933? \u917?\u933?\u929?\u937?\u928?\u913?\u938?\u922?\u927?\u933? \u922?\u927?\u921?\u925?\u927?\u914?\u927?\u933?\u923?\u921?\u927?\u933? \u922?\u913?\u921? \u932?\u927?\u933? \u931?\u933?\u924?\u914?\u927?\u933?\u923?\u921?\u927?\u933?"/>
  </w:docVars>
  <w:rsids>
    <w:rsidRoot w:val="00E506D3"/>
    <w:rsid w:val="00A1386A"/>
    <w:rsid w:val="00E5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l-GR"/>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rPr>
      <w:sz w:val="16"/>
      <w:szCs w:val="16"/>
    </w:rPr>
  </w:style>
  <w:style w:type="paragraph" w:styleId="CommentText">
    <w:name w:val="annotation text"/>
    <w:basedOn w:val="Normal"/>
    <w:link w:val="CommentTextChar"/>
    <w:pPr>
      <w:spacing w:before="0" w:after="0"/>
      <w:ind w:right="23"/>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l-GR"/>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1A171C"/>
      <w:spacing w:val="0"/>
      <w:w w:val="100"/>
      <w:position w:val="0"/>
      <w:sz w:val="14"/>
      <w:szCs w:val="14"/>
      <w:u w:val="none"/>
      <w:lang w:val="el-GR"/>
    </w:rPr>
  </w:style>
  <w:style w:type="paragraph" w:styleId="ListParagraph">
    <w:name w:val="List Paragraph"/>
    <w:basedOn w:val="Normal"/>
    <w:link w:val="ListParagraphChar"/>
    <w:uiPriority w:val="67"/>
    <w:qFormat/>
    <w:pPr>
      <w:spacing w:before="0" w:after="180" w:line="211" w:lineRule="exact"/>
      <w:ind w:left="720" w:right="23"/>
      <w:contextualSpacing/>
      <w:jc w:val="left"/>
    </w:pPr>
    <w:rPr>
      <w:rFonts w:asciiTheme="minorHAnsi" w:hAnsiTheme="minorHAnsi" w:cstheme="minorBidi"/>
      <w:sz w:val="22"/>
    </w:r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nhideWhenUsed/>
    <w:pPr>
      <w:spacing w:before="120" w:after="120"/>
      <w:ind w:right="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l-GR"/>
    </w:rPr>
  </w:style>
  <w:style w:type="character" w:customStyle="1" w:styleId="En-tte18ptNonGras">
    <w:name w:val="En-tête #1 + 8 pt;Non Gras"/>
    <w:basedOn w:val="DefaultParagraphFont"/>
    <w:rPr>
      <w:rFonts w:ascii="Times New Roman" w:eastAsia="Times New Roman" w:hAnsi="Times New Roman" w:cs="Times New Roman"/>
      <w:b/>
      <w:bCs/>
      <w:i w:val="0"/>
      <w:iCs w:val="0"/>
      <w:smallCaps w:val="0"/>
      <w:strike w:val="0"/>
      <w:color w:val="1A171C"/>
      <w:spacing w:val="0"/>
      <w:w w:val="100"/>
      <w:position w:val="0"/>
      <w:sz w:val="16"/>
      <w:szCs w:val="16"/>
      <w:u w:val="none"/>
      <w:lang w:val="el-GR"/>
    </w:rPr>
  </w:style>
  <w:style w:type="character" w:customStyle="1" w:styleId="En-tte1">
    <w:name w:val="En-tête #1"/>
    <w:basedOn w:val="DefaultParagraphFont"/>
    <w:rPr>
      <w:rFonts w:ascii="Times New Roman" w:eastAsia="Times New Roman" w:hAnsi="Times New Roman" w:cs="Times New Roman"/>
      <w:b w:val="0"/>
      <w:bCs w:val="0"/>
      <w:i w:val="0"/>
      <w:iCs w:val="0"/>
      <w:smallCaps w:val="0"/>
      <w:strike w:val="0"/>
      <w:color w:val="1A171C"/>
      <w:spacing w:val="0"/>
      <w:w w:val="100"/>
      <w:position w:val="0"/>
      <w:sz w:val="19"/>
      <w:szCs w:val="19"/>
      <w:u w:val="none"/>
      <w:lang w:val="el-GR"/>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
    <w:name w:val="Supersc"/>
    <w:basedOn w:val="Normal"/>
    <w:pPr>
      <w:tabs>
        <w:tab w:val="num" w:pos="709"/>
      </w:tabs>
      <w:ind w:left="709" w:hanging="709"/>
    </w:pPr>
    <w:rPr>
      <w:rFonts w:eastAsia="Times New Roman"/>
    </w:rPr>
  </w:style>
  <w:style w:type="character" w:customStyle="1" w:styleId="ListParagraphChar">
    <w:name w:val="List Paragraph Char"/>
    <w:basedOn w:val="DefaultParagraphFont"/>
    <w:link w:val="ListParagraph"/>
    <w:uiPriority w:val="67"/>
    <w:rPr>
      <w:lang w:val="el-GR"/>
    </w:rPr>
  </w:style>
  <w:style w:type="paragraph" w:customStyle="1" w:styleId="ListDash">
    <w:name w:val="List Dash"/>
    <w:basedOn w:val="Normal"/>
    <w:pPr>
      <w:numPr>
        <w:numId w:val="15"/>
      </w:numPr>
    </w:pPr>
    <w:rPr>
      <w:rFonts w:eastAsia="Times New Roman"/>
    </w:rPr>
  </w:style>
  <w:style w:type="character" w:styleId="FollowedHyperlink">
    <w:name w:val="FollowedHyperlink"/>
    <w:rPr>
      <w:color w:val="800080"/>
      <w:u w:val="single"/>
    </w:rPr>
  </w:style>
  <w:style w:type="paragraph" w:customStyle="1" w:styleId="Sectio">
    <w:name w:val="Sectio"/>
    <w:basedOn w:val="Titrearticle"/>
    <w:pPr>
      <w:keepLines/>
    </w:pPr>
    <w:rPr>
      <w:b/>
      <w:i w:val="0"/>
    </w:rPr>
  </w:style>
  <w:style w:type="table" w:customStyle="1" w:styleId="CV11">
    <w:name w:val="CV11"/>
    <w:basedOn w:val="TableNormal"/>
    <w:next w:val="TableGrid"/>
    <w:uiPriority w:val="59"/>
    <w:pPr>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1386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1386A"/>
    <w:rPr>
      <w:rFonts w:ascii="Times New Roman" w:hAnsi="Times New Roman" w:cs="Times New Roman"/>
      <w:sz w:val="24"/>
      <w:lang w:eastAsia="en-US" w:bidi="ar-SA"/>
    </w:rPr>
  </w:style>
  <w:style w:type="paragraph" w:styleId="Footer">
    <w:name w:val="footer"/>
    <w:basedOn w:val="Normal"/>
    <w:link w:val="FooterChar"/>
    <w:uiPriority w:val="99"/>
    <w:unhideWhenUsed/>
    <w:rsid w:val="00A1386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1386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1386A"/>
    <w:pPr>
      <w:tabs>
        <w:tab w:val="center" w:pos="7285"/>
        <w:tab w:val="right" w:pos="14003"/>
      </w:tabs>
      <w:spacing w:before="0"/>
    </w:pPr>
    <w:rPr>
      <w:lang w:eastAsia="en-US" w:bidi="ar-SA"/>
    </w:rPr>
  </w:style>
  <w:style w:type="paragraph" w:customStyle="1" w:styleId="FooterLandscape">
    <w:name w:val="FooterLandscape"/>
    <w:basedOn w:val="Normal"/>
    <w:rsid w:val="00A1386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1386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1386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l-GR"/>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rPr>
      <w:sz w:val="16"/>
      <w:szCs w:val="16"/>
    </w:rPr>
  </w:style>
  <w:style w:type="paragraph" w:styleId="CommentText">
    <w:name w:val="annotation text"/>
    <w:basedOn w:val="Normal"/>
    <w:link w:val="CommentTextChar"/>
    <w:pPr>
      <w:spacing w:before="0" w:after="0"/>
      <w:ind w:right="23"/>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l-GR"/>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1A171C"/>
      <w:spacing w:val="0"/>
      <w:w w:val="100"/>
      <w:position w:val="0"/>
      <w:sz w:val="14"/>
      <w:szCs w:val="14"/>
      <w:u w:val="none"/>
      <w:lang w:val="el-GR"/>
    </w:rPr>
  </w:style>
  <w:style w:type="paragraph" w:styleId="ListParagraph">
    <w:name w:val="List Paragraph"/>
    <w:basedOn w:val="Normal"/>
    <w:link w:val="ListParagraphChar"/>
    <w:uiPriority w:val="67"/>
    <w:qFormat/>
    <w:pPr>
      <w:spacing w:before="0" w:after="180" w:line="211" w:lineRule="exact"/>
      <w:ind w:left="720" w:right="23"/>
      <w:contextualSpacing/>
      <w:jc w:val="left"/>
    </w:pPr>
    <w:rPr>
      <w:rFonts w:asciiTheme="minorHAnsi" w:hAnsiTheme="minorHAnsi" w:cstheme="minorBidi"/>
      <w:sz w:val="22"/>
    </w:r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nhideWhenUsed/>
    <w:pPr>
      <w:spacing w:before="120" w:after="120"/>
      <w:ind w:right="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l-GR"/>
    </w:rPr>
  </w:style>
  <w:style w:type="character" w:customStyle="1" w:styleId="En-tte18ptNonGras">
    <w:name w:val="En-tête #1 + 8 pt;Non Gras"/>
    <w:basedOn w:val="DefaultParagraphFont"/>
    <w:rPr>
      <w:rFonts w:ascii="Times New Roman" w:eastAsia="Times New Roman" w:hAnsi="Times New Roman" w:cs="Times New Roman"/>
      <w:b/>
      <w:bCs/>
      <w:i w:val="0"/>
      <w:iCs w:val="0"/>
      <w:smallCaps w:val="0"/>
      <w:strike w:val="0"/>
      <w:color w:val="1A171C"/>
      <w:spacing w:val="0"/>
      <w:w w:val="100"/>
      <w:position w:val="0"/>
      <w:sz w:val="16"/>
      <w:szCs w:val="16"/>
      <w:u w:val="none"/>
      <w:lang w:val="el-GR"/>
    </w:rPr>
  </w:style>
  <w:style w:type="character" w:customStyle="1" w:styleId="En-tte1">
    <w:name w:val="En-tête #1"/>
    <w:basedOn w:val="DefaultParagraphFont"/>
    <w:rPr>
      <w:rFonts w:ascii="Times New Roman" w:eastAsia="Times New Roman" w:hAnsi="Times New Roman" w:cs="Times New Roman"/>
      <w:b w:val="0"/>
      <w:bCs w:val="0"/>
      <w:i w:val="0"/>
      <w:iCs w:val="0"/>
      <w:smallCaps w:val="0"/>
      <w:strike w:val="0"/>
      <w:color w:val="1A171C"/>
      <w:spacing w:val="0"/>
      <w:w w:val="100"/>
      <w:position w:val="0"/>
      <w:sz w:val="19"/>
      <w:szCs w:val="19"/>
      <w:u w:val="none"/>
      <w:lang w:val="el-GR"/>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
    <w:name w:val="Supersc"/>
    <w:basedOn w:val="Normal"/>
    <w:pPr>
      <w:tabs>
        <w:tab w:val="num" w:pos="709"/>
      </w:tabs>
      <w:ind w:left="709" w:hanging="709"/>
    </w:pPr>
    <w:rPr>
      <w:rFonts w:eastAsia="Times New Roman"/>
    </w:rPr>
  </w:style>
  <w:style w:type="character" w:customStyle="1" w:styleId="ListParagraphChar">
    <w:name w:val="List Paragraph Char"/>
    <w:basedOn w:val="DefaultParagraphFont"/>
    <w:link w:val="ListParagraph"/>
    <w:uiPriority w:val="67"/>
    <w:rPr>
      <w:lang w:val="el-GR"/>
    </w:rPr>
  </w:style>
  <w:style w:type="paragraph" w:customStyle="1" w:styleId="ListDash">
    <w:name w:val="List Dash"/>
    <w:basedOn w:val="Normal"/>
    <w:pPr>
      <w:numPr>
        <w:numId w:val="15"/>
      </w:numPr>
    </w:pPr>
    <w:rPr>
      <w:rFonts w:eastAsia="Times New Roman"/>
    </w:rPr>
  </w:style>
  <w:style w:type="character" w:styleId="FollowedHyperlink">
    <w:name w:val="FollowedHyperlink"/>
    <w:rPr>
      <w:color w:val="800080"/>
      <w:u w:val="single"/>
    </w:rPr>
  </w:style>
  <w:style w:type="paragraph" w:customStyle="1" w:styleId="Sectio">
    <w:name w:val="Sectio"/>
    <w:basedOn w:val="Titrearticle"/>
    <w:pPr>
      <w:keepLines/>
    </w:pPr>
    <w:rPr>
      <w:b/>
      <w:i w:val="0"/>
    </w:rPr>
  </w:style>
  <w:style w:type="table" w:customStyle="1" w:styleId="CV11">
    <w:name w:val="CV11"/>
    <w:basedOn w:val="TableNormal"/>
    <w:next w:val="TableGrid"/>
    <w:uiPriority w:val="59"/>
    <w:pPr>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1386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1386A"/>
    <w:rPr>
      <w:rFonts w:ascii="Times New Roman" w:hAnsi="Times New Roman" w:cs="Times New Roman"/>
      <w:sz w:val="24"/>
      <w:lang w:eastAsia="en-US" w:bidi="ar-SA"/>
    </w:rPr>
  </w:style>
  <w:style w:type="paragraph" w:styleId="Footer">
    <w:name w:val="footer"/>
    <w:basedOn w:val="Normal"/>
    <w:link w:val="FooterChar"/>
    <w:uiPriority w:val="99"/>
    <w:unhideWhenUsed/>
    <w:rsid w:val="00A1386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1386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1386A"/>
    <w:pPr>
      <w:tabs>
        <w:tab w:val="center" w:pos="7285"/>
        <w:tab w:val="right" w:pos="14003"/>
      </w:tabs>
      <w:spacing w:before="0"/>
    </w:pPr>
    <w:rPr>
      <w:lang w:eastAsia="en-US" w:bidi="ar-SA"/>
    </w:rPr>
  </w:style>
  <w:style w:type="paragraph" w:customStyle="1" w:styleId="FooterLandscape">
    <w:name w:val="FooterLandscape"/>
    <w:basedOn w:val="Normal"/>
    <w:rsid w:val="00A1386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1386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1386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ec.europa.eu/transparency/regdoc/?fuseaction=ia" TargetMode="Externa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s://myintracomm.ec.europa.eu/budgweb/EN/bud/mff/Pages/mff-post-2020.aspx" TargetMode="External"/><Relationship Id="rId30" Type="http://schemas.openxmlformats.org/officeDocument/2006/relationships/header" Target="header9.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ur-lex.europa.eu/legal-content/EN/TXT/?uri=uriserv:OJ.C_.2013.373.01.0001.01.ENG&amp;toc=OJ:C:2013:37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BFE5-A6CF-4820-923F-93C10EF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63</Pages>
  <Words>22832</Words>
  <Characters>136563</Characters>
  <Application>Microsoft Office Word</Application>
  <DocSecurity>0</DocSecurity>
  <Lines>2900</Lines>
  <Paragraphs>918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dcterms:created xsi:type="dcterms:W3CDTF">2018-06-21T13:36:00Z</dcterms:created>
  <dcterms:modified xsi:type="dcterms:W3CDTF">2018-06-22T14:02:00Z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