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6B8C6A0-E267-4754-9902-075F4A75C031" style="width:450.15pt;height:410.7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 I</w:t>
      </w:r>
      <w:r>
        <w:rPr>
          <w:noProof/>
        </w:rPr>
        <w:br/>
        <w:t xml:space="preserve">FÖRTECKNING ÖVER LÄNDER OCH TERRITORIER I GRANNSKAPSOMRÅDET </w:t>
      </w:r>
    </w:p>
    <w:p>
      <w:pPr>
        <w:spacing w:before="0" w:after="0"/>
        <w:rPr>
          <w:noProof/>
        </w:rPr>
      </w:pPr>
    </w:p>
    <w:p>
      <w:pPr>
        <w:spacing w:before="0" w:after="0"/>
        <w:rPr>
          <w:noProof/>
        </w:rPr>
      </w:pPr>
      <w:r>
        <w:rPr>
          <w:noProof/>
        </w:rPr>
        <w:t>Algeriet</w:t>
      </w:r>
    </w:p>
    <w:p>
      <w:pPr>
        <w:spacing w:before="0" w:after="0"/>
        <w:rPr>
          <w:noProof/>
        </w:rPr>
      </w:pPr>
      <w:r>
        <w:rPr>
          <w:noProof/>
        </w:rPr>
        <w:t>Armenien</w:t>
      </w:r>
    </w:p>
    <w:p>
      <w:pPr>
        <w:spacing w:before="0" w:after="0"/>
        <w:rPr>
          <w:noProof/>
        </w:rPr>
      </w:pPr>
      <w:r>
        <w:rPr>
          <w:noProof/>
        </w:rPr>
        <w:t>Azerbajdzjan</w:t>
      </w:r>
    </w:p>
    <w:p>
      <w:pPr>
        <w:spacing w:before="0" w:after="0"/>
        <w:rPr>
          <w:noProof/>
        </w:rPr>
      </w:pPr>
      <w:r>
        <w:rPr>
          <w:noProof/>
        </w:rPr>
        <w:t>Vitryssland</w:t>
      </w:r>
    </w:p>
    <w:p>
      <w:pPr>
        <w:spacing w:before="0" w:after="0"/>
        <w:rPr>
          <w:noProof/>
        </w:rPr>
      </w:pPr>
      <w:r>
        <w:rPr>
          <w:noProof/>
        </w:rPr>
        <w:t>Egypten</w:t>
      </w:r>
    </w:p>
    <w:p>
      <w:pPr>
        <w:spacing w:before="0" w:after="0"/>
        <w:rPr>
          <w:noProof/>
        </w:rPr>
      </w:pPr>
      <w:r>
        <w:rPr>
          <w:noProof/>
        </w:rPr>
        <w:t>Georgien</w:t>
      </w:r>
    </w:p>
    <w:p>
      <w:pPr>
        <w:spacing w:before="0" w:after="0"/>
        <w:rPr>
          <w:noProof/>
        </w:rPr>
      </w:pPr>
      <w:r>
        <w:rPr>
          <w:noProof/>
        </w:rPr>
        <w:t>Israel</w:t>
      </w:r>
    </w:p>
    <w:p>
      <w:pPr>
        <w:spacing w:before="0" w:after="0"/>
        <w:rPr>
          <w:noProof/>
        </w:rPr>
      </w:pPr>
      <w:r>
        <w:rPr>
          <w:noProof/>
        </w:rPr>
        <w:t>Jordanien</w:t>
      </w:r>
    </w:p>
    <w:p>
      <w:pPr>
        <w:spacing w:before="0" w:after="0"/>
        <w:rPr>
          <w:noProof/>
        </w:rPr>
      </w:pPr>
      <w:r>
        <w:rPr>
          <w:noProof/>
        </w:rPr>
        <w:t>Libanon</w:t>
      </w:r>
    </w:p>
    <w:p>
      <w:pPr>
        <w:spacing w:before="0" w:after="0"/>
        <w:rPr>
          <w:noProof/>
        </w:rPr>
      </w:pPr>
      <w:r>
        <w:rPr>
          <w:noProof/>
        </w:rPr>
        <w:t>Libyen</w:t>
      </w:r>
    </w:p>
    <w:p>
      <w:pPr>
        <w:spacing w:before="0" w:after="0"/>
        <w:rPr>
          <w:noProof/>
        </w:rPr>
      </w:pPr>
      <w:r>
        <w:rPr>
          <w:noProof/>
        </w:rPr>
        <w:t>Republiken Moldavien</w:t>
      </w:r>
    </w:p>
    <w:p>
      <w:pPr>
        <w:spacing w:before="0" w:after="0"/>
        <w:rPr>
          <w:noProof/>
        </w:rPr>
      </w:pPr>
      <w:r>
        <w:rPr>
          <w:noProof/>
        </w:rPr>
        <w:t>Marocko</w:t>
      </w:r>
    </w:p>
    <w:p>
      <w:pPr>
        <w:spacing w:before="0" w:after="0"/>
        <w:rPr>
          <w:noProof/>
        </w:rPr>
      </w:pPr>
      <w:r>
        <w:rPr>
          <w:noProof/>
        </w:rPr>
        <w:t>Det ockuperade palestinska territoriet</w:t>
      </w:r>
    </w:p>
    <w:p>
      <w:pPr>
        <w:spacing w:before="0" w:after="0"/>
        <w:rPr>
          <w:noProof/>
        </w:rPr>
      </w:pPr>
      <w:r>
        <w:rPr>
          <w:noProof/>
        </w:rPr>
        <w:t>Syrien</w:t>
      </w:r>
    </w:p>
    <w:p>
      <w:pPr>
        <w:spacing w:before="0" w:after="0"/>
        <w:rPr>
          <w:noProof/>
        </w:rPr>
      </w:pPr>
      <w:r>
        <w:rPr>
          <w:noProof/>
        </w:rPr>
        <w:t>Tunisien</w:t>
      </w:r>
    </w:p>
    <w:p>
      <w:pPr>
        <w:spacing w:before="0" w:after="0"/>
        <w:rPr>
          <w:noProof/>
        </w:rPr>
      </w:pPr>
      <w:r>
        <w:rPr>
          <w:noProof/>
        </w:rPr>
        <w:t>Ukraina</w:t>
      </w:r>
    </w:p>
    <w:p>
      <w:pPr>
        <w:spacing w:before="0" w:after="0"/>
        <w:rPr>
          <w:noProof/>
          <w:szCs w:val="24"/>
        </w:rPr>
      </w:pPr>
    </w:p>
    <w:p>
      <w:pPr>
        <w:spacing w:before="0" w:after="0"/>
        <w:rPr>
          <w:noProof/>
        </w:rPr>
      </w:pPr>
      <w:r>
        <w:rPr>
          <w:noProof/>
        </w:rPr>
        <w:t>Unionens stöd inom detta område kan också användas i syfte att göra det möjligt för Ryska federationen att delta i program för gränsöverskridande samarbete och i andra relevanta flerlandsprogram.</w:t>
      </w:r>
    </w:p>
    <w:p>
      <w:pPr>
        <w:rPr>
          <w:noProof/>
        </w:rPr>
      </w:pP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rFonts w:eastAsia="Calibri"/>
          <w:noProof/>
          <w:szCs w:val="24"/>
        </w:rPr>
      </w:pPr>
      <w:r>
        <w:rPr>
          <w:noProof/>
        </w:rPr>
        <w:lastRenderedPageBreak/>
        <w:t xml:space="preserve">BILAGA II </w:t>
      </w:r>
      <w:r>
        <w:rPr>
          <w:noProof/>
        </w:rPr>
        <w:br/>
        <w:t>SAMARBETSOMRÅDEN FÖR DE GEOGRAFISKA PROGRAMMEN</w:t>
      </w:r>
    </w:p>
    <w:p>
      <w:pPr>
        <w:autoSpaceDE w:val="0"/>
        <w:autoSpaceDN w:val="0"/>
        <w:adjustRightInd w:val="0"/>
        <w:spacing w:before="0" w:after="0"/>
        <w:rPr>
          <w:rFonts w:eastAsia="Calibri"/>
          <w:i/>
          <w:noProof/>
          <w:szCs w:val="24"/>
        </w:rPr>
      </w:pPr>
    </w:p>
    <w:p>
      <w:pPr>
        <w:pStyle w:val="ManualHeading3"/>
        <w:rPr>
          <w:b/>
          <w:noProof/>
        </w:rPr>
      </w:pPr>
      <w:r>
        <w:rPr>
          <w:b/>
          <w:noProof/>
        </w:rPr>
        <w:t xml:space="preserve">A. </w:t>
      </w:r>
      <w:r>
        <w:rPr>
          <w:noProof/>
        </w:rPr>
        <w:tab/>
      </w:r>
      <w:r>
        <w:rPr>
          <w:b/>
          <w:noProof/>
        </w:rPr>
        <w:t>För alla geografiska regioner</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MÄNNISKOR</w:t>
      </w:r>
    </w:p>
    <w:p>
      <w:pPr>
        <w:pStyle w:val="ManualNumPar1"/>
        <w:rPr>
          <w:b/>
          <w:noProof/>
        </w:rPr>
      </w:pPr>
      <w:r>
        <w:rPr>
          <w:b/>
          <w:noProof/>
        </w:rPr>
        <w:t xml:space="preserve">1. </w:t>
      </w:r>
      <w:r>
        <w:rPr>
          <w:noProof/>
        </w:rPr>
        <w:tab/>
      </w:r>
      <w:r>
        <w:rPr>
          <w:b/>
          <w:noProof/>
        </w:rPr>
        <w:t>God samhällsstyrning, demokrati, rättsstatsprincipen och de mänskliga rättigheterna</w:t>
      </w:r>
    </w:p>
    <w:p>
      <w:pPr>
        <w:pStyle w:val="Point0letter"/>
        <w:numPr>
          <w:ilvl w:val="1"/>
          <w:numId w:val="41"/>
        </w:numPr>
        <w:rPr>
          <w:noProof/>
        </w:rPr>
      </w:pPr>
      <w:r>
        <w:rPr>
          <w:noProof/>
        </w:rPr>
        <w:t>Stärka demokratin och de demokratiska processerna, styrningen och tillsynen, inbegripet transparenta och trovärdiga valprocesser.</w:t>
      </w:r>
    </w:p>
    <w:p>
      <w:pPr>
        <w:pStyle w:val="Point0letter"/>
        <w:rPr>
          <w:noProof/>
        </w:rPr>
      </w:pPr>
      <w:r>
        <w:rPr>
          <w:noProof/>
        </w:rPr>
        <w:t>Stärka skyddet av de mänskliga rättigheterna och de grundläggande friheterna.</w:t>
      </w:r>
    </w:p>
    <w:p>
      <w:pPr>
        <w:pStyle w:val="Point0letter"/>
        <w:rPr>
          <w:noProof/>
        </w:rPr>
      </w:pPr>
      <w:r>
        <w:rPr>
          <w:noProof/>
        </w:rPr>
        <w:t>Främja kampen mot diskriminering i alla dess former, och principen om jämlikhet, särskilt jämställdhet mellan könen och rättigheter för personer som tillhör minoriteter.</w:t>
      </w:r>
    </w:p>
    <w:p>
      <w:pPr>
        <w:pStyle w:val="Point0letter"/>
        <w:rPr>
          <w:noProof/>
        </w:rPr>
      </w:pPr>
      <w:r>
        <w:rPr>
          <w:noProof/>
        </w:rPr>
        <w:t>Stödja ett blomstrande civilt samhälle och dess roll vid reformprocesser och demokratiska förändringar och främja ett möjliggörande utrymme för det civila samhällets och medborgarnas deltagande i det politiska beslutsfattandet.</w:t>
      </w:r>
    </w:p>
    <w:p>
      <w:pPr>
        <w:pStyle w:val="Point0letter"/>
        <w:rPr>
          <w:noProof/>
        </w:rPr>
      </w:pPr>
      <w:r>
        <w:rPr>
          <w:noProof/>
        </w:rPr>
        <w:t xml:space="preserve">Förbättra pluralismen, oberoendet och professionalismen i de fria och oberoende medierna. </w:t>
      </w:r>
    </w:p>
    <w:p>
      <w:pPr>
        <w:pStyle w:val="Point0letter"/>
        <w:rPr>
          <w:rFonts w:eastAsia="Calibri"/>
          <w:noProof/>
        </w:rPr>
      </w:pPr>
      <w:r>
        <w:rPr>
          <w:noProof/>
        </w:rPr>
        <w:t>Bygga upp resiliensen hos stater, samhällen, grupper och enskilda personer mot politiska, ekonomiska, miljömässiga, demografiska och samhälleliga påfrestningar och chocker.</w:t>
      </w:r>
    </w:p>
    <w:p>
      <w:pPr>
        <w:pStyle w:val="Point0letter"/>
        <w:rPr>
          <w:noProof/>
        </w:rPr>
      </w:pPr>
      <w:r>
        <w:rPr>
          <w:noProof/>
        </w:rPr>
        <w:t>Stärka utvecklingen av demokratiska offentliga institutioner på nationell och lokal nivå, ett oberoende, effektivt och ansvarigt rättsväsende, främjande av rättsstatsprincipen och tillgång till rättslig prövning för alla.</w:t>
      </w:r>
    </w:p>
    <w:p>
      <w:pPr>
        <w:pStyle w:val="Point0letter"/>
        <w:rPr>
          <w:noProof/>
        </w:rPr>
      </w:pPr>
      <w:r>
        <w:rPr>
          <w:noProof/>
        </w:rPr>
        <w:t>Stödja reformen av den offentliga förvaltningen, bland annat genom användandet av medborgarinriktad e-förvaltning, stärka de rättsliga ramarna och den institutionella strukturen, nationella statistiska system, kapacitet, sund förvaltning av offentliga finanser, och bidra till kampen mot korruption.</w:t>
      </w:r>
    </w:p>
    <w:p>
      <w:pPr>
        <w:pStyle w:val="Point0letter"/>
        <w:rPr>
          <w:noProof/>
        </w:rPr>
      </w:pPr>
      <w:r>
        <w:rPr>
          <w:noProof/>
        </w:rPr>
        <w:t>Främja en inkluderande, balanserad och integrerad territoriell politik och urban politik genom att stärka offentliga institutioner och organ på nationell, regional och lokal nivå och stödja en effektiv decentralisering och omstrukturering av staten.</w:t>
      </w:r>
    </w:p>
    <w:p>
      <w:pPr>
        <w:pStyle w:val="Point0letter"/>
        <w:rPr>
          <w:noProof/>
        </w:rPr>
      </w:pPr>
      <w:r>
        <w:rPr>
          <w:noProof/>
        </w:rPr>
        <w:t>Öka transparensen och ansvarigheten för offentliga institutioner, stärka offentlig upphandling och förvaltning av de offentliga finanserna, utveckla e-förvaltning och förbättra tillhandahållandet av tjänster.</w:t>
      </w:r>
    </w:p>
    <w:p>
      <w:pPr>
        <w:pStyle w:val="Point0letter"/>
        <w:rPr>
          <w:rFonts w:eastAsia="Calibri"/>
          <w:noProof/>
        </w:rPr>
      </w:pPr>
      <w:r>
        <w:rPr>
          <w:noProof/>
        </w:rPr>
        <w:t>En hållbar, ansvarig och transparent förvaltning av naturresurssektorer och därmed sammanhängande intäkter samt reformer för att garantera en rättvis, rimlig och hållbar skattepolitik.</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2. </w:t>
      </w:r>
      <w:r>
        <w:rPr>
          <w:noProof/>
        </w:rPr>
        <w:tab/>
      </w:r>
      <w:r>
        <w:rPr>
          <w:b/>
          <w:noProof/>
        </w:rPr>
        <w:t>Fattigdomsutrotning, kamp mot ojämlikheter och mänsklig utveckling</w:t>
      </w:r>
    </w:p>
    <w:p>
      <w:pPr>
        <w:pStyle w:val="Point0letter"/>
        <w:numPr>
          <w:ilvl w:val="1"/>
          <w:numId w:val="36"/>
        </w:numPr>
        <w:rPr>
          <w:noProof/>
        </w:rPr>
      </w:pPr>
      <w:r>
        <w:rPr>
          <w:noProof/>
        </w:rPr>
        <w:t xml:space="preserve">Utrota fattigdom i alla dess aspekter, bekämpa diskriminering och ojämlikhet och inte lämna någon på efterkälken. </w:t>
      </w:r>
    </w:p>
    <w:p>
      <w:pPr>
        <w:pStyle w:val="Point0letter"/>
        <w:rPr>
          <w:rFonts w:eastAsia="Times New Roman"/>
          <w:noProof/>
          <w:color w:val="000000"/>
        </w:rPr>
      </w:pPr>
      <w:r>
        <w:rPr>
          <w:noProof/>
        </w:rPr>
        <w:lastRenderedPageBreak/>
        <w:t>Öka ansträngningarna för antagande av policyer och lämpliga investeringar för att främja kvinnors och unga människors rättigheter och underlätta deras deltagande i det sociala, samhälleliga och ekonomiska livet och säkerställa att de kan bidra fullt ut till en inkluderande tillväxt och hållbar utveckling.</w:t>
      </w:r>
    </w:p>
    <w:p>
      <w:pPr>
        <w:pStyle w:val="Point0letter"/>
        <w:rPr>
          <w:rFonts w:eastAsia="Times New Roman"/>
          <w:noProof/>
          <w:color w:val="000000"/>
        </w:rPr>
      </w:pPr>
      <w:r>
        <w:rPr>
          <w:noProof/>
        </w:rPr>
        <w:t>Främja skyddet och förverkligandet av kvinnors och flickors rättigheter, inbegripet ekonomiska, arbetsrättsliga och sociala rättigheter, sexuell och reproduktiv hälsa och rättigheter, och förebygga sexuellt och könsrelaterat våld i alla former.</w:t>
      </w:r>
    </w:p>
    <w:p>
      <w:pPr>
        <w:pStyle w:val="Point0letter"/>
        <w:rPr>
          <w:rFonts w:eastAsia="Times New Roman"/>
          <w:noProof/>
          <w:color w:val="000000"/>
        </w:rPr>
      </w:pPr>
      <w:r>
        <w:rPr>
          <w:noProof/>
        </w:rPr>
        <w:t>Ägna särskild uppmärksamhet åt personer som är missgynnade, utsatta och marginaliserade, bland annat barn, äldre, personer med funktionsnedsättningar, hbti-personer och ursprungsbefolkningar. Detta inbegriper att främja övergången från institutionsbaserad till samhällsbaserad vård och omsorg för barn.</w:t>
      </w:r>
    </w:p>
    <w:p>
      <w:pPr>
        <w:pStyle w:val="Point0letter"/>
        <w:rPr>
          <w:noProof/>
        </w:rPr>
      </w:pPr>
      <w:r>
        <w:rPr>
          <w:noProof/>
        </w:rPr>
        <w:t>Främja ett integrerat synsätt för att hjälpa lokalsamhällen, särskilt de fattigaste, att förbättra tillgången till grundläggande behov och tjänster.</w:t>
      </w:r>
    </w:p>
    <w:p>
      <w:pPr>
        <w:pStyle w:val="Point0letter"/>
        <w:rPr>
          <w:rFonts w:eastAsia="Times New Roman"/>
          <w:noProof/>
          <w:color w:val="000000"/>
        </w:rPr>
      </w:pPr>
      <w:r>
        <w:rPr>
          <w:noProof/>
        </w:rPr>
        <w:t xml:space="preserve">Stödja tillhandahållandet av en säker och utvecklande miljö som ett viktigt inslag i främjandet av en frisk ung befolkning som kan nå sin fulla potential. </w:t>
      </w:r>
    </w:p>
    <w:p>
      <w:pPr>
        <w:pStyle w:val="Point0letter"/>
        <w:rPr>
          <w:noProof/>
        </w:rPr>
      </w:pPr>
      <w:r>
        <w:rPr>
          <w:noProof/>
        </w:rPr>
        <w:t>Stödja allmän tillgång till tillräckliga, säkra och näringsrika livsmedel till överkomliga priser, särskilt för dem som befinner sig i de mest utsatta situationerna, och en förbättrad livsmedelstrygghet och nutrition, särskilt i länder som drabbas av långvariga eller återkommande kriser.</w:t>
      </w:r>
    </w:p>
    <w:p>
      <w:pPr>
        <w:pStyle w:val="Point0letter"/>
        <w:rPr>
          <w:noProof/>
        </w:rPr>
      </w:pPr>
      <w:r>
        <w:rPr>
          <w:noProof/>
        </w:rPr>
        <w:t>Stödja allmän tillgång till säkert dricksvatten, sanitet och hygien, och en hållbar och integrerad vattenförvaltning.</w:t>
      </w:r>
    </w:p>
    <w:p>
      <w:pPr>
        <w:pStyle w:val="Point0letter"/>
        <w:rPr>
          <w:noProof/>
        </w:rPr>
      </w:pPr>
      <w:r>
        <w:rPr>
          <w:noProof/>
        </w:rPr>
        <w:t>Uppnå ett allmänt sjukvårdssystem, med rättvis tillgång till bra och överkomlig hälso- och sjukvård, bland annat genom att stödja starka och motståndskraftiga hälso- och sjukvårdssystem av god kvalitet och förbättra kapaciteten för tidig varning, riskminskning, riskhantering och återhämtning.</w:t>
      </w:r>
    </w:p>
    <w:p>
      <w:pPr>
        <w:pStyle w:val="Point0letter"/>
        <w:rPr>
          <w:noProof/>
        </w:rPr>
      </w:pPr>
      <w:r>
        <w:rPr>
          <w:noProof/>
        </w:rPr>
        <w:t>Främja allmän och rättvis tillgång till socialt skydd och stärka de sociala skyddsnäten i syfte att garantera en grundläggande inkomst, förhindra extrem fattigdom och bygga upp resiliens.</w:t>
      </w:r>
    </w:p>
    <w:p>
      <w:pPr>
        <w:pStyle w:val="Point0letter"/>
        <w:rPr>
          <w:noProof/>
        </w:rPr>
      </w:pPr>
      <w:r>
        <w:rPr>
          <w:noProof/>
        </w:rPr>
        <w:t xml:space="preserve">Främja en inkluderande och hållbar stadsutveckling i syfte att motverka urban ojämlikhet, med fokus på de mest behövande. </w:t>
      </w:r>
    </w:p>
    <w:p>
      <w:pPr>
        <w:pStyle w:val="Point0letter"/>
        <w:rPr>
          <w:rFonts w:eastAsia="Times New Roman"/>
          <w:noProof/>
          <w:color w:val="000000"/>
          <w:szCs w:val="24"/>
        </w:rPr>
      </w:pPr>
      <w:r>
        <w:rPr>
          <w:noProof/>
        </w:rPr>
        <w:t>Stödja lokala myndigheter att på lokal nivå förbättra tillhandahållandet av grundläggande tjänster och en rättvis tillgång till livsmedelstrygghet och tillgängliga, anständiga och prismässigt överkomliga bostäder samt att förbättra livskvaliteten, särskilt för dem som lever i informella bosättningar och slum.</w:t>
      </w:r>
    </w:p>
    <w:p>
      <w:pPr>
        <w:pStyle w:val="Point0letter"/>
        <w:rPr>
          <w:noProof/>
        </w:rPr>
      </w:pPr>
      <w:r>
        <w:rPr>
          <w:noProof/>
        </w:rPr>
        <w:t>Främja inkluderande och rättvis högkvalitativ formell, informell och icke-formell utbildning för alla, på alla nivåer, inbegripet teknisk och yrkesinriktad utbildning, inklusive i nöd- och krissituationer, bland annat genom utnyttjande av digital teknik för att förbättra undervisning och inlärning.</w:t>
      </w:r>
    </w:p>
    <w:p>
      <w:pPr>
        <w:pStyle w:val="Point0letter"/>
        <w:rPr>
          <w:noProof/>
        </w:rPr>
      </w:pPr>
      <w:r>
        <w:rPr>
          <w:noProof/>
        </w:rPr>
        <w:t>Stödja åtgärder för kapacitetsuppbyggnad, mobilitet i utbildningssyfte till, från eller mellan partnerländerna samt samarbete och politisk dialog med institutioner, organisationer, lokala verkställande organ och myndigheter i dessa länder.</w:t>
      </w:r>
    </w:p>
    <w:p>
      <w:pPr>
        <w:pStyle w:val="Point0letter"/>
        <w:rPr>
          <w:noProof/>
        </w:rPr>
      </w:pPr>
      <w:r>
        <w:rPr>
          <w:noProof/>
        </w:rPr>
        <w:t xml:space="preserve">Främja samarbete om vetenskap, teknik och forskning samt öppna data och innovation.  </w:t>
      </w:r>
    </w:p>
    <w:p>
      <w:pPr>
        <w:pStyle w:val="Point0letter"/>
        <w:rPr>
          <w:rFonts w:eastAsia="Times New Roman"/>
          <w:noProof/>
          <w:color w:val="000000"/>
        </w:rPr>
      </w:pPr>
      <w:r>
        <w:rPr>
          <w:noProof/>
        </w:rPr>
        <w:lastRenderedPageBreak/>
        <w:t>Förbättra samordningen mellan alla berörda aktörer, i syfte att bistå vid övergången från nödsituation till en ny utvecklingsfas.</w:t>
      </w:r>
    </w:p>
    <w:p>
      <w:pPr>
        <w:pStyle w:val="Point0letter"/>
        <w:rPr>
          <w:noProof/>
        </w:rPr>
      </w:pPr>
      <w:r>
        <w:rPr>
          <w:noProof/>
        </w:rPr>
        <w:t>Främja interkulturell dialog och kulturell mångfald i alla dess former, bevara och främja kulturarvet och frigöra potentialen i de kreativa näringarna för hållbar social och ekonomisk utveckling.</w:t>
      </w:r>
    </w:p>
    <w:p>
      <w:pPr>
        <w:pStyle w:val="Point0letter"/>
        <w:rPr>
          <w:noProof/>
        </w:rPr>
      </w:pPr>
      <w:r>
        <w:rPr>
          <w:noProof/>
        </w:rPr>
        <w:t xml:space="preserve">Främja värdigheten och resiliensen hos personer som är långvarigt tvångsfördrivna och deras integration i mottagarländernas och de mottagande samhällenas ekonomiska och sociala liv. </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3. </w:t>
      </w:r>
      <w:r>
        <w:rPr>
          <w:noProof/>
        </w:rPr>
        <w:tab/>
      </w:r>
      <w:r>
        <w:rPr>
          <w:b/>
          <w:noProof/>
        </w:rPr>
        <w:t>Migration och mobilitet</w:t>
      </w:r>
    </w:p>
    <w:p>
      <w:pPr>
        <w:pStyle w:val="Point0letter"/>
        <w:numPr>
          <w:ilvl w:val="1"/>
          <w:numId w:val="39"/>
        </w:numPr>
        <w:rPr>
          <w:noProof/>
        </w:rPr>
      </w:pPr>
      <w:r>
        <w:rPr>
          <w:noProof/>
        </w:rPr>
        <w:t>Stärka partnerskap på migrations- och mobilitetsområdet på grundval av en integrerad och balanserad strategi, som omfattar alla aspekter av migration, inbegripet stöd i genomförandet av unionens bilaterala eller regionala avtal och överenskommelser, inklusive partnerskap för rörlighet.</w:t>
      </w:r>
    </w:p>
    <w:p>
      <w:pPr>
        <w:pStyle w:val="Point0letter"/>
        <w:numPr>
          <w:ilvl w:val="1"/>
          <w:numId w:val="39"/>
        </w:numPr>
        <w:rPr>
          <w:noProof/>
        </w:rPr>
      </w:pPr>
      <w:r>
        <w:rPr>
          <w:noProof/>
        </w:rPr>
        <w:t>Stödja en hållbar återintegrering av återvändande migranter.</w:t>
      </w:r>
    </w:p>
    <w:p>
      <w:pPr>
        <w:pStyle w:val="Point0letter"/>
        <w:numPr>
          <w:ilvl w:val="1"/>
          <w:numId w:val="39"/>
        </w:numPr>
        <w:rPr>
          <w:noProof/>
        </w:rPr>
      </w:pPr>
      <w:r>
        <w:rPr>
          <w:noProof/>
        </w:rPr>
        <w:t>Hantera och mildra de bakomliggande orsakerna till irreguljär migration och tvångsförflyttning.</w:t>
      </w:r>
    </w:p>
    <w:p>
      <w:pPr>
        <w:pStyle w:val="Point0letter"/>
        <w:numPr>
          <w:ilvl w:val="1"/>
          <w:numId w:val="39"/>
        </w:numPr>
        <w:rPr>
          <w:noProof/>
          <w:color w:val="000000" w:themeColor="text1"/>
        </w:rPr>
      </w:pPr>
      <w:r>
        <w:rPr>
          <w:noProof/>
        </w:rPr>
        <w:t>Hantera irreguljär migration, människohandel, smuggling av migranter samt stärka samarbetet om en integrerad gränsförvaltning.</w:t>
      </w:r>
    </w:p>
    <w:p>
      <w:pPr>
        <w:pStyle w:val="Point0letter"/>
        <w:numPr>
          <w:ilvl w:val="1"/>
          <w:numId w:val="39"/>
        </w:numPr>
        <w:rPr>
          <w:noProof/>
        </w:rPr>
      </w:pPr>
      <w:r>
        <w:rPr>
          <w:noProof/>
        </w:rPr>
        <w:t>Stärka den vetenskapliga, tekniska, mänskliga och institutionella kapaciteten att hantera migrationsströmmarna.</w:t>
      </w:r>
    </w:p>
    <w:p>
      <w:pPr>
        <w:pStyle w:val="Point0letter"/>
        <w:numPr>
          <w:ilvl w:val="1"/>
          <w:numId w:val="39"/>
        </w:numPr>
        <w:rPr>
          <w:noProof/>
        </w:rPr>
      </w:pPr>
      <w:r>
        <w:rPr>
          <w:noProof/>
        </w:rPr>
        <w:t>Stödja en effektiv och människorättsbaserad migrationspolitik, inklusive skyddsprogram.</w:t>
      </w:r>
    </w:p>
    <w:p>
      <w:pPr>
        <w:pStyle w:val="Point0letter"/>
        <w:numPr>
          <w:ilvl w:val="1"/>
          <w:numId w:val="39"/>
        </w:numPr>
        <w:rPr>
          <w:noProof/>
        </w:rPr>
      </w:pPr>
      <w:r>
        <w:rPr>
          <w:noProof/>
        </w:rPr>
        <w:t>Främja villkor för att underlätta laglig migration och en välhanterad mobilitet, direkta personkontakter, och maximera migrationens utvecklingseffekter.</w:t>
      </w:r>
    </w:p>
    <w:p>
      <w:pPr>
        <w:pStyle w:val="Point0letter"/>
        <w:numPr>
          <w:ilvl w:val="1"/>
          <w:numId w:val="39"/>
        </w:numPr>
        <w:rPr>
          <w:noProof/>
        </w:rPr>
      </w:pPr>
      <w:r>
        <w:rPr>
          <w:noProof/>
        </w:rPr>
        <w:t>Säkra skydd för migranter och tvångsfördrivna personer.</w:t>
      </w:r>
    </w:p>
    <w:p>
      <w:pPr>
        <w:pStyle w:val="Point0letter"/>
        <w:numPr>
          <w:ilvl w:val="1"/>
          <w:numId w:val="39"/>
        </w:numPr>
        <w:rPr>
          <w:noProof/>
        </w:rPr>
      </w:pPr>
      <w:r>
        <w:rPr>
          <w:noProof/>
        </w:rPr>
        <w:t xml:space="preserve">Stödja utvecklingsgrundade lösningar för tvångsförflyttade personer och deras värdsamhällen. </w:t>
      </w:r>
    </w:p>
    <w:p>
      <w:pPr>
        <w:pStyle w:val="Point0letter"/>
        <w:numPr>
          <w:ilvl w:val="1"/>
          <w:numId w:val="39"/>
        </w:numPr>
        <w:rPr>
          <w:noProof/>
        </w:rPr>
      </w:pPr>
      <w:r>
        <w:rPr>
          <w:noProof/>
        </w:rPr>
        <w:t xml:space="preserve">Stödja diasporans engagemang i ursprungsländerna. </w:t>
      </w:r>
    </w:p>
    <w:p>
      <w:pPr>
        <w:pStyle w:val="Point0letter"/>
        <w:numPr>
          <w:ilvl w:val="1"/>
          <w:numId w:val="39"/>
        </w:numPr>
        <w:rPr>
          <w:noProof/>
          <w:szCs w:val="24"/>
        </w:rPr>
      </w:pPr>
      <w:r>
        <w:rPr>
          <w:noProof/>
        </w:rPr>
        <w:t>Främja snabbare, billigare och säkrare penningöverföringar i både ursprungs- och mottagarländerna, och därmed utnyttja deras utvecklingspotential.</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VÅR PLANET</w:t>
      </w:r>
    </w:p>
    <w:p>
      <w:pPr>
        <w:pStyle w:val="ManualNumPar1"/>
        <w:rPr>
          <w:b/>
          <w:noProof/>
        </w:rPr>
      </w:pPr>
      <w:r>
        <w:rPr>
          <w:b/>
          <w:noProof/>
        </w:rPr>
        <w:t xml:space="preserve">4. </w:t>
      </w:r>
      <w:r>
        <w:rPr>
          <w:noProof/>
        </w:rPr>
        <w:tab/>
      </w:r>
      <w:r>
        <w:rPr>
          <w:b/>
          <w:noProof/>
        </w:rPr>
        <w:t>Miljö och klimatförändringar</w:t>
      </w:r>
    </w:p>
    <w:p>
      <w:pPr>
        <w:pStyle w:val="Point0letter"/>
        <w:numPr>
          <w:ilvl w:val="1"/>
          <w:numId w:val="40"/>
        </w:numPr>
        <w:rPr>
          <w:noProof/>
        </w:rPr>
      </w:pPr>
      <w:r>
        <w:rPr>
          <w:noProof/>
        </w:rPr>
        <w:t>Stärka den vetenskapliga, tekniska, mänskliga och institutionella kapaciteten att hantera, integrera och övervaka klimat- och miljöförvaltningen.  Stärka den regionala och nationella klimatstyrningen.</w:t>
      </w:r>
    </w:p>
    <w:p>
      <w:pPr>
        <w:pStyle w:val="Point0letter"/>
        <w:numPr>
          <w:ilvl w:val="1"/>
          <w:numId w:val="40"/>
        </w:numPr>
        <w:rPr>
          <w:noProof/>
        </w:rPr>
      </w:pPr>
      <w:r>
        <w:rPr>
          <w:noProof/>
        </w:rPr>
        <w:t>Bidra till partnernas ansträngningar att fullfölja sina åtaganden om klimatförändringar i linje med Parisavtalet om klimatförändringar, inbegripet genomförandet av nationellt fastställda bidrag och begränsnings- och anpassningsplaner, inbegripet synergier mellan anpassning och begränsning.</w:t>
      </w:r>
    </w:p>
    <w:p>
      <w:pPr>
        <w:pStyle w:val="Point0letter"/>
        <w:numPr>
          <w:ilvl w:val="1"/>
          <w:numId w:val="40"/>
        </w:numPr>
        <w:rPr>
          <w:noProof/>
        </w:rPr>
      </w:pPr>
      <w:r>
        <w:rPr>
          <w:noProof/>
        </w:rPr>
        <w:t>Utveckla och/eller stärka hållbar grön och blå tillväxt i alla sektorer av ekonomin.</w:t>
      </w:r>
    </w:p>
    <w:p>
      <w:pPr>
        <w:pStyle w:val="Point0letter"/>
        <w:numPr>
          <w:ilvl w:val="1"/>
          <w:numId w:val="40"/>
        </w:numPr>
        <w:rPr>
          <w:noProof/>
        </w:rPr>
      </w:pPr>
      <w:r>
        <w:rPr>
          <w:noProof/>
        </w:rPr>
        <w:lastRenderedPageBreak/>
        <w:t>Stärka samarbetet om hållbar energi. Främja och öka samarbetet om energieffektivitet och användning av förnybara energikällor.</w:t>
      </w:r>
    </w:p>
    <w:p>
      <w:pPr>
        <w:pStyle w:val="Point0letter"/>
        <w:numPr>
          <w:ilvl w:val="1"/>
          <w:numId w:val="40"/>
        </w:numPr>
        <w:rPr>
          <w:noProof/>
        </w:rPr>
      </w:pPr>
      <w:r>
        <w:rPr>
          <w:noProof/>
        </w:rPr>
        <w:t xml:space="preserve">Förbättra lokala, nationella, regionala och kontinentala multimodala transportnät och tjänster för att ytterligare stärka möjligheterna till en hållbar klimattålig ekonomisk utveckling och nya arbetstillfällen, med siktet inställt på en koldioxidsnål och klimattålig utveckling. Stärka förenklingen och liberalisering av transporter, öka hållbarheten, trafiksäkerhet och transportsektorns resiliens. </w:t>
      </w:r>
    </w:p>
    <w:p>
      <w:pPr>
        <w:pStyle w:val="Point0letter"/>
        <w:numPr>
          <w:ilvl w:val="1"/>
          <w:numId w:val="40"/>
        </w:numPr>
        <w:rPr>
          <w:noProof/>
        </w:rPr>
      </w:pPr>
      <w:r>
        <w:rPr>
          <w:noProof/>
        </w:rPr>
        <w:t>Stärka lokalsamhällenas delaktighet i kampen mot klimatförändringarna, bevarande av ekosystem och förvaltning av naturresurser. Främja en hållbar urban utveckling och resiliensen i urbana områden.</w:t>
      </w:r>
    </w:p>
    <w:p>
      <w:pPr>
        <w:pStyle w:val="Point0letter"/>
        <w:numPr>
          <w:ilvl w:val="1"/>
          <w:numId w:val="40"/>
        </w:numPr>
        <w:rPr>
          <w:noProof/>
        </w:rPr>
      </w:pPr>
      <w:r>
        <w:rPr>
          <w:noProof/>
        </w:rPr>
        <w:t>Främja bevarande, hållbar förvaltning och användning av naturresurser, samt återställande av naturresurser, sunda ekosystem och att stoppa förlusten av biologisk mångfald och skydda vilda växter och djur.</w:t>
      </w:r>
    </w:p>
    <w:p>
      <w:pPr>
        <w:pStyle w:val="Point0letter"/>
        <w:numPr>
          <w:ilvl w:val="1"/>
          <w:numId w:val="40"/>
        </w:numPr>
        <w:rPr>
          <w:noProof/>
        </w:rPr>
      </w:pPr>
      <w:r>
        <w:rPr>
          <w:noProof/>
        </w:rPr>
        <w:t>Främja en integrerad och hållbar förvaltning av vattenresurser och samarbete inom området för gränsöverskridande vatten.</w:t>
      </w:r>
    </w:p>
    <w:p>
      <w:pPr>
        <w:pStyle w:val="Point0letter"/>
        <w:numPr>
          <w:ilvl w:val="1"/>
          <w:numId w:val="40"/>
        </w:numPr>
        <w:rPr>
          <w:noProof/>
        </w:rPr>
      </w:pPr>
      <w:r>
        <w:rPr>
          <w:noProof/>
        </w:rPr>
        <w:t>Främja bevarande och förstärkning av kollagren genom hållbar förvaltning av markanvändning, förändrad markanvändning och skogsbruk samt bekämpa miljöförstöring, ökenspridning och markförstöring.</w:t>
      </w:r>
    </w:p>
    <w:p>
      <w:pPr>
        <w:pStyle w:val="Point0letter"/>
        <w:numPr>
          <w:ilvl w:val="1"/>
          <w:numId w:val="40"/>
        </w:numPr>
        <w:rPr>
          <w:noProof/>
        </w:rPr>
      </w:pPr>
      <w:r>
        <w:rPr>
          <w:noProof/>
        </w:rPr>
        <w:t>Begränsa avskogningen och främja skogslagstiftningens efterlevnad samt förvaltning av och handel med skog (Flegt), och bekämpa olaglig skogsavverkning och handel med olagligt virke och olagliga träprodukter.</w:t>
      </w:r>
    </w:p>
    <w:p>
      <w:pPr>
        <w:pStyle w:val="Point0letter"/>
        <w:numPr>
          <w:ilvl w:val="1"/>
          <w:numId w:val="40"/>
        </w:numPr>
        <w:rPr>
          <w:rFonts w:eastAsia="Times New Roman"/>
          <w:noProof/>
          <w:color w:val="000000"/>
        </w:rPr>
      </w:pPr>
      <w:r>
        <w:rPr>
          <w:noProof/>
        </w:rPr>
        <w:t>Stödja världshavsförvaltningen, inklusive skydd, återställande och bevarande av kust- och havsområden i alla dess former, inbegripet ekosystemen, kampen mot marint skräp, kampen mot olagligt, orapporterat och oreglerat fiske (IUU-fiske) och skyddet av den marina biologiska mångfalden.</w:t>
      </w:r>
    </w:p>
    <w:p>
      <w:pPr>
        <w:pStyle w:val="Point0letter"/>
        <w:numPr>
          <w:ilvl w:val="1"/>
          <w:numId w:val="40"/>
        </w:numPr>
        <w:rPr>
          <w:noProof/>
        </w:rPr>
      </w:pPr>
      <w:r>
        <w:rPr>
          <w:noProof/>
        </w:rPr>
        <w:t>Förstärka regionala strategier för katastrofriskreducering och resiliens, i synergi med politik och åtgärder för anpassning till klimatförändringarna.</w:t>
      </w:r>
    </w:p>
    <w:p>
      <w:pPr>
        <w:pStyle w:val="Point0letter"/>
        <w:numPr>
          <w:ilvl w:val="1"/>
          <w:numId w:val="40"/>
        </w:numPr>
        <w:rPr>
          <w:rFonts w:eastAsia="Times New Roman"/>
          <w:noProof/>
          <w:color w:val="000000"/>
        </w:rPr>
      </w:pPr>
      <w:r>
        <w:rPr>
          <w:noProof/>
        </w:rPr>
        <w:t>Främja resurseffektivitet och hållbar konsumtion och produktion, inbegripet kampen mot föroreningar och en sund hantering av kemikalier och avfall.</w:t>
      </w:r>
    </w:p>
    <w:p>
      <w:pPr>
        <w:pStyle w:val="Point0letter"/>
        <w:numPr>
          <w:ilvl w:val="1"/>
          <w:numId w:val="40"/>
        </w:numPr>
        <w:rPr>
          <w:noProof/>
        </w:rPr>
      </w:pPr>
      <w:r>
        <w:rPr>
          <w:noProof/>
        </w:rPr>
        <w:t>Stödja ansträngningar för att förbättra den hållbara ekonomiska diversifieringen, konkurrenskraften och handeln, utvecklingen av den privata sektorn med särskild inriktning på koldioxidsnål och klimatresilient grön tillväxt, mikroföretag och små och medelstora företag och kooperativ, och utnyttja befintliga handelsavtal med EU.</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rPr>
      </w:pPr>
      <w:r>
        <w:rPr>
          <w:noProof/>
          <w:u w:val="single"/>
        </w:rPr>
        <w:t>VÄLSTÅND</w:t>
      </w:r>
    </w:p>
    <w:p>
      <w:pPr>
        <w:pStyle w:val="ManualNumPar1"/>
        <w:rPr>
          <w:b/>
          <w:noProof/>
        </w:rPr>
      </w:pPr>
      <w:r>
        <w:rPr>
          <w:b/>
          <w:noProof/>
        </w:rPr>
        <w:t xml:space="preserve">5. </w:t>
      </w:r>
      <w:r>
        <w:rPr>
          <w:noProof/>
        </w:rPr>
        <w:tab/>
      </w:r>
      <w:r>
        <w:rPr>
          <w:b/>
          <w:noProof/>
        </w:rPr>
        <w:t xml:space="preserve">Inkluderande och hållbar ekonomisk tillväxt samt anständigt arbete </w:t>
      </w:r>
    </w:p>
    <w:p>
      <w:pPr>
        <w:pStyle w:val="Point0letter"/>
        <w:numPr>
          <w:ilvl w:val="1"/>
          <w:numId w:val="12"/>
        </w:numPr>
        <w:rPr>
          <w:noProof/>
        </w:rPr>
      </w:pPr>
      <w:r>
        <w:rPr>
          <w:noProof/>
        </w:rPr>
        <w:t>Stödja företagande och anständig sysselsättning och anställbarhet genom utveckling av färdigheter och kompetenser, utbildning, förbättring av arbetsnormer och arbetsvillkor, och skapa möjligheter för framför allt unga.</w:t>
      </w:r>
    </w:p>
    <w:p>
      <w:pPr>
        <w:pStyle w:val="Point0letter"/>
        <w:numPr>
          <w:ilvl w:val="1"/>
          <w:numId w:val="12"/>
        </w:numPr>
        <w:rPr>
          <w:noProof/>
        </w:rPr>
      </w:pPr>
      <w:r>
        <w:rPr>
          <w:noProof/>
        </w:rPr>
        <w:t>Stödja nationella utvecklingsvägar för att maximera de positiva resultaten på det sociala området och effekterna och främja progressiv beskattning och en fördelningsinriktad offentlig politik.</w:t>
      </w:r>
    </w:p>
    <w:p>
      <w:pPr>
        <w:pStyle w:val="Point0letter"/>
        <w:numPr>
          <w:ilvl w:val="1"/>
          <w:numId w:val="12"/>
        </w:numPr>
        <w:rPr>
          <w:noProof/>
        </w:rPr>
      </w:pPr>
      <w:r>
        <w:rPr>
          <w:noProof/>
        </w:rPr>
        <w:lastRenderedPageBreak/>
        <w:t>Förbättra företags- och investeringsklimatet, skapa ett gynnsamt regelverk för ekonomisk utveckling och stöd till företag, särskilt små och medelstora företag, att utöka sin verksamhet och skapa arbetstillfällen.</w:t>
      </w:r>
    </w:p>
    <w:p>
      <w:pPr>
        <w:pStyle w:val="Point0letter"/>
        <w:numPr>
          <w:ilvl w:val="1"/>
          <w:numId w:val="12"/>
        </w:numPr>
        <w:rPr>
          <w:noProof/>
        </w:rPr>
      </w:pPr>
      <w:r>
        <w:rPr>
          <w:noProof/>
        </w:rPr>
        <w:t>Stärka social och miljömässig hållbarhet, företagens sociala ansvar och ansvarsfullt företagande genom hela värdekedjan.</w:t>
      </w:r>
    </w:p>
    <w:p>
      <w:pPr>
        <w:pStyle w:val="Point0letter"/>
        <w:numPr>
          <w:ilvl w:val="1"/>
          <w:numId w:val="12"/>
        </w:numPr>
        <w:rPr>
          <w:noProof/>
        </w:rPr>
      </w:pPr>
      <w:r>
        <w:rPr>
          <w:noProof/>
        </w:rPr>
        <w:t>Öka effektiviteten i de offentliga utgifterna och främja en mer strategisk användning av offentlig finansiering, inklusive genom blandfinansieringsinstrument för att generera ytterligare offentliga och privata investeringar.</w:t>
      </w:r>
    </w:p>
    <w:p>
      <w:pPr>
        <w:pStyle w:val="Point0letter"/>
        <w:numPr>
          <w:ilvl w:val="1"/>
          <w:numId w:val="12"/>
        </w:numPr>
        <w:rPr>
          <w:noProof/>
        </w:rPr>
      </w:pPr>
      <w:r>
        <w:rPr>
          <w:noProof/>
        </w:rPr>
        <w:t xml:space="preserve">Stärka städernas potential som centrum för en hållbar och inkluderande tillväxt och innovation. </w:t>
      </w:r>
    </w:p>
    <w:p>
      <w:pPr>
        <w:pStyle w:val="Point0letter"/>
        <w:numPr>
          <w:ilvl w:val="1"/>
          <w:numId w:val="12"/>
        </w:numPr>
        <w:rPr>
          <w:noProof/>
        </w:rPr>
      </w:pPr>
      <w:r>
        <w:rPr>
          <w:noProof/>
        </w:rPr>
        <w:t>Främja intern ekonomisk, social och territoriell sammanhållning för att knyta starkare band mellan stads- och landsbygdsområden och underlätta utvecklingen av turismsektorn som en drivkraft för hållbar utveckling.</w:t>
      </w:r>
    </w:p>
    <w:p>
      <w:pPr>
        <w:pStyle w:val="Point0letter"/>
        <w:numPr>
          <w:ilvl w:val="1"/>
          <w:numId w:val="12"/>
        </w:numPr>
        <w:rPr>
          <w:noProof/>
        </w:rPr>
      </w:pPr>
      <w:r>
        <w:rPr>
          <w:noProof/>
        </w:rPr>
        <w:t>Öka och diversifiera jordbruks- och livsmedelsvärdekedjor, främja ekonomisk diversifiering, mervärde, regional integration, konkurrenskraft och handel, samt stärka hållbara, koldioxidsnåla och klimatförändringståliga innovationer.</w:t>
      </w:r>
    </w:p>
    <w:p>
      <w:pPr>
        <w:pStyle w:val="Point0letter"/>
        <w:numPr>
          <w:ilvl w:val="1"/>
          <w:numId w:val="12"/>
        </w:numPr>
        <w:rPr>
          <w:noProof/>
        </w:rPr>
      </w:pPr>
      <w:r>
        <w:rPr>
          <w:noProof/>
        </w:rPr>
        <w:t>Stödja en hållbar fiskeriförvaltning och ett hållbart vattenbruk.</w:t>
      </w:r>
    </w:p>
    <w:p>
      <w:pPr>
        <w:pStyle w:val="Point0letter"/>
        <w:numPr>
          <w:ilvl w:val="1"/>
          <w:numId w:val="12"/>
        </w:numPr>
        <w:rPr>
          <w:noProof/>
        </w:rPr>
      </w:pPr>
      <w:r>
        <w:rPr>
          <w:noProof/>
        </w:rPr>
        <w:t>Främja allmän tillgång till hållbar energi, främja en koldioxidsnål, klimattålig och resurseffektiv cirkulär ekonomi i linje med Parisavtalet om klimatförändringar.</w:t>
      </w:r>
    </w:p>
    <w:p>
      <w:pPr>
        <w:pStyle w:val="Point0letter"/>
        <w:numPr>
          <w:ilvl w:val="1"/>
          <w:numId w:val="12"/>
        </w:numPr>
        <w:rPr>
          <w:noProof/>
        </w:rPr>
      </w:pPr>
      <w:r>
        <w:rPr>
          <w:noProof/>
        </w:rPr>
        <w:t xml:space="preserve">Främja smart, hållbar, inkluderande och säker mobilitet, samt bättre transportförbindelser med unionen. </w:t>
      </w:r>
    </w:p>
    <w:p>
      <w:pPr>
        <w:pStyle w:val="Point0letter"/>
        <w:numPr>
          <w:ilvl w:val="1"/>
          <w:numId w:val="12"/>
        </w:numPr>
        <w:rPr>
          <w:noProof/>
        </w:rPr>
      </w:pPr>
      <w:r>
        <w:rPr>
          <w:noProof/>
        </w:rPr>
        <w:t>Främja prismässigt överkomlig, inkluderande och tillförlitlig digital konnektivitet, och stärka den digitala ekonomin.</w:t>
      </w:r>
    </w:p>
    <w:p>
      <w:pPr>
        <w:pStyle w:val="Point0letter"/>
        <w:numPr>
          <w:ilvl w:val="1"/>
          <w:numId w:val="12"/>
        </w:numPr>
        <w:rPr>
          <w:noProof/>
        </w:rPr>
      </w:pPr>
      <w:r>
        <w:rPr>
          <w:noProof/>
        </w:rPr>
        <w:t>Utveckla och stärka marknader och sektorer på ett sätt som kan främja en inkluderande och hållbar tillväxt.</w:t>
      </w:r>
    </w:p>
    <w:p>
      <w:pPr>
        <w:pStyle w:val="Point0letter"/>
        <w:numPr>
          <w:ilvl w:val="1"/>
          <w:numId w:val="12"/>
        </w:numPr>
        <w:rPr>
          <w:noProof/>
        </w:rPr>
      </w:pPr>
      <w:r>
        <w:rPr>
          <w:noProof/>
        </w:rPr>
        <w:t>Stödja den regionala integrationsagendan och optimal handelspolitik, och stödja konsolidering och genomförande av handelsavtal mellan EU och dess partner.</w:t>
      </w:r>
    </w:p>
    <w:p>
      <w:pPr>
        <w:pStyle w:val="Point0letter"/>
        <w:numPr>
          <w:ilvl w:val="1"/>
          <w:numId w:val="12"/>
        </w:numPr>
        <w:rPr>
          <w:noProof/>
        </w:rPr>
      </w:pPr>
      <w:r>
        <w:rPr>
          <w:noProof/>
        </w:rPr>
        <w:t>Främja samarbete om vetenskap, teknik och forskning samt öppna data och innovation.</w:t>
      </w:r>
    </w:p>
    <w:p>
      <w:pPr>
        <w:pStyle w:val="Point0letter"/>
        <w:numPr>
          <w:ilvl w:val="1"/>
          <w:numId w:val="12"/>
        </w:numPr>
        <w:rPr>
          <w:noProof/>
        </w:rPr>
      </w:pPr>
      <w:r>
        <w:rPr>
          <w:noProof/>
        </w:rPr>
        <w:t>Främja interkulturell dialog och kulturell mångfald i alla dess former och bevara och främja kulturarvet.</w:t>
      </w:r>
    </w:p>
    <w:p>
      <w:pPr>
        <w:pStyle w:val="Point0letter"/>
        <w:numPr>
          <w:ilvl w:val="1"/>
          <w:numId w:val="12"/>
        </w:numPr>
        <w:rPr>
          <w:noProof/>
        </w:rPr>
      </w:pPr>
      <w:r>
        <w:rPr>
          <w:noProof/>
        </w:rPr>
        <w:t>Ge kvinnor egenmakt att ta på sig en större roll i beslutsfattandet.</w:t>
      </w:r>
    </w:p>
    <w:p>
      <w:pPr>
        <w:pStyle w:val="Point0letter"/>
        <w:numPr>
          <w:ilvl w:val="1"/>
          <w:numId w:val="12"/>
        </w:numPr>
        <w:rPr>
          <w:noProof/>
        </w:rPr>
      </w:pPr>
      <w:r>
        <w:rPr>
          <w:noProof/>
        </w:rPr>
        <w:t>Förbättra tillgången till anständigt arbete och skapa mer inkluderande och välfungerande arbetsmarknader och sysselsättningspolitik som inriktas på anständigt arbete för alla, särskilt för ungdomar.</w:t>
      </w:r>
    </w:p>
    <w:p>
      <w:pPr>
        <w:pStyle w:val="Point0letter"/>
        <w:rPr>
          <w:noProof/>
        </w:rPr>
      </w:pPr>
      <w:r>
        <w:rPr>
          <w:noProof/>
        </w:rPr>
        <w:t xml:space="preserve">Främja en rättvis, hållbar och icke snedvriden tillgång till utvinningssektorerna. </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FRED</w:t>
      </w:r>
    </w:p>
    <w:p>
      <w:pPr>
        <w:pStyle w:val="ManualNumPar1"/>
        <w:rPr>
          <w:b/>
          <w:noProof/>
        </w:rPr>
      </w:pPr>
      <w:r>
        <w:rPr>
          <w:b/>
          <w:noProof/>
        </w:rPr>
        <w:t xml:space="preserve">6. </w:t>
      </w:r>
      <w:r>
        <w:rPr>
          <w:noProof/>
        </w:rPr>
        <w:tab/>
      </w:r>
      <w:r>
        <w:rPr>
          <w:b/>
          <w:noProof/>
        </w:rPr>
        <w:t>Säkerhet, stabilitet och fred</w:t>
      </w:r>
    </w:p>
    <w:p>
      <w:pPr>
        <w:pStyle w:val="Point0letter"/>
        <w:numPr>
          <w:ilvl w:val="1"/>
          <w:numId w:val="13"/>
        </w:numPr>
        <w:rPr>
          <w:noProof/>
        </w:rPr>
      </w:pPr>
      <w:r>
        <w:rPr>
          <w:noProof/>
        </w:rPr>
        <w:t>Bidra till fred och stabilitet genom att bygga upp resiliensen hos stater, samhällen, grupper och enskilda personer mot politiska, ekonomiska, miljömässiga, demografiska och samhälleliga påfrestningar och chocker.</w:t>
      </w:r>
    </w:p>
    <w:p>
      <w:pPr>
        <w:pStyle w:val="Point0letter"/>
        <w:numPr>
          <w:ilvl w:val="1"/>
          <w:numId w:val="13"/>
        </w:numPr>
        <w:rPr>
          <w:noProof/>
        </w:rPr>
      </w:pPr>
      <w:r>
        <w:rPr>
          <w:noProof/>
        </w:rPr>
        <w:lastRenderedPageBreak/>
        <w:t>Stödja konfliktförebyggande, tidig varning och fredsbyggande genom medling, krishantering och stabilisering.</w:t>
      </w:r>
    </w:p>
    <w:p>
      <w:pPr>
        <w:pStyle w:val="Point0letter"/>
        <w:numPr>
          <w:ilvl w:val="1"/>
          <w:numId w:val="13"/>
        </w:numPr>
        <w:rPr>
          <w:noProof/>
        </w:rPr>
      </w:pPr>
      <w:r>
        <w:rPr>
          <w:noProof/>
        </w:rPr>
        <w:t xml:space="preserve">Stödja reformer av säkerhetssektorn som successivt tillhandahåller både privatpersoner och staten en effektivare och mer ansvarig säkerhet för hållbar utveckling. </w:t>
      </w:r>
    </w:p>
    <w:p>
      <w:pPr>
        <w:pStyle w:val="Point0letter"/>
        <w:numPr>
          <w:ilvl w:val="1"/>
          <w:numId w:val="13"/>
        </w:numPr>
        <w:rPr>
          <w:noProof/>
        </w:rPr>
      </w:pPr>
      <w:r>
        <w:rPr>
          <w:noProof/>
        </w:rPr>
        <w:t>Stödja kapacitetsuppbyggnad av militära aktörer för att stödja utveckling och säkerhet för utveckling.</w:t>
      </w:r>
    </w:p>
    <w:p>
      <w:pPr>
        <w:pStyle w:val="Point0letter"/>
        <w:numPr>
          <w:ilvl w:val="1"/>
          <w:numId w:val="13"/>
        </w:numPr>
        <w:rPr>
          <w:noProof/>
        </w:rPr>
      </w:pPr>
      <w:r>
        <w:rPr>
          <w:noProof/>
        </w:rPr>
        <w:t>Stödja regionala och internationella initiativ som bidrar till säkerhet, stabilitet och fred.</w:t>
      </w:r>
    </w:p>
    <w:p>
      <w:pPr>
        <w:pStyle w:val="Point0letter"/>
        <w:numPr>
          <w:ilvl w:val="1"/>
          <w:numId w:val="13"/>
        </w:numPr>
        <w:rPr>
          <w:noProof/>
        </w:rPr>
      </w:pPr>
      <w:r>
        <w:rPr>
          <w:noProof/>
        </w:rPr>
        <w:t>Förebygga och motverka radikalisering som leder till våldsam extremism och terrorism.</w:t>
      </w:r>
    </w:p>
    <w:p>
      <w:pPr>
        <w:pStyle w:val="Point0letter"/>
        <w:numPr>
          <w:ilvl w:val="1"/>
          <w:numId w:val="13"/>
        </w:numPr>
        <w:rPr>
          <w:rFonts w:eastAsia="Times New Roman"/>
          <w:noProof/>
          <w:color w:val="000000"/>
        </w:rPr>
      </w:pPr>
      <w:r>
        <w:rPr>
          <w:noProof/>
        </w:rPr>
        <w:t xml:space="preserve">Bekämpa alla former av våld, korruption, organiserad brottslighet och penningtvätt. </w:t>
      </w:r>
    </w:p>
    <w:p>
      <w:pPr>
        <w:pStyle w:val="Point0letter"/>
        <w:numPr>
          <w:ilvl w:val="1"/>
          <w:numId w:val="13"/>
        </w:numPr>
        <w:rPr>
          <w:noProof/>
        </w:rPr>
      </w:pPr>
      <w:r>
        <w:rPr>
          <w:noProof/>
        </w:rPr>
        <w:t xml:space="preserve">Främja gränsöverskridande samarbete i fråga om en hållbar förvaltning av gemensamma naturresurser. </w:t>
      </w:r>
    </w:p>
    <w:p>
      <w:pPr>
        <w:pStyle w:val="Point0letter"/>
        <w:numPr>
          <w:ilvl w:val="1"/>
          <w:numId w:val="13"/>
        </w:numPr>
        <w:rPr>
          <w:noProof/>
        </w:rPr>
      </w:pPr>
      <w:r>
        <w:rPr>
          <w:noProof/>
        </w:rPr>
        <w:t>Samarbete med tredjeländer när det gäller fredlig användning av kärnenergi, särskilt genom kapacitetsuppbyggnad och utveckling av infrastruktur i tredjeländer inom hälsa, jordbruk och livsmedelssäkerhet, samt stöd till sociala åtgärder för att ta itu med konsekvenserna för de mest utsatta befolkningsgrupperna som utsatts för en radiologisk olycka och som syftar till att förbättra deras levnadsvillkor, och främja kunskapsförvaltning, fortbildning och utbildning i kärnkraftsrelaterade områden.</w:t>
      </w:r>
    </w:p>
    <w:p>
      <w:pPr>
        <w:pStyle w:val="Point0letter"/>
        <w:numPr>
          <w:ilvl w:val="1"/>
          <w:numId w:val="13"/>
        </w:numPr>
        <w:rPr>
          <w:rFonts w:eastAsia="Calibri"/>
          <w:noProof/>
        </w:rPr>
      </w:pPr>
      <w:r>
        <w:rPr>
          <w:noProof/>
        </w:rPr>
        <w:t xml:space="preserve">Förbättra sjöfartsskyddet för att möjliggöra säkra, trygga, rena och hållbart förvaltade hav. </w:t>
      </w:r>
    </w:p>
    <w:p>
      <w:pPr>
        <w:pStyle w:val="Point0letter"/>
        <w:rPr>
          <w:rFonts w:eastAsia="Calibri"/>
          <w:noProof/>
        </w:rPr>
      </w:pPr>
      <w:r>
        <w:rPr>
          <w:noProof/>
        </w:rPr>
        <w:t>Stödja kapacitetsuppbyggnad på områdena it-säkerhet och motståndskraftiga digitala nät, dataskydd och skydd av privatlivet.</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PARTNERSKAP</w:t>
      </w:r>
    </w:p>
    <w:p>
      <w:pPr>
        <w:pStyle w:val="ManualNumPar1"/>
        <w:rPr>
          <w:rFonts w:eastAsia="Calibri"/>
          <w:b/>
          <w:noProof/>
        </w:rPr>
      </w:pPr>
      <w:r>
        <w:rPr>
          <w:b/>
          <w:noProof/>
        </w:rPr>
        <w:t>7.</w:t>
      </w:r>
      <w:r>
        <w:rPr>
          <w:noProof/>
        </w:rPr>
        <w:tab/>
      </w:r>
      <w:r>
        <w:rPr>
          <w:b/>
          <w:noProof/>
        </w:rPr>
        <w:t>Partnerskap</w:t>
      </w:r>
    </w:p>
    <w:p>
      <w:pPr>
        <w:pStyle w:val="Point0letter"/>
        <w:numPr>
          <w:ilvl w:val="1"/>
          <w:numId w:val="14"/>
        </w:numPr>
        <w:rPr>
          <w:noProof/>
        </w:rPr>
      </w:pPr>
      <w:r>
        <w:rPr>
          <w:noProof/>
        </w:rPr>
        <w:t>Förbättra det nationella ägarskapet, partnerskapet och dialogen för att bidra till en ökad effektivitet i utvecklingssamarbetets alla dimensioner (med särskild hänsyn till de särskilda utmaningarna för de minst utvecklade länderna och konfliktdrabbade länder, samt särskilda utmaningar under övergångsperioden för de mer avancerade utvecklingsländerna).</w:t>
      </w:r>
    </w:p>
    <w:p>
      <w:pPr>
        <w:pStyle w:val="Point0letter"/>
        <w:numPr>
          <w:ilvl w:val="1"/>
          <w:numId w:val="14"/>
        </w:numPr>
        <w:rPr>
          <w:noProof/>
        </w:rPr>
      </w:pPr>
      <w:r>
        <w:rPr>
          <w:noProof/>
        </w:rPr>
        <w:t>Fördjupa den politiska, ekonomiska, sociala, miljömässiga och kulturella dialogen mellan unionen och tredjeländer och regionala organisationer och stödja genomförandet av bilaterala och internationella åtaganden.</w:t>
      </w:r>
    </w:p>
    <w:p>
      <w:pPr>
        <w:pStyle w:val="Point0letter"/>
        <w:numPr>
          <w:ilvl w:val="1"/>
          <w:numId w:val="14"/>
        </w:numPr>
        <w:rPr>
          <w:noProof/>
        </w:rPr>
      </w:pPr>
      <w:r>
        <w:rPr>
          <w:noProof/>
        </w:rPr>
        <w:t>Främja goda grannförbindelser, regional integration, bättre konnektivitet, samarbete och dialog.</w:t>
      </w:r>
    </w:p>
    <w:p>
      <w:pPr>
        <w:pStyle w:val="Point0letter"/>
        <w:rPr>
          <w:noProof/>
        </w:rPr>
      </w:pPr>
      <w:r>
        <w:rPr>
          <w:noProof/>
        </w:rPr>
        <w:t>Främja en gynnsam miljö för det civila samhällets organisationer, inbegripet stiftelser, och möjliggöra deras deltagande på ett meningsfullt och strukturerat sätt i nationella strategier och stärka deras förmåga att utöva sin roll som oberoende aktörer inom utveckling och samhällsstyrning, samt stärka nya typer av partnerskap med organisationer i det civila samhället, och främja en omfattande och strukturerad dialog med unionen och en effektiv användning av EU:s landsspecifika färdplaner för samarbetet med det civila samhället.</w:t>
      </w:r>
    </w:p>
    <w:p>
      <w:pPr>
        <w:pStyle w:val="Point0letter"/>
        <w:numPr>
          <w:ilvl w:val="1"/>
          <w:numId w:val="14"/>
        </w:numPr>
        <w:rPr>
          <w:rFonts w:eastAsia="Calibri"/>
          <w:noProof/>
        </w:rPr>
      </w:pPr>
      <w:r>
        <w:rPr>
          <w:noProof/>
        </w:rPr>
        <w:lastRenderedPageBreak/>
        <w:t>Samarbeta med de lokala myndigheterna och stödja deras roll som politiker och beslutsfattare för att främja lokal utveckling och förbättrad samhällsstyrning.</w:t>
      </w:r>
    </w:p>
    <w:p>
      <w:pPr>
        <w:pStyle w:val="Point0letter"/>
        <w:numPr>
          <w:ilvl w:val="1"/>
          <w:numId w:val="14"/>
        </w:numPr>
        <w:rPr>
          <w:noProof/>
        </w:rPr>
      </w:pPr>
      <w:r>
        <w:rPr>
          <w:noProof/>
        </w:rPr>
        <w:t>Samverka mer effektivt med medborgare i tredjeländer, bland annat genom att dra full nytta av ekonomisk, kulturell och offentlig diplomati.</w:t>
      </w:r>
    </w:p>
    <w:p>
      <w:pPr>
        <w:pStyle w:val="Point0letter"/>
        <w:numPr>
          <w:ilvl w:val="1"/>
          <w:numId w:val="14"/>
        </w:numPr>
        <w:rPr>
          <w:noProof/>
        </w:rPr>
      </w:pPr>
      <w:r>
        <w:rPr>
          <w:noProof/>
        </w:rPr>
        <w:t xml:space="preserve">Uppmana industriländerna och de mer avancerade utvecklingsländerna att delta i genomförandet av Agenda 2030, globala allmänna nyttigheter och utmaningar, bland annat i fråga om syd-syd-samarbete och trepartssamarbete. </w:t>
      </w:r>
    </w:p>
    <w:p>
      <w:pPr>
        <w:pStyle w:val="Point0letter"/>
        <w:numPr>
          <w:ilvl w:val="1"/>
          <w:numId w:val="14"/>
        </w:numPr>
        <w:rPr>
          <w:rFonts w:eastAsia="Calibri"/>
          <w:noProof/>
        </w:rPr>
      </w:pPr>
      <w:r>
        <w:rPr>
          <w:noProof/>
        </w:rPr>
        <w:t>Stimulera ökad regional integration och samarbete på ett resultatorienterat sätt genom stöd till regional integration och dialog.</w:t>
      </w:r>
    </w:p>
    <w:p>
      <w:pPr>
        <w:autoSpaceDE w:val="0"/>
        <w:autoSpaceDN w:val="0"/>
        <w:adjustRightInd w:val="0"/>
        <w:spacing w:before="0" w:after="0"/>
        <w:ind w:left="426" w:hanging="426"/>
        <w:rPr>
          <w:rFonts w:eastAsia="Calibri"/>
          <w:noProof/>
          <w:szCs w:val="24"/>
        </w:rPr>
      </w:pPr>
    </w:p>
    <w:p>
      <w:pPr>
        <w:pStyle w:val="ManualHeading3"/>
        <w:rPr>
          <w:b/>
          <w:noProof/>
        </w:rPr>
      </w:pPr>
      <w:r>
        <w:rPr>
          <w:b/>
          <w:noProof/>
        </w:rPr>
        <w:t>B.</w:t>
      </w:r>
      <w:r>
        <w:rPr>
          <w:noProof/>
        </w:rPr>
        <w:tab/>
      </w:r>
      <w:r>
        <w:rPr>
          <w:b/>
          <w:noProof/>
        </w:rPr>
        <w:t>Specifikt för grannskapsområdet</w:t>
      </w:r>
    </w:p>
    <w:p>
      <w:pPr>
        <w:pStyle w:val="Point0letter"/>
        <w:numPr>
          <w:ilvl w:val="1"/>
          <w:numId w:val="15"/>
        </w:numPr>
        <w:rPr>
          <w:noProof/>
        </w:rPr>
      </w:pPr>
      <w:r>
        <w:rPr>
          <w:noProof/>
        </w:rPr>
        <w:t>Främja ökat politiskt samarbete.</w:t>
      </w:r>
    </w:p>
    <w:p>
      <w:pPr>
        <w:pStyle w:val="Point0letter"/>
        <w:numPr>
          <w:ilvl w:val="1"/>
          <w:numId w:val="15"/>
        </w:numPr>
        <w:rPr>
          <w:noProof/>
        </w:rPr>
      </w:pPr>
      <w:r>
        <w:rPr>
          <w:noProof/>
        </w:rPr>
        <w:t>Stödja genomförandet av associeringsavtal eller andra nuvarande eller framtida avtal, liksom gemensamt överenskomna associeringsagendor och partnerskapsprioriteringar eller motsvarande dokument.</w:t>
      </w:r>
    </w:p>
    <w:p>
      <w:pPr>
        <w:pStyle w:val="Point0letter"/>
        <w:numPr>
          <w:ilvl w:val="1"/>
          <w:numId w:val="15"/>
        </w:numPr>
        <w:rPr>
          <w:noProof/>
        </w:rPr>
      </w:pPr>
      <w:r>
        <w:rPr>
          <w:noProof/>
        </w:rPr>
        <w:t>Främja ett fördjupat partnerskap med samhällen mellan unionen och partnerländerna, inklusive genom direkta personkontakter.</w:t>
      </w:r>
    </w:p>
    <w:p>
      <w:pPr>
        <w:pStyle w:val="Point0letter"/>
        <w:numPr>
          <w:ilvl w:val="1"/>
          <w:numId w:val="15"/>
        </w:numPr>
        <w:rPr>
          <w:noProof/>
        </w:rPr>
      </w:pPr>
      <w:r>
        <w:rPr>
          <w:noProof/>
        </w:rPr>
        <w:t>Förbättra det regionala samarbetet, särskilt inom ramen för det östliga partnerskapet, unionen för Medelhavsområdet, och samarbete inom det europeiska grannskapet samt gränsöverskridande samarbete.</w:t>
      </w:r>
    </w:p>
    <w:p>
      <w:pPr>
        <w:pStyle w:val="Point0letter"/>
        <w:numPr>
          <w:ilvl w:val="1"/>
          <w:numId w:val="15"/>
        </w:numPr>
        <w:rPr>
          <w:noProof/>
          <w:color w:val="000000"/>
          <w:szCs w:val="24"/>
        </w:rPr>
      </w:pPr>
      <w:r>
        <w:rPr>
          <w:noProof/>
        </w:rPr>
        <w:t>Uppnå en gradvis integrering i unionens inre marknad och ökat sektoriellt och sektorsövergripande samarbete, inbegripet genom tillnärmning av lagstiftningen och konvergens av regelverken med unionens normer och andra relevanta internationella normer samt bättre marknadstillträde, inbegripet genom djupgående och omfattande frihandelsområden samt därmed relaterat institutionsbyggande och investeringar.</w:t>
      </w:r>
    </w:p>
    <w:p>
      <w:pPr>
        <w:rPr>
          <w:noProof/>
          <w:color w:val="000000"/>
        </w:rPr>
      </w:pPr>
      <w:r>
        <w:rPr>
          <w:noProof/>
        </w:rPr>
        <w:t xml:space="preserve">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BILAGA III</w:t>
      </w:r>
      <w:r>
        <w:rPr>
          <w:noProof/>
        </w:rPr>
        <w:br/>
        <w:t>INSATSOMRÅDEN FÖR TEMATISKA PROGRAM</w:t>
      </w:r>
    </w:p>
    <w:p>
      <w:pPr>
        <w:tabs>
          <w:tab w:val="left" w:pos="4252"/>
        </w:tabs>
        <w:spacing w:before="0" w:after="0"/>
        <w:jc w:val="left"/>
        <w:rPr>
          <w:b/>
          <w:noProof/>
          <w:color w:val="000000" w:themeColor="text1"/>
        </w:rPr>
      </w:pPr>
    </w:p>
    <w:p>
      <w:pPr>
        <w:pStyle w:val="ManualHeading3"/>
        <w:rPr>
          <w:i w:val="0"/>
          <w:noProof/>
        </w:rPr>
      </w:pPr>
      <w:r>
        <w:rPr>
          <w:b/>
          <w:i w:val="0"/>
          <w:noProof/>
          <w:color w:val="000000" w:themeColor="text1"/>
        </w:rPr>
        <w:t>1. INSATSOMRÅDEN FÖR MÄNSKLIGA RÄTTIGHETER OCH DEMOKRATI</w:t>
      </w:r>
    </w:p>
    <w:p>
      <w:pPr>
        <w:pStyle w:val="Bullet0"/>
        <w:numPr>
          <w:ilvl w:val="0"/>
          <w:numId w:val="10"/>
        </w:numPr>
        <w:rPr>
          <w:noProof/>
        </w:rPr>
      </w:pPr>
      <w:r>
        <w:rPr>
          <w:noProof/>
        </w:rPr>
        <w:t xml:space="preserve">Bidra till framsteg när det gäller de grundläggande värdena demokrati, rättsstaten, de mänskliga rättigheternas universalitet och odelbarhet, respekt för människors värde, jämlikhet och solidaritet samt respekt för principerna i Förenta nationernas stadga och i folkrätten. </w:t>
      </w:r>
    </w:p>
    <w:p>
      <w:pPr>
        <w:pStyle w:val="Bullet0"/>
        <w:rPr>
          <w:noProof/>
        </w:rPr>
      </w:pPr>
      <w:r>
        <w:rPr>
          <w:noProof/>
        </w:rPr>
        <w:t>Möjliggöra samarbete och partnerskap med det civila samhället i frågor som rör mänskliga rättigheter och demokrati, även i känsliga och brådskande situationer. En sammanhängande och övergripande strategi på alla nivåer ska utformas för att nå nedanstående mål.</w:t>
      </w:r>
    </w:p>
    <w:p>
      <w:pPr>
        <w:pStyle w:val="Bullet0"/>
        <w:rPr>
          <w:noProof/>
        </w:rPr>
      </w:pPr>
      <w:r>
        <w:rPr>
          <w:noProof/>
        </w:rPr>
        <w:t>Upprätthålla mänskliga rättigheter och grundläggande friheter för alla, bidra till att skapa samhällen där det råder deltagande, icke-diskriminering, tolerans, rättvisa och ansvarighet, solidaritet och jämställdhet. Respekt för och efterlevnad av mänskliga rättigheter och grundläggande friheter för alla ska övervakas, främjas och stärkas i enlighet med principerna om de mänskliga rättigheternas universalitet, odelbarhet och ömsesidiga samverkan. Programmet omfattar medborgerliga, politiska, ekonomiska, sociala och kulturella rättigheter. Utmaningar när det gäller mänskliga rättigheter ska hanteras och man ska samtidigt stimulera det civila samhället och skydda och ge egenmakt åt människorättsförsvarare, också när utrymmet för deras åtgärder minskar.</w:t>
      </w:r>
    </w:p>
    <w:p>
      <w:pPr>
        <w:pStyle w:val="Bullet0"/>
        <w:rPr>
          <w:noProof/>
        </w:rPr>
      </w:pPr>
      <w:r>
        <w:rPr>
          <w:noProof/>
        </w:rPr>
        <w:t>Utveckla, främja och skydda demokratin, och uttömmande behandla alla aspekter av demokratisk samhällsstyrning, inbegripet en förstärkt demokratisk pluralism, öka medborgardeltagandet och stödja trovärdiga, inkluderande och transparenta valprocesser. Demokratin ska stärkas genom upprätthållande av grundpelarna för demokratiska system, t.ex. rättsstatsprincipen, demokratiska normer och värderingar, mediernas oberoende, ansvarsfulla och inkluderande institutioner, politiska partier och parlament, och kampen mot korruption. Valövervakning spelar en viktig roll i det övergripande stödet för demokratiska processer. EU:s valobservatörsuppdrag ska fortsätta att vara en viktig del av programmet, liksom uppföljningen av rekommendationerna från EU:s valobservatörsuppdrag.</w:t>
      </w:r>
    </w:p>
    <w:p>
      <w:pPr>
        <w:pStyle w:val="Bullet0"/>
        <w:rPr>
          <w:noProof/>
        </w:rPr>
      </w:pPr>
      <w:r>
        <w:rPr>
          <w:noProof/>
        </w:rPr>
        <w:t xml:space="preserve">Främja en effektiv multilateralism och strategiska partnerskap, för att bidra till att stärka kapaciteten hos internationella, regionala och nationella ramar för att främja och skydda mänskliga rättigheter, demokrati och rättsstatsprincipen. Strategiska partnerskap ska förstärkas, särskilt kontoret för FN:s högkommissarie för mänskliga rättigheter (OHCHR), Internationella brottmålsdomstolen (ICC) och relevanta regionala och nationella mekanismer för mänskliga rättigheter. Dessutom ska programmet främja utbildning och forskning om mänskliga rättigheter och demokrati, bland annat genom </w:t>
      </w:r>
      <w:r>
        <w:rPr>
          <w:i/>
          <w:noProof/>
        </w:rPr>
        <w:t>Global Campus for Human Rights and Democracy</w:t>
      </w:r>
      <w:r>
        <w:rPr>
          <w:noProof/>
        </w:rPr>
        <w:t>.</w:t>
      </w:r>
    </w:p>
    <w:p>
      <w:pPr>
        <w:rPr>
          <w:noProof/>
        </w:rPr>
      </w:pPr>
    </w:p>
    <w:p>
      <w:pPr>
        <w:spacing w:before="0" w:after="200" w:line="276" w:lineRule="auto"/>
        <w:jc w:val="left"/>
        <w:rPr>
          <w:i/>
          <w:noProof/>
        </w:rPr>
      </w:pPr>
      <w:r>
        <w:rPr>
          <w:noProof/>
        </w:rPr>
        <w:br w:type="page"/>
      </w:r>
    </w:p>
    <w:p>
      <w:pPr>
        <w:pStyle w:val="ManualHeading3"/>
        <w:rPr>
          <w:b/>
          <w:noProof/>
          <w:color w:val="000000" w:themeColor="text1"/>
        </w:rPr>
      </w:pPr>
      <w:r>
        <w:rPr>
          <w:b/>
          <w:i w:val="0"/>
          <w:noProof/>
          <w:color w:val="000000" w:themeColor="text1"/>
        </w:rPr>
        <w:lastRenderedPageBreak/>
        <w:t xml:space="preserve">2. INSATSOMRÅDEN FÖR DET CIVILA SAMHÄLLETS ORGANISATIONER </w:t>
      </w:r>
    </w:p>
    <w:p>
      <w:pPr>
        <w:pStyle w:val="ManualNumPar1"/>
        <w:rPr>
          <w:b/>
          <w:noProof/>
        </w:rPr>
      </w:pPr>
      <w:r>
        <w:rPr>
          <w:b/>
          <w:noProof/>
        </w:rPr>
        <w:t xml:space="preserve">1. </w:t>
      </w:r>
      <w:r>
        <w:rPr>
          <w:noProof/>
        </w:rPr>
        <w:tab/>
      </w:r>
      <w:r>
        <w:rPr>
          <w:b/>
          <w:noProof/>
        </w:rPr>
        <w:t xml:space="preserve">Ett inkluderande, deltagande, oberoende och handlingskraftigt medborgarutrymme i det civila samhället i partnerländerna </w:t>
      </w:r>
    </w:p>
    <w:p>
      <w:pPr>
        <w:pStyle w:val="Point0letter"/>
        <w:numPr>
          <w:ilvl w:val="1"/>
          <w:numId w:val="16"/>
        </w:numPr>
        <w:rPr>
          <w:noProof/>
        </w:rPr>
      </w:pPr>
      <w:r>
        <w:rPr>
          <w:noProof/>
        </w:rPr>
        <w:t xml:space="preserve">Skapa en gynnsam miljö för medborgardeltagande och för insatser från det civila samhället, ingegripet genom stiftelser. </w:t>
      </w:r>
    </w:p>
    <w:p>
      <w:pPr>
        <w:pStyle w:val="Point0letter"/>
        <w:numPr>
          <w:ilvl w:val="1"/>
          <w:numId w:val="16"/>
        </w:numPr>
        <w:rPr>
          <w:noProof/>
        </w:rPr>
      </w:pPr>
      <w:r>
        <w:rPr>
          <w:noProof/>
        </w:rPr>
        <w:t>Bygga upp kapaciteten hos det civila samhällets organisationer, inbegripet stiftelser, att agera som både utvecklings- och samhällsstyrningsaktörer.</w:t>
      </w:r>
    </w:p>
    <w:p>
      <w:pPr>
        <w:pStyle w:val="Point0letter"/>
        <w:numPr>
          <w:ilvl w:val="1"/>
          <w:numId w:val="16"/>
        </w:numPr>
        <w:rPr>
          <w:noProof/>
        </w:rPr>
      </w:pPr>
      <w:r>
        <w:rPr>
          <w:noProof/>
        </w:rPr>
        <w:t>Öka kapacitet hos det civila samhällets nätverk, plattformar och allianser.</w:t>
      </w:r>
    </w:p>
    <w:p>
      <w:pPr>
        <w:spacing w:before="0" w:after="0"/>
        <w:jc w:val="left"/>
        <w:rPr>
          <w:bCs/>
          <w:noProof/>
          <w:szCs w:val="24"/>
        </w:rPr>
      </w:pPr>
    </w:p>
    <w:p>
      <w:pPr>
        <w:pStyle w:val="ManualNumPar1"/>
        <w:rPr>
          <w:b/>
          <w:noProof/>
        </w:rPr>
      </w:pPr>
      <w:r>
        <w:rPr>
          <w:b/>
          <w:noProof/>
        </w:rPr>
        <w:t xml:space="preserve">2. </w:t>
      </w:r>
      <w:r>
        <w:rPr>
          <w:noProof/>
        </w:rPr>
        <w:tab/>
      </w:r>
      <w:r>
        <w:rPr>
          <w:b/>
          <w:noProof/>
        </w:rPr>
        <w:t xml:space="preserve">Dialog om utvecklingspolitik med och mellan organisationer i det civila samhället </w:t>
      </w:r>
    </w:p>
    <w:p>
      <w:pPr>
        <w:pStyle w:val="Point0letter"/>
        <w:numPr>
          <w:ilvl w:val="1"/>
          <w:numId w:val="17"/>
        </w:numPr>
        <w:rPr>
          <w:noProof/>
        </w:rPr>
      </w:pPr>
      <w:r>
        <w:rPr>
          <w:noProof/>
        </w:rPr>
        <w:t>Främja andra forum för dialog mellan alla berörda parter, inklusive samverkan mellan medborgarna, organisationer i det civila samhället, lokala myndigheter, medlemsstater, partnerländer och andra viktiga aktörer.</w:t>
      </w:r>
    </w:p>
    <w:p>
      <w:pPr>
        <w:pStyle w:val="Point0letter"/>
        <w:numPr>
          <w:ilvl w:val="1"/>
          <w:numId w:val="17"/>
        </w:numPr>
        <w:rPr>
          <w:noProof/>
        </w:rPr>
      </w:pPr>
      <w:r>
        <w:rPr>
          <w:noProof/>
        </w:rPr>
        <w:t>Möjliggöra samarbete och utbyte av erfarenheter mellan olika aktörer i det civila samhället.</w:t>
      </w:r>
    </w:p>
    <w:p>
      <w:pPr>
        <w:pStyle w:val="Point0letter"/>
        <w:numPr>
          <w:ilvl w:val="1"/>
          <w:numId w:val="17"/>
        </w:numPr>
        <w:rPr>
          <w:noProof/>
        </w:rPr>
      </w:pPr>
      <w:r>
        <w:rPr>
          <w:noProof/>
        </w:rPr>
        <w:t>Säkerställa en omfattande och kontinuerlig strukturerad dialog och partnerskap med EU.</w:t>
      </w:r>
    </w:p>
    <w:p>
      <w:pPr>
        <w:spacing w:before="0" w:after="0"/>
        <w:jc w:val="left"/>
        <w:rPr>
          <w:bCs/>
          <w:noProof/>
          <w:szCs w:val="24"/>
        </w:rPr>
      </w:pPr>
    </w:p>
    <w:p>
      <w:pPr>
        <w:pStyle w:val="ManualNumPar1"/>
        <w:rPr>
          <w:b/>
          <w:noProof/>
        </w:rPr>
      </w:pPr>
      <w:r>
        <w:rPr>
          <w:b/>
          <w:noProof/>
        </w:rPr>
        <w:t xml:space="preserve">3. </w:t>
      </w:r>
      <w:r>
        <w:rPr>
          <w:noProof/>
        </w:rPr>
        <w:tab/>
      </w:r>
      <w:r>
        <w:rPr>
          <w:b/>
          <w:noProof/>
        </w:rPr>
        <w:t>Medvetenhet, kunskap och engagemang hos EU-medborgare när det gäller utvecklingsfrågor</w:t>
      </w:r>
    </w:p>
    <w:p>
      <w:pPr>
        <w:pStyle w:val="Point0letter"/>
        <w:numPr>
          <w:ilvl w:val="1"/>
          <w:numId w:val="29"/>
        </w:numPr>
        <w:rPr>
          <w:noProof/>
        </w:rPr>
      </w:pPr>
      <w:r>
        <w:rPr>
          <w:noProof/>
        </w:rPr>
        <w:t xml:space="preserve">Ge människor ökad egenmakt för att öka deras engagemang. </w:t>
      </w:r>
    </w:p>
    <w:p>
      <w:pPr>
        <w:pStyle w:val="Point0letter"/>
        <w:rPr>
          <w:noProof/>
        </w:rPr>
      </w:pPr>
      <w:r>
        <w:rPr>
          <w:noProof/>
        </w:rPr>
        <w:t>Mobilisera stöd från allmänheten i unionen, från kandidatländer och potentiella kandidater för en hållbar och inkluderande utveckling i partnerländerna.</w:t>
      </w:r>
    </w:p>
    <w:p>
      <w:pPr>
        <w:autoSpaceDE w:val="0"/>
        <w:autoSpaceDN w:val="0"/>
        <w:spacing w:before="0" w:after="260"/>
        <w:ind w:right="521"/>
        <w:rPr>
          <w:noProof/>
          <w:color w:val="000000"/>
          <w:szCs w:val="24"/>
        </w:rPr>
      </w:pPr>
    </w:p>
    <w:p>
      <w:pPr>
        <w:pStyle w:val="ManualHeading3"/>
        <w:rPr>
          <w:b/>
          <w:noProof/>
        </w:rPr>
      </w:pPr>
      <w:r>
        <w:rPr>
          <w:b/>
          <w:i w:val="0"/>
          <w:noProof/>
        </w:rPr>
        <w:t>3. INSATSOMRÅDEN FÖR STABILITET OCH FRED</w:t>
      </w:r>
    </w:p>
    <w:p>
      <w:pPr>
        <w:spacing w:before="0" w:after="0"/>
        <w:jc w:val="left"/>
        <w:rPr>
          <w:b/>
          <w:bCs/>
          <w:noProof/>
          <w:szCs w:val="24"/>
        </w:rPr>
      </w:pPr>
    </w:p>
    <w:p>
      <w:pPr>
        <w:pStyle w:val="ManualNumPar1"/>
        <w:rPr>
          <w:b/>
          <w:noProof/>
        </w:rPr>
      </w:pPr>
      <w:r>
        <w:rPr>
          <w:b/>
          <w:noProof/>
        </w:rPr>
        <w:t xml:space="preserve">1. </w:t>
      </w:r>
      <w:r>
        <w:rPr>
          <w:noProof/>
        </w:rPr>
        <w:tab/>
      </w:r>
      <w:r>
        <w:rPr>
          <w:b/>
          <w:noProof/>
        </w:rPr>
        <w:t>Bistånd för förebyggande av konflikter, fredsbyggande åtgärder och krisberedskap</w:t>
      </w:r>
    </w:p>
    <w:p>
      <w:pPr>
        <w:autoSpaceDE w:val="0"/>
        <w:autoSpaceDN w:val="0"/>
        <w:spacing w:before="0" w:after="260"/>
        <w:ind w:right="521"/>
        <w:rPr>
          <w:noProof/>
          <w:color w:val="000000"/>
          <w:szCs w:val="24"/>
        </w:rPr>
      </w:pPr>
      <w:r>
        <w:rPr>
          <w:noProof/>
          <w:color w:val="000000"/>
        </w:rPr>
        <w:t>Unionen ska ge tekniskt och finansiellt bistånd som omfattar stöd till åtgärder som syftar till att bygga upp och stärka parternas kapacitet att förebygga konflikter, skapa fred och hantera situationer före och efter kriser i nära samordning med Förenta nationerna och andra internationella, regionala och subregionala organisationer samt statliga och icke-statliga aktörer när det gäller deras insatser huvudsakligen på följande områden, inbegripet särskild uppmärksamhet åt kvinnors deltagande:</w:t>
      </w:r>
    </w:p>
    <w:p>
      <w:pPr>
        <w:pStyle w:val="Point0letter"/>
        <w:numPr>
          <w:ilvl w:val="1"/>
          <w:numId w:val="30"/>
        </w:numPr>
        <w:rPr>
          <w:noProof/>
        </w:rPr>
      </w:pPr>
      <w:r>
        <w:rPr>
          <w:noProof/>
        </w:rPr>
        <w:t>Tidig varning och konfliktkänslig riskanalys; förtroendeskapande åtgärder, medling, dialog och försoningsåtgärder.</w:t>
      </w:r>
    </w:p>
    <w:p>
      <w:pPr>
        <w:pStyle w:val="Point0letter"/>
        <w:rPr>
          <w:noProof/>
        </w:rPr>
      </w:pPr>
      <w:r>
        <w:rPr>
          <w:noProof/>
        </w:rPr>
        <w:t>Återhämtning efter konflikter och återhämtning efter katastrofer.</w:t>
      </w:r>
    </w:p>
    <w:p>
      <w:pPr>
        <w:pStyle w:val="Point0letter"/>
        <w:rPr>
          <w:noProof/>
        </w:rPr>
      </w:pPr>
      <w:r>
        <w:rPr>
          <w:noProof/>
        </w:rPr>
        <w:t xml:space="preserve">Fredsskapande och statsbyggande stödåtgärder. </w:t>
      </w:r>
    </w:p>
    <w:p>
      <w:pPr>
        <w:pStyle w:val="Point0letter"/>
        <w:rPr>
          <w:noProof/>
        </w:rPr>
      </w:pPr>
      <w:r>
        <w:rPr>
          <w:noProof/>
        </w:rPr>
        <w:t>Konfliktförebyggande och krishantering.</w:t>
      </w:r>
    </w:p>
    <w:p>
      <w:pPr>
        <w:pStyle w:val="Point0letter"/>
        <w:numPr>
          <w:ilvl w:val="1"/>
          <w:numId w:val="18"/>
        </w:numPr>
        <w:rPr>
          <w:bCs/>
          <w:noProof/>
        </w:rPr>
      </w:pPr>
      <w:r>
        <w:rPr>
          <w:noProof/>
        </w:rPr>
        <w:lastRenderedPageBreak/>
        <w:t>Kapacitetsuppbyggnad för säkerhet och utveckling.</w:t>
      </w:r>
    </w:p>
    <w:p>
      <w:pPr>
        <w:autoSpaceDE w:val="0"/>
        <w:autoSpaceDN w:val="0"/>
        <w:spacing w:before="0" w:after="260"/>
        <w:ind w:right="521"/>
        <w:rPr>
          <w:b/>
          <w:noProof/>
          <w:color w:val="000000"/>
          <w:szCs w:val="24"/>
        </w:rPr>
      </w:pPr>
    </w:p>
    <w:p>
      <w:pPr>
        <w:pStyle w:val="ManualNumPar1"/>
        <w:rPr>
          <w:b/>
          <w:noProof/>
        </w:rPr>
      </w:pPr>
      <w:r>
        <w:rPr>
          <w:b/>
          <w:noProof/>
        </w:rPr>
        <w:t xml:space="preserve">2. </w:t>
      </w:r>
      <w:r>
        <w:rPr>
          <w:noProof/>
        </w:rPr>
        <w:tab/>
      </w:r>
      <w:r>
        <w:rPr>
          <w:b/>
          <w:noProof/>
        </w:rPr>
        <w:t>Bistånd för att motverka globala och transregionala hot och framväxande hot</w:t>
      </w:r>
    </w:p>
    <w:p>
      <w:pPr>
        <w:spacing w:before="0" w:after="0"/>
        <w:jc w:val="left"/>
        <w:rPr>
          <w:bCs/>
          <w:noProof/>
          <w:szCs w:val="24"/>
        </w:rPr>
      </w:pPr>
      <w:r>
        <w:rPr>
          <w:noProof/>
        </w:rPr>
        <w:t>Unionen ska ge tekniskt och finansiellt bistånd för att stödja partnernas ansträngningar och unionsåtgärder för att ta itu med globala och transregionala hot och framväxande hot, huvudsakligen på följande områden:</w:t>
      </w:r>
    </w:p>
    <w:p>
      <w:pPr>
        <w:pStyle w:val="Point0letter"/>
        <w:numPr>
          <w:ilvl w:val="1"/>
          <w:numId w:val="31"/>
        </w:numPr>
        <w:rPr>
          <w:noProof/>
        </w:rPr>
      </w:pPr>
      <w:r>
        <w:rPr>
          <w:noProof/>
        </w:rPr>
        <w:t xml:space="preserve">Hot mot lag och ordning, enskilda personers säkerhet och trygghet, inklusive terrorism, våldsam extremism, organiserad brottslighet, it-brottslighet, hybridhot, olaglig handel och transitering. </w:t>
      </w:r>
    </w:p>
    <w:p>
      <w:pPr>
        <w:pStyle w:val="Point0letter"/>
        <w:rPr>
          <w:noProof/>
        </w:rPr>
      </w:pPr>
      <w:r>
        <w:rPr>
          <w:noProof/>
        </w:rPr>
        <w:t>Hot mot offentliga platser, kritisk infrastruktur, cybersäkerhet, hot mot folkhälsan eller miljömässig stabilitet, hot mot sjöfartsskyddet, hot till följd av klimatförändringarnas effekter.</w:t>
      </w:r>
    </w:p>
    <w:p>
      <w:pPr>
        <w:pStyle w:val="Point0letter"/>
        <w:rPr>
          <w:noProof/>
        </w:rPr>
      </w:pPr>
      <w:r>
        <w:rPr>
          <w:noProof/>
        </w:rPr>
        <w:t>Begränsning av risker i samband med kemiska, biologiska, radiologiska och nukleära material eller agens, oavsett om de härrör från uppsåtliga handlingar, olyckor eller har naturligt ursprung, och risker mot därmed förbundna anläggningar eller förläggningsplatser.</w:t>
      </w:r>
    </w:p>
    <w:p>
      <w:pPr>
        <w:pStyle w:val="Point0letter"/>
        <w:numPr>
          <w:ilvl w:val="1"/>
          <w:numId w:val="18"/>
        </w:numPr>
        <w:rPr>
          <w:noProof/>
        </w:rPr>
      </w:pPr>
      <w:r>
        <w:rPr>
          <w:noProof/>
        </w:rPr>
        <w:t>Kapacitetsuppbyggnad för säkerhet och utveckling.</w:t>
      </w:r>
    </w:p>
    <w:p>
      <w:pPr>
        <w:spacing w:before="0" w:after="0"/>
        <w:jc w:val="left"/>
        <w:rPr>
          <w:b/>
          <w:bCs/>
          <w:noProof/>
          <w:szCs w:val="24"/>
        </w:rPr>
      </w:pPr>
    </w:p>
    <w:p>
      <w:pPr>
        <w:spacing w:before="0" w:after="0"/>
        <w:jc w:val="left"/>
        <w:rPr>
          <w:b/>
          <w:bCs/>
          <w:noProof/>
          <w:szCs w:val="24"/>
        </w:rPr>
      </w:pPr>
    </w:p>
    <w:p>
      <w:pPr>
        <w:pStyle w:val="ManualHeading3"/>
        <w:rPr>
          <w:b/>
          <w:i w:val="0"/>
          <w:noProof/>
        </w:rPr>
      </w:pPr>
      <w:r>
        <w:rPr>
          <w:b/>
          <w:i w:val="0"/>
          <w:noProof/>
        </w:rPr>
        <w:t>4. INSATSOMRÅDEN FÖR GLOBALA UTMANINGAR</w:t>
      </w:r>
    </w:p>
    <w:p>
      <w:pPr>
        <w:rPr>
          <w:noProof/>
        </w:rPr>
      </w:pPr>
    </w:p>
    <w:p>
      <w:pPr>
        <w:pStyle w:val="ManualHeading3"/>
        <w:rPr>
          <w:b/>
          <w:noProof/>
        </w:rPr>
      </w:pPr>
      <w:r>
        <w:rPr>
          <w:b/>
          <w:noProof/>
        </w:rPr>
        <w:t xml:space="preserve">A. </w:t>
      </w:r>
      <w:r>
        <w:rPr>
          <w:noProof/>
        </w:rPr>
        <w:tab/>
      </w:r>
      <w:r>
        <w:rPr>
          <w:b/>
          <w:noProof/>
        </w:rPr>
        <w:t>MÄNNISKOR</w:t>
      </w:r>
    </w:p>
    <w:p>
      <w:pPr>
        <w:rPr>
          <w:noProof/>
        </w:rPr>
      </w:pPr>
    </w:p>
    <w:p>
      <w:pPr>
        <w:pStyle w:val="NumPar1"/>
        <w:numPr>
          <w:ilvl w:val="0"/>
          <w:numId w:val="11"/>
        </w:numPr>
        <w:rPr>
          <w:b/>
          <w:noProof/>
          <w:color w:val="000000"/>
        </w:rPr>
      </w:pPr>
      <w:r>
        <w:rPr>
          <w:b/>
          <w:noProof/>
        </w:rPr>
        <w:t>Hälsa</w:t>
      </w:r>
    </w:p>
    <w:p>
      <w:pPr>
        <w:pStyle w:val="Point0letter"/>
        <w:numPr>
          <w:ilvl w:val="1"/>
          <w:numId w:val="37"/>
        </w:numPr>
        <w:rPr>
          <w:noProof/>
        </w:rPr>
      </w:pPr>
      <w:r>
        <w:rPr>
          <w:noProof/>
        </w:rPr>
        <w:t>Utarbeta avgörande delar i ett effektivt och heltäckande hälso- och sjukvårdssystem som bäst görs på överstatlig nivå för att säkra en rättvis tillgång till hälso- och sjukvård och till sexuell och reproduktiv hälsa och tillhörande rättigheter.</w:t>
      </w:r>
    </w:p>
    <w:p>
      <w:pPr>
        <w:pStyle w:val="Point0letter"/>
        <w:rPr>
          <w:noProof/>
        </w:rPr>
      </w:pPr>
      <w:r>
        <w:rPr>
          <w:noProof/>
        </w:rPr>
        <w:t>Stärka globala initiativ som spelar en nyckelroll för den allmänna hälso- och sjukvården genom ett globalt ledarskap i strävan att fullfölja en strategi för ”hälsa inom alla politikområden” med en kontinuitet i sjukvården, inklusive friskvård, från förebyggande till efterbehandling.</w:t>
      </w:r>
    </w:p>
    <w:p>
      <w:pPr>
        <w:pStyle w:val="Point0letter"/>
        <w:rPr>
          <w:noProof/>
        </w:rPr>
      </w:pPr>
      <w:r>
        <w:rPr>
          <w:noProof/>
        </w:rPr>
        <w:t>Hantera global hälsosäkerhet genom forskning och kontroll av överförbara sjukdomar, omvandla kunskap till produkter och åtgärder för att ta itu med den föränderliga sjukdomsbördan (icke smittsamma sjukdomar, alla former av undernäring och riskfaktorer i miljön) och utforma globala marknader för att förbättra tillgången till grundläggande hälso- och sjukvårdsartiklar och hälso- och sjukvård, särskilt när det gäller sexuell och reproduktiv hälsa.</w:t>
      </w:r>
    </w:p>
    <w:p>
      <w:pPr>
        <w:spacing w:before="0" w:after="0"/>
        <w:ind w:left="960"/>
        <w:contextualSpacing/>
        <w:rPr>
          <w:noProof/>
        </w:rPr>
      </w:pPr>
    </w:p>
    <w:p>
      <w:pPr>
        <w:pStyle w:val="NumPar1"/>
        <w:rPr>
          <w:b/>
          <w:noProof/>
        </w:rPr>
      </w:pPr>
      <w:r>
        <w:rPr>
          <w:b/>
          <w:noProof/>
        </w:rPr>
        <w:t xml:space="preserve">Utbildning </w:t>
      </w:r>
    </w:p>
    <w:p>
      <w:pPr>
        <w:pStyle w:val="Point0letter"/>
        <w:numPr>
          <w:ilvl w:val="1"/>
          <w:numId w:val="32"/>
        </w:numPr>
        <w:rPr>
          <w:noProof/>
        </w:rPr>
      </w:pPr>
      <w:r>
        <w:rPr>
          <w:noProof/>
        </w:rPr>
        <w:t>Främja gemensamma globala insatser för inkluderande och rättvis högkvalitativ utbildning på alla nivåer, även i nöd- och krissituationer.</w:t>
      </w:r>
    </w:p>
    <w:p>
      <w:pPr>
        <w:pStyle w:val="Point0letter"/>
        <w:rPr>
          <w:noProof/>
        </w:rPr>
      </w:pPr>
      <w:r>
        <w:rPr>
          <w:noProof/>
        </w:rPr>
        <w:lastRenderedPageBreak/>
        <w:t>Förbättra kunskaper, färdigheter och värderingar genom partnerskap och allianser för ett aktivt medborgarskap och produktiva, inkluderande och resilienta samhällen.</w:t>
      </w:r>
    </w:p>
    <w:p>
      <w:pPr>
        <w:pStyle w:val="Point0letter"/>
        <w:rPr>
          <w:noProof/>
        </w:rPr>
      </w:pPr>
      <w:r>
        <w:rPr>
          <w:noProof/>
        </w:rPr>
        <w:t>Stödja globala åtgärder för att minska alla dimensioner av orättvisor, såsom skillnaderna mellan flickor/kvinnor och pojkar/män, för att se till att alla har lika möjligheter att delta i det ekonomiska och sociala livet.</w:t>
      </w:r>
    </w:p>
    <w:p>
      <w:pPr>
        <w:spacing w:before="0" w:after="0"/>
        <w:rPr>
          <w:rFonts w:eastAsia="Times New Roman"/>
          <w:noProof/>
          <w:szCs w:val="24"/>
        </w:rPr>
      </w:pPr>
    </w:p>
    <w:p>
      <w:pPr>
        <w:pStyle w:val="NumPar1"/>
        <w:rPr>
          <w:b/>
          <w:noProof/>
        </w:rPr>
      </w:pPr>
      <w:r>
        <w:rPr>
          <w:b/>
          <w:noProof/>
        </w:rPr>
        <w:t>Kvinnor och barn</w:t>
      </w:r>
    </w:p>
    <w:p>
      <w:pPr>
        <w:pStyle w:val="Point0letter"/>
        <w:numPr>
          <w:ilvl w:val="1"/>
          <w:numId w:val="19"/>
        </w:numPr>
        <w:rPr>
          <w:noProof/>
        </w:rPr>
      </w:pPr>
      <w:r>
        <w:rPr>
          <w:noProof/>
        </w:rPr>
        <w:t>Leda och stödja globala insatser, partnerskap och allianser för att avskaffa alla former av våld mot kvinnor och flickor. Detta omfattar fysiskt, psykiskt, sexuellt, ekonomiskt och andra former av våld och diskriminering, bland annat utestängning som kvinnor utsätts för inom olika delar av sina privata och offentliga liv.</w:t>
      </w:r>
    </w:p>
    <w:p>
      <w:pPr>
        <w:pStyle w:val="Point0letter"/>
        <w:numPr>
          <w:ilvl w:val="1"/>
          <w:numId w:val="19"/>
        </w:numPr>
        <w:rPr>
          <w:noProof/>
        </w:rPr>
      </w:pPr>
      <w:r>
        <w:rPr>
          <w:noProof/>
        </w:rPr>
        <w:t>Främja nya initiativ för att stärka systemen för skydd av barn i tredjeländer för att se till att barn skyddas på alla områden från våld, utnyttjande och vanvård, bl.a. genom att främja övergången från institutionsbaserad till samhällsbaserad vård och omsorg för barn.</w:t>
      </w:r>
    </w:p>
    <w:p>
      <w:pPr>
        <w:spacing w:before="0" w:after="0"/>
        <w:rPr>
          <w:noProof/>
          <w:szCs w:val="24"/>
        </w:rPr>
      </w:pPr>
    </w:p>
    <w:p>
      <w:pPr>
        <w:pStyle w:val="NumPar1"/>
        <w:rPr>
          <w:b/>
          <w:noProof/>
        </w:rPr>
      </w:pPr>
      <w:r>
        <w:rPr>
          <w:b/>
          <w:noProof/>
        </w:rPr>
        <w:t>Migration och tvångsförflyttning</w:t>
      </w:r>
    </w:p>
    <w:p>
      <w:pPr>
        <w:pStyle w:val="Point0letter"/>
        <w:numPr>
          <w:ilvl w:val="1"/>
          <w:numId w:val="38"/>
        </w:numPr>
        <w:rPr>
          <w:noProof/>
        </w:rPr>
      </w:pPr>
      <w:r>
        <w:rPr>
          <w:noProof/>
        </w:rPr>
        <w:t>Garantera EU:s fortsatta ledarroll i utformningen av den globala agendan för migration och styrning i alla dess former av tvångsförflyttningar.</w:t>
      </w:r>
    </w:p>
    <w:p>
      <w:pPr>
        <w:pStyle w:val="Point0letter"/>
        <w:rPr>
          <w:noProof/>
          <w:szCs w:val="24"/>
        </w:rPr>
      </w:pPr>
      <w:r>
        <w:rPr>
          <w:noProof/>
        </w:rPr>
        <w:t>Styra och stödja globala och regionövergripande politiska dialoger, inklusive utbyte och samarbete om migration och tvångsförflyttning.</w:t>
      </w:r>
    </w:p>
    <w:p>
      <w:pPr>
        <w:pStyle w:val="Point0letter"/>
        <w:rPr>
          <w:noProof/>
          <w:szCs w:val="24"/>
        </w:rPr>
      </w:pPr>
      <w:r>
        <w:rPr>
          <w:noProof/>
        </w:rPr>
        <w:t>Stödja genomförandet av internationella åtaganden och EU-åtaganden rörande migration och tvångsförflyttning, inbegripet en uppföljning till den globala pakten om migration och den globala pakten om flyktingar.</w:t>
      </w:r>
    </w:p>
    <w:p>
      <w:pPr>
        <w:pStyle w:val="Point0letter"/>
        <w:rPr>
          <w:noProof/>
        </w:rPr>
      </w:pPr>
      <w:r>
        <w:rPr>
          <w:noProof/>
        </w:rPr>
        <w:t>Förbättra den globala kunskapsbasen, inbegripet om kopplingen mellan migration och utveckling och inleda insatser av pilotkaraktär som syftar till att utveckla innovativa strategier på området migration och tvångsförflyttning.</w:t>
      </w:r>
    </w:p>
    <w:p>
      <w:pPr>
        <w:pStyle w:val="NumPar1"/>
        <w:rPr>
          <w:b/>
          <w:noProof/>
        </w:rPr>
      </w:pPr>
      <w:r>
        <w:rPr>
          <w:b/>
          <w:noProof/>
        </w:rPr>
        <w:t xml:space="preserve">Anständigt arbete, socialt skydd och ojämlikhet </w:t>
      </w:r>
    </w:p>
    <w:p>
      <w:pPr>
        <w:pStyle w:val="Point0letter"/>
        <w:numPr>
          <w:ilvl w:val="1"/>
          <w:numId w:val="20"/>
        </w:numPr>
        <w:rPr>
          <w:noProof/>
        </w:rPr>
      </w:pPr>
      <w:r>
        <w:rPr>
          <w:noProof/>
        </w:rPr>
        <w:t>Utforma den globala dagordningen och stödja initiativ för att integrera en stark pelare om rättvisa och social rättvisa i enlighet med europeiska värderingar.</w:t>
      </w:r>
    </w:p>
    <w:p>
      <w:pPr>
        <w:pStyle w:val="Point0letter"/>
        <w:numPr>
          <w:ilvl w:val="1"/>
          <w:numId w:val="20"/>
        </w:numPr>
        <w:rPr>
          <w:noProof/>
        </w:rPr>
      </w:pPr>
      <w:r>
        <w:rPr>
          <w:noProof/>
        </w:rPr>
        <w:t>Bidra till den globala agendan för anständigt arbete, framför allt i globala värdekedjor, samt öka kunskaperna om effektiva sysselsättningspolitiska åtgärder som svarar mot behoven på arbetsmarknaden, inklusive yrkesutbildning och livslångt lärande.</w:t>
      </w:r>
    </w:p>
    <w:p>
      <w:pPr>
        <w:pStyle w:val="Point0letter"/>
        <w:numPr>
          <w:ilvl w:val="1"/>
          <w:numId w:val="20"/>
        </w:numPr>
        <w:rPr>
          <w:noProof/>
        </w:rPr>
      </w:pPr>
      <w:r>
        <w:rPr>
          <w:noProof/>
        </w:rPr>
        <w:t>Stödja globala initiativ om ett allmänt socialt skydd som följer principerna om effektivitet, hållbarhet och rättvisa, inbegripet stöd för att motverka ojämlikhet och garantera social sammanhållning.</w:t>
      </w:r>
    </w:p>
    <w:p>
      <w:pPr>
        <w:pStyle w:val="Point0letter"/>
        <w:numPr>
          <w:ilvl w:val="1"/>
          <w:numId w:val="20"/>
        </w:numPr>
        <w:rPr>
          <w:noProof/>
        </w:rPr>
      </w:pPr>
      <w:r>
        <w:rPr>
          <w:noProof/>
        </w:rPr>
        <w:t>Fortsätta den globala forskningen och utvecklingen genom social innovation som främjar social delaktighet och tillgodoser behoven i de mest sårbara delarna av samhället.</w:t>
      </w:r>
    </w:p>
    <w:p>
      <w:pPr>
        <w:spacing w:before="0" w:after="0"/>
        <w:ind w:left="240"/>
        <w:rPr>
          <w:noProof/>
          <w:szCs w:val="24"/>
        </w:rPr>
      </w:pPr>
    </w:p>
    <w:p>
      <w:pPr>
        <w:pStyle w:val="NumPar1"/>
        <w:rPr>
          <w:b/>
          <w:noProof/>
        </w:rPr>
      </w:pPr>
      <w:r>
        <w:rPr>
          <w:b/>
          <w:noProof/>
        </w:rPr>
        <w:t>Kultur</w:t>
      </w:r>
    </w:p>
    <w:p>
      <w:pPr>
        <w:pStyle w:val="Point0letter"/>
        <w:numPr>
          <w:ilvl w:val="1"/>
          <w:numId w:val="21"/>
        </w:numPr>
        <w:rPr>
          <w:noProof/>
        </w:rPr>
      </w:pPr>
      <w:r>
        <w:rPr>
          <w:noProof/>
        </w:rPr>
        <w:lastRenderedPageBreak/>
        <w:t>Främja initiativ för kulturell mångfald och interkulturell dialog för fredliga förbindelser mellan olika befolkningsgrupper.</w:t>
      </w:r>
    </w:p>
    <w:p>
      <w:pPr>
        <w:pStyle w:val="Point0letter"/>
        <w:numPr>
          <w:ilvl w:val="1"/>
          <w:numId w:val="21"/>
        </w:numPr>
        <w:rPr>
          <w:noProof/>
        </w:rPr>
      </w:pPr>
      <w:r>
        <w:rPr>
          <w:noProof/>
        </w:rPr>
        <w:t>Stödja kultur som en motor för hållbar social och ekonomisk utveckling, och förstärka samarbetet om kulturarv.</w:t>
      </w:r>
    </w:p>
    <w:p>
      <w:pPr>
        <w:spacing w:before="0" w:after="0"/>
        <w:ind w:left="240"/>
        <w:contextualSpacing/>
        <w:rPr>
          <w:noProof/>
          <w:szCs w:val="24"/>
        </w:rPr>
      </w:pPr>
    </w:p>
    <w:p>
      <w:pPr>
        <w:pStyle w:val="ManualHeading3"/>
        <w:rPr>
          <w:b/>
          <w:noProof/>
        </w:rPr>
      </w:pPr>
      <w:r>
        <w:rPr>
          <w:b/>
          <w:noProof/>
        </w:rPr>
        <w:t xml:space="preserve">B. </w:t>
      </w:r>
      <w:r>
        <w:rPr>
          <w:noProof/>
        </w:rPr>
        <w:tab/>
      </w:r>
      <w:r>
        <w:rPr>
          <w:b/>
          <w:noProof/>
        </w:rPr>
        <w:t>VÅR PLANET</w:t>
      </w:r>
    </w:p>
    <w:p>
      <w:pPr>
        <w:pStyle w:val="ManualNumPar1"/>
        <w:rPr>
          <w:b/>
          <w:noProof/>
        </w:rPr>
      </w:pPr>
      <w:r>
        <w:rPr>
          <w:b/>
          <w:noProof/>
        </w:rPr>
        <w:t>1.</w:t>
      </w:r>
      <w:r>
        <w:rPr>
          <w:noProof/>
        </w:rPr>
        <w:tab/>
      </w:r>
      <w:r>
        <w:rPr>
          <w:b/>
          <w:noProof/>
        </w:rPr>
        <w:t>Säkerställa en hälsosam miljö och hantera klimatförändringarna</w:t>
      </w:r>
    </w:p>
    <w:p>
      <w:pPr>
        <w:pStyle w:val="Point0letter"/>
        <w:numPr>
          <w:ilvl w:val="1"/>
          <w:numId w:val="22"/>
        </w:numPr>
        <w:rPr>
          <w:noProof/>
        </w:rPr>
      </w:pPr>
      <w:r>
        <w:rPr>
          <w:noProof/>
        </w:rPr>
        <w:t>Stärka den globala klimat- och miljöstyrningen, genomförandet av Parisavtalet om klimatförändringar, Riokonventionerna och andra multilaterala miljöavtal.</w:t>
      </w:r>
    </w:p>
    <w:p>
      <w:pPr>
        <w:pStyle w:val="Point0letter"/>
        <w:numPr>
          <w:ilvl w:val="1"/>
          <w:numId w:val="22"/>
        </w:numPr>
        <w:rPr>
          <w:noProof/>
        </w:rPr>
      </w:pPr>
      <w:r>
        <w:rPr>
          <w:noProof/>
        </w:rPr>
        <w:t>Bidra till den yttre dimensionen av unionens miljö- och klimatförändringspolitik.</w:t>
      </w:r>
    </w:p>
    <w:p>
      <w:pPr>
        <w:pStyle w:val="Point0letter"/>
        <w:numPr>
          <w:ilvl w:val="1"/>
          <w:numId w:val="22"/>
        </w:numPr>
        <w:rPr>
          <w:noProof/>
        </w:rPr>
      </w:pPr>
      <w:r>
        <w:rPr>
          <w:noProof/>
        </w:rPr>
        <w:t>Integrera miljö, klimatförändring och katastrofriskreducering i politik, planer och investeringar bland annat genom förbättrad kunskap och information.</w:t>
      </w:r>
    </w:p>
    <w:p>
      <w:pPr>
        <w:pStyle w:val="Point0letter"/>
        <w:numPr>
          <w:ilvl w:val="1"/>
          <w:numId w:val="22"/>
        </w:numPr>
        <w:rPr>
          <w:noProof/>
        </w:rPr>
      </w:pPr>
      <w:r>
        <w:rPr>
          <w:noProof/>
        </w:rPr>
        <w:t>Genomföra internationella initiativ och EU-initiativ för att främja anpassningen till och begränsningen av klimatförändringar och en klimattålig utveckling med låga utsläpp, inklusive genom genomförandet av nationellt fastställda bidrag, klimattåliga strategier för låga utsläpp, främja katastrofriskreducering, hantera miljöförstöring och hejda förlusten av biologisk mångfald, främja bevarande och hållbar användning och förvaltning av landbaserade och marina ekosystem och förnybara naturresurser, inklusive hav, land, vatten, hav, fiske och skogar, hantera avskogning, markförstöring, olaglig avverkning och olaglig handel med vilda djur och växter, bekämpa föroreningar och trygga en hälsosam miljö, ta itu med nya klimat- och miljöfrågor, främja resurseffektivitet, hållbar konsumtion och produktion och en sund hantering av kemikalier och avfall och stödja övergången till klimattåliga gröna och cirkulära ekonomier med låga utsläpp.</w:t>
      </w:r>
    </w:p>
    <w:p>
      <w:pPr>
        <w:spacing w:before="0" w:after="0"/>
        <w:ind w:left="360"/>
        <w:contextualSpacing/>
        <w:rPr>
          <w:noProof/>
          <w:szCs w:val="24"/>
        </w:rPr>
      </w:pPr>
    </w:p>
    <w:p>
      <w:pPr>
        <w:pStyle w:val="ManualNumPar1"/>
        <w:rPr>
          <w:b/>
          <w:noProof/>
        </w:rPr>
      </w:pPr>
      <w:r>
        <w:rPr>
          <w:b/>
          <w:noProof/>
        </w:rPr>
        <w:t>2.</w:t>
      </w:r>
      <w:r>
        <w:rPr>
          <w:noProof/>
        </w:rPr>
        <w:tab/>
      </w:r>
      <w:r>
        <w:rPr>
          <w:b/>
          <w:noProof/>
        </w:rPr>
        <w:t>Hållbar energi</w:t>
      </w:r>
    </w:p>
    <w:p>
      <w:pPr>
        <w:pStyle w:val="Point0letter"/>
        <w:numPr>
          <w:ilvl w:val="1"/>
          <w:numId w:val="23"/>
        </w:numPr>
        <w:rPr>
          <w:noProof/>
        </w:rPr>
      </w:pPr>
      <w:r>
        <w:rPr>
          <w:noProof/>
        </w:rPr>
        <w:t>Stödja globala insatser, åtaganden, partnerskap och allianser, inbegripet övergången till hållbar energi.</w:t>
      </w:r>
    </w:p>
    <w:p>
      <w:pPr>
        <w:pStyle w:val="Point0letter"/>
        <w:numPr>
          <w:ilvl w:val="1"/>
          <w:numId w:val="23"/>
        </w:numPr>
        <w:rPr>
          <w:noProof/>
        </w:rPr>
      </w:pPr>
      <w:r>
        <w:rPr>
          <w:noProof/>
        </w:rPr>
        <w:t>Uppmuntra regeringarna i partnerländerna att ansluta sig till politiska reformer och marknadsreformer av energisektorn för att skapa en miljö som gynnar investeringar för att öka tillgången till energitjänster som har överkomliga priser, är moderna, tillförlitliga och hållbara, med stark tonvikt på förnybar energi och energieffektivitet.</w:t>
      </w:r>
    </w:p>
    <w:p>
      <w:pPr>
        <w:pStyle w:val="Point0letter"/>
        <w:numPr>
          <w:ilvl w:val="1"/>
          <w:numId w:val="23"/>
        </w:numPr>
        <w:rPr>
          <w:noProof/>
        </w:rPr>
      </w:pPr>
      <w:r>
        <w:rPr>
          <w:noProof/>
        </w:rPr>
        <w:t>Undersöka, identifiera, och globalt integrera och stödja ekonomiskt hållbara affärsmodeller med skalbarhet och potential för reproducerbarhet som tillhandahåller innovativa och digitala tekniker genom innovativ forskning som säkerställer ökad effektivitet, särskilt för decentraliserade strategier för tillgång till energi genom förnybar energi, inbegripet i områden där den lokala marknaden är begränsad.</w:t>
      </w:r>
    </w:p>
    <w:p>
      <w:pPr>
        <w:pStyle w:val="ManualNumPar1"/>
        <w:rPr>
          <w:noProof/>
        </w:rPr>
      </w:pPr>
    </w:p>
    <w:p>
      <w:pPr>
        <w:pStyle w:val="ManualHeading3"/>
        <w:rPr>
          <w:b/>
          <w:noProof/>
        </w:rPr>
      </w:pPr>
      <w:r>
        <w:rPr>
          <w:b/>
          <w:noProof/>
        </w:rPr>
        <w:t xml:space="preserve">C. </w:t>
      </w:r>
      <w:r>
        <w:rPr>
          <w:noProof/>
        </w:rPr>
        <w:tab/>
      </w:r>
      <w:r>
        <w:rPr>
          <w:b/>
          <w:noProof/>
        </w:rPr>
        <w:t>VÄLSTÅND</w:t>
      </w:r>
    </w:p>
    <w:p>
      <w:pPr>
        <w:autoSpaceDE w:val="0"/>
        <w:autoSpaceDN w:val="0"/>
        <w:adjustRightInd w:val="0"/>
        <w:spacing w:before="0" w:after="0"/>
        <w:rPr>
          <w:b/>
          <w:noProof/>
          <w:szCs w:val="24"/>
        </w:rPr>
      </w:pPr>
    </w:p>
    <w:p>
      <w:pPr>
        <w:pStyle w:val="ManualNumPar1"/>
        <w:rPr>
          <w:b/>
          <w:noProof/>
        </w:rPr>
      </w:pPr>
      <w:r>
        <w:rPr>
          <w:b/>
          <w:noProof/>
        </w:rPr>
        <w:t>1.</w:t>
      </w:r>
      <w:r>
        <w:rPr>
          <w:noProof/>
        </w:rPr>
        <w:tab/>
      </w:r>
      <w:r>
        <w:rPr>
          <w:b/>
          <w:noProof/>
        </w:rPr>
        <w:t>Hållbar och inkluderande tillväxt, anständiga arbetstillfällen och engagemang från den privata sektorn</w:t>
      </w:r>
    </w:p>
    <w:p>
      <w:pPr>
        <w:pStyle w:val="Point0letter"/>
        <w:numPr>
          <w:ilvl w:val="1"/>
          <w:numId w:val="24"/>
        </w:numPr>
        <w:rPr>
          <w:noProof/>
        </w:rPr>
      </w:pPr>
      <w:r>
        <w:rPr>
          <w:noProof/>
        </w:rPr>
        <w:lastRenderedPageBreak/>
        <w:t>Främja hållbara privata investeringar genom innovativa finansieringsmekanismer och riskdelning.</w:t>
      </w:r>
    </w:p>
    <w:p>
      <w:pPr>
        <w:pStyle w:val="Point0letter"/>
        <w:numPr>
          <w:ilvl w:val="1"/>
          <w:numId w:val="24"/>
        </w:numPr>
        <w:rPr>
          <w:noProof/>
        </w:rPr>
      </w:pPr>
      <w:r>
        <w:rPr>
          <w:noProof/>
        </w:rPr>
        <w:t>Förbättra företagsklimatet och investeringsklimatet och stödja en ökad dialog mellan det offentliga och privata, och kapacitetsuppbyggnad i mikroföretag och små och medelstora företag.</w:t>
      </w:r>
    </w:p>
    <w:p>
      <w:pPr>
        <w:pStyle w:val="Point0letter"/>
        <w:rPr>
          <w:noProof/>
        </w:rPr>
      </w:pPr>
      <w:r>
        <w:rPr>
          <w:noProof/>
        </w:rPr>
        <w:t>Stödja unionens handelspolitik och handelsavtal och deras genomförande, och förbättra tillträdet till partnerländers marknader och främja handel, investeringar och affärsmöjligheter för företag från unionen, samtidigt som hinder för marknadstillträde och investeringar undanröjs.</w:t>
      </w:r>
    </w:p>
    <w:p>
      <w:pPr>
        <w:pStyle w:val="Point0letter"/>
        <w:numPr>
          <w:ilvl w:val="1"/>
          <w:numId w:val="24"/>
        </w:numPr>
        <w:rPr>
          <w:noProof/>
        </w:rPr>
      </w:pPr>
      <w:r>
        <w:rPr>
          <w:noProof/>
        </w:rPr>
        <w:t>Främja en effektiv policymix till stöd för ekonomisk diversifiering, mervärde, samt regional integration och hållbar grön och blå ekonomi.</w:t>
      </w:r>
    </w:p>
    <w:p>
      <w:pPr>
        <w:pStyle w:val="Point0letter"/>
        <w:numPr>
          <w:ilvl w:val="1"/>
          <w:numId w:val="24"/>
        </w:numPr>
        <w:rPr>
          <w:noProof/>
        </w:rPr>
      </w:pPr>
      <w:r>
        <w:rPr>
          <w:noProof/>
        </w:rPr>
        <w:t>Främja tillgången till digital teknik, inbegripet att främja tillgång till finansiering och finansiell integration.</w:t>
      </w:r>
    </w:p>
    <w:p>
      <w:pPr>
        <w:pStyle w:val="Point0letter"/>
        <w:rPr>
          <w:noProof/>
        </w:rPr>
      </w:pPr>
      <w:r>
        <w:rPr>
          <w:noProof/>
        </w:rPr>
        <w:t>Främja hållbar konsumtion och produktion samt innovativa tekniker och metoder för en koldioxidsnål, resurseffektiv cirkulär ekonomi.</w:t>
      </w:r>
    </w:p>
    <w:p>
      <w:pPr>
        <w:spacing w:before="0" w:after="0"/>
        <w:ind w:left="360"/>
        <w:rPr>
          <w:noProof/>
          <w:szCs w:val="24"/>
        </w:rPr>
      </w:pPr>
    </w:p>
    <w:p>
      <w:pPr>
        <w:pStyle w:val="ManualNumPar1"/>
        <w:rPr>
          <w:b/>
          <w:noProof/>
        </w:rPr>
      </w:pPr>
      <w:r>
        <w:rPr>
          <w:b/>
          <w:noProof/>
        </w:rPr>
        <w:t>2.</w:t>
      </w:r>
      <w:r>
        <w:rPr>
          <w:noProof/>
        </w:rPr>
        <w:tab/>
      </w:r>
      <w:r>
        <w:rPr>
          <w:b/>
          <w:noProof/>
        </w:rPr>
        <w:t>Tryggad livsmedels- och näringsförsörjning</w:t>
      </w:r>
    </w:p>
    <w:p>
      <w:pPr>
        <w:pStyle w:val="Point0letter"/>
        <w:numPr>
          <w:ilvl w:val="1"/>
          <w:numId w:val="25"/>
        </w:numPr>
        <w:rPr>
          <w:noProof/>
        </w:rPr>
      </w:pPr>
      <w:r>
        <w:rPr>
          <w:noProof/>
        </w:rPr>
        <w:t>Stödja och påverka internationella strategier, organisationer, mekanismer och aktörer som planerar viktiga globala politiska frågor och referensramar för tryggad livsmedelsförsörjning och nutrition.</w:t>
      </w:r>
    </w:p>
    <w:p>
      <w:pPr>
        <w:pStyle w:val="Point0letter"/>
        <w:numPr>
          <w:ilvl w:val="1"/>
          <w:numId w:val="25"/>
        </w:numPr>
        <w:rPr>
          <w:noProof/>
        </w:rPr>
      </w:pPr>
      <w:r>
        <w:rPr>
          <w:noProof/>
        </w:rPr>
        <w:t>Förbättra de globala kollektiva nyttigheterna och sträva efter att utrota svält och undernäring. Verktyg som det globala nätverket för förebyggande av livsmedelskriser höjer kapaciteten att hantera livsmedelskriser och nutrition inom ramen för kopplingen mellan humanitärt bistånd–utveckling–fred (och bidrar således till mobiliseringen av resurser inom pelare 3).</w:t>
      </w:r>
    </w:p>
    <w:p>
      <w:pPr>
        <w:pStyle w:val="Point0letter"/>
        <w:numPr>
          <w:ilvl w:val="1"/>
          <w:numId w:val="25"/>
        </w:numPr>
        <w:rPr>
          <w:noProof/>
        </w:rPr>
      </w:pPr>
      <w:r>
        <w:rPr>
          <w:noProof/>
        </w:rPr>
        <w:t>På global nivå bekräfta den centrala roll som hållbart jordbruk och fiske och vattenbruk har för en ökad livsmedelstrygghet, utrotning av fattigdom, skapande av arbetstillfällen, begränsning av och anpassning till klimatförändringar, resiliens och friska ekosystem.</w:t>
      </w:r>
    </w:p>
    <w:p>
      <w:pPr>
        <w:pStyle w:val="Point0letter"/>
        <w:numPr>
          <w:ilvl w:val="1"/>
          <w:numId w:val="25"/>
        </w:numPr>
        <w:rPr>
          <w:noProof/>
        </w:rPr>
      </w:pPr>
      <w:r>
        <w:rPr>
          <w:noProof/>
        </w:rPr>
        <w:t>Möjliggöra innovationer genom internationell forskning och genom att stärka den globala kunskapen och expertisen, särskilt vad gäller anpassning till och begränsning av klimatförändringar, mångfald inom jordbruket, övergripande och inkluderande värdekedjor, livsmedelssäkerhet, ansvarsfulla investeringar, förvaltning av mark- och naturresursinnehav.</w:t>
      </w:r>
    </w:p>
    <w:p>
      <w:pPr>
        <w:autoSpaceDE w:val="0"/>
        <w:autoSpaceDN w:val="0"/>
        <w:adjustRightInd w:val="0"/>
        <w:spacing w:before="0" w:after="0"/>
        <w:ind w:left="960"/>
        <w:rPr>
          <w:noProof/>
          <w:color w:val="000000"/>
          <w:szCs w:val="24"/>
        </w:rPr>
      </w:pPr>
    </w:p>
    <w:p>
      <w:pPr>
        <w:pStyle w:val="ManualHeading3"/>
        <w:rPr>
          <w:b/>
          <w:noProof/>
        </w:rPr>
      </w:pPr>
      <w:r>
        <w:rPr>
          <w:b/>
          <w:noProof/>
        </w:rPr>
        <w:t xml:space="preserve">D. </w:t>
      </w:r>
      <w:r>
        <w:rPr>
          <w:noProof/>
        </w:rPr>
        <w:tab/>
      </w:r>
      <w:r>
        <w:rPr>
          <w:b/>
          <w:noProof/>
        </w:rPr>
        <w:t>PARTNERSKAP</w:t>
      </w:r>
    </w:p>
    <w:p>
      <w:pPr>
        <w:pStyle w:val="ManualNumPar1"/>
        <w:rPr>
          <w:b/>
          <w:noProof/>
        </w:rPr>
      </w:pPr>
      <w:r>
        <w:rPr>
          <w:b/>
          <w:noProof/>
        </w:rPr>
        <w:t>1.</w:t>
      </w:r>
      <w:r>
        <w:rPr>
          <w:noProof/>
        </w:rPr>
        <w:tab/>
      </w:r>
      <w:r>
        <w:rPr>
          <w:b/>
          <w:noProof/>
        </w:rPr>
        <w:t>Stärka de lokala myndigheternas roll som aktörer för utveckling genom:</w:t>
      </w:r>
    </w:p>
    <w:p>
      <w:pPr>
        <w:pStyle w:val="Point0letter"/>
        <w:numPr>
          <w:ilvl w:val="1"/>
          <w:numId w:val="26"/>
        </w:numPr>
        <w:rPr>
          <w:bCs/>
          <w:noProof/>
        </w:rPr>
      </w:pPr>
      <w:r>
        <w:rPr>
          <w:noProof/>
        </w:rPr>
        <w:t>Ökad kapacitet hos det civila samhället och nätverk för lokala myndigheter i Europa och i syd, plattformar och allianser för att säkra en omfattande och fortsatt politisk dialog på utvecklingsområdet och främja en demokratisk samhällsstyrning, särskilt genom den territoriella strategin för lokal utveckling.</w:t>
      </w:r>
    </w:p>
    <w:p>
      <w:pPr>
        <w:pStyle w:val="Point0letter"/>
        <w:numPr>
          <w:ilvl w:val="1"/>
          <w:numId w:val="26"/>
        </w:numPr>
        <w:rPr>
          <w:bCs/>
          <w:noProof/>
        </w:rPr>
      </w:pPr>
      <w:r>
        <w:rPr>
          <w:noProof/>
        </w:rPr>
        <w:t xml:space="preserve">Ökad samverkan med Europas medborgare om utvecklingsfrågor (informationskampanjer, utbyte av kunskaper, engagemang) framför allt i samband </w:t>
      </w:r>
      <w:r>
        <w:rPr>
          <w:noProof/>
        </w:rPr>
        <w:lastRenderedPageBreak/>
        <w:t>åtgärder med anknytning till målen för hållbar utveckling, inbegripet i unionen och i kandidatländer och potentiella kandidatländer.</w:t>
      </w:r>
    </w:p>
    <w:p>
      <w:pPr>
        <w:spacing w:before="0" w:after="0"/>
        <w:ind w:left="360"/>
        <w:contextualSpacing/>
        <w:rPr>
          <w:b/>
          <w:bCs/>
          <w:noProof/>
          <w:szCs w:val="24"/>
        </w:rPr>
      </w:pPr>
    </w:p>
    <w:p>
      <w:pPr>
        <w:pStyle w:val="ManualNumPar1"/>
        <w:rPr>
          <w:b/>
          <w:noProof/>
        </w:rPr>
      </w:pPr>
      <w:r>
        <w:rPr>
          <w:b/>
          <w:noProof/>
        </w:rPr>
        <w:t>2.</w:t>
      </w:r>
      <w:r>
        <w:rPr>
          <w:noProof/>
        </w:rPr>
        <w:tab/>
      </w:r>
      <w:r>
        <w:rPr>
          <w:b/>
          <w:noProof/>
        </w:rPr>
        <w:t>Främja inkluderande samhällen, god ekonomisk styrning, rättvis och inkluderande mobilisering av inhemska intäkter, transparent förvaltning av de offentliga finanserna och effektiva och inkluderande offentliga utgifter.</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BILAGA IV</w:t>
      </w:r>
      <w:r>
        <w:rPr>
          <w:noProof/>
        </w:rPr>
        <w:br/>
        <w:t>INSATSOMRÅDEN FÖR SNABBINSATSÅGÄRDER</w:t>
      </w:r>
    </w:p>
    <w:p>
      <w:pPr>
        <w:spacing w:before="0" w:after="0"/>
        <w:rPr>
          <w:noProof/>
        </w:rPr>
      </w:pPr>
    </w:p>
    <w:p>
      <w:pPr>
        <w:pStyle w:val="ManualNumPar1"/>
        <w:rPr>
          <w:b/>
          <w:noProof/>
        </w:rPr>
      </w:pPr>
      <w:r>
        <w:rPr>
          <w:b/>
          <w:noProof/>
        </w:rPr>
        <w:t xml:space="preserve">1. </w:t>
      </w:r>
      <w:r>
        <w:rPr>
          <w:noProof/>
        </w:rPr>
        <w:tab/>
      </w:r>
      <w:r>
        <w:rPr>
          <w:b/>
          <w:noProof/>
        </w:rPr>
        <w:t>Åtgärder som bidrar till stabilitet och konfliktförebyggande i nödsituationer, i begynnande kriser samt under och efter kriser,</w:t>
      </w:r>
    </w:p>
    <w:p>
      <w:pPr>
        <w:jc w:val="left"/>
        <w:rPr>
          <w:noProof/>
        </w:rPr>
      </w:pPr>
      <w:r>
        <w:rPr>
          <w:noProof/>
        </w:rPr>
        <w:t>De snabbinsatsåtgärder som avses i punkt a) i artikel 4.4 ska vara utformade för att unionen effektivt ska kunna göra insatser i följande exceptionella och oförutsedda situationer:</w:t>
      </w:r>
    </w:p>
    <w:p>
      <w:pPr>
        <w:pStyle w:val="Point0letter"/>
        <w:numPr>
          <w:ilvl w:val="1"/>
          <w:numId w:val="35"/>
        </w:numPr>
        <w:rPr>
          <w:noProof/>
        </w:rPr>
      </w:pPr>
      <w:r>
        <w:rPr>
          <w:noProof/>
        </w:rPr>
        <w:t>En nödsituation, kris eller begynnande kris eller vid naturkatastrofer.</w:t>
      </w:r>
    </w:p>
    <w:p>
      <w:pPr>
        <w:pStyle w:val="Point0letter"/>
        <w:rPr>
          <w:noProof/>
        </w:rPr>
      </w:pPr>
      <w:r>
        <w:rPr>
          <w:noProof/>
        </w:rPr>
        <w:t>En situation som hotar demokratin, lag och ordning, skyddet av de grundläggande mänskliga fri- och rättigheterna eller enskilda personers säkerhet och trygghet, särskilt personer som är utsatta för könsrelaterat våld i situationer som präglas av instabilitet.</w:t>
      </w:r>
    </w:p>
    <w:p>
      <w:pPr>
        <w:pStyle w:val="Point0letter"/>
        <w:rPr>
          <w:noProof/>
        </w:rPr>
      </w:pPr>
      <w:r>
        <w:rPr>
          <w:noProof/>
        </w:rPr>
        <w:t>En situation som riskerar att trappas upp till en väpnad konflikt eller att allvarligt destabilisera tredjelandet eller tredjeländerna i fråga.</w:t>
      </w:r>
    </w:p>
    <w:p>
      <w:pPr>
        <w:ind w:left="850"/>
        <w:rPr>
          <w:noProof/>
        </w:rPr>
      </w:pPr>
    </w:p>
    <w:p>
      <w:pPr>
        <w:pStyle w:val="ManualNumPar1"/>
        <w:rPr>
          <w:b/>
          <w:noProof/>
        </w:rPr>
      </w:pPr>
      <w:r>
        <w:rPr>
          <w:b/>
          <w:noProof/>
        </w:rPr>
        <w:t xml:space="preserve">2. </w:t>
      </w:r>
      <w:r>
        <w:rPr>
          <w:noProof/>
        </w:rPr>
        <w:tab/>
      </w:r>
      <w:r>
        <w:rPr>
          <w:b/>
          <w:noProof/>
        </w:rPr>
        <w:t xml:space="preserve">Åtgärder som bidrar till en stärkt resiliens och sammankoppling av humanitärt stöd och utvecklingsbistånd </w:t>
      </w:r>
    </w:p>
    <w:p>
      <w:pPr>
        <w:spacing w:after="240"/>
        <w:rPr>
          <w:noProof/>
          <w:szCs w:val="24"/>
        </w:rPr>
      </w:pPr>
      <w:r>
        <w:rPr>
          <w:noProof/>
        </w:rPr>
        <w:t xml:space="preserve">Sådana snabbinsatsåtgärder som avses i punkt b i artikel 4.4 ska vara utformade för att effektivt stärka resiliensen och koppla samman humanitärt bistånd och utvecklingsåtgärder som inte snabbt kan åtgärdas genom geografiska och tematiska program. </w:t>
      </w:r>
    </w:p>
    <w:p>
      <w:pPr>
        <w:spacing w:after="240"/>
        <w:rPr>
          <w:noProof/>
          <w:color w:val="000000"/>
          <w:szCs w:val="24"/>
        </w:rPr>
      </w:pPr>
      <w:r>
        <w:rPr>
          <w:noProof/>
          <w:color w:val="000000"/>
        </w:rPr>
        <w:t xml:space="preserve">Dessa åtgärder får omfatta följande: </w:t>
      </w:r>
    </w:p>
    <w:p>
      <w:pPr>
        <w:pStyle w:val="Point0letter"/>
        <w:numPr>
          <w:ilvl w:val="1"/>
          <w:numId w:val="9"/>
        </w:numPr>
        <w:rPr>
          <w:noProof/>
          <w:color w:val="000000"/>
        </w:rPr>
      </w:pPr>
      <w:r>
        <w:rPr>
          <w:noProof/>
        </w:rPr>
        <w:t>Stärka resiliensen hos stater, samhällen, grupper och enskilda personer mot politiska, ekonomiska, miljömässiga, demografiska och samhälleliga påfrestningar och chocker, naturkatastrofer eller katastrofer orsakade av människan, konflikter samt globala hot, bland annat genom att öka kapaciteten hos en stat, inför ett betydande tryck att snabbt bygga upp, underhålla eller återställa sina grundläggande funktioner, och grundläggande social och politisk sammanhållning, och hos samhällen, grupper och enskilda personer att hantera möjligheter och risker på ett fredligt och stabilt sätt och att bygga upp, underhålla eller återställa försörjning mot bakgrund av stora påfrestningar.</w:t>
      </w:r>
    </w:p>
    <w:p>
      <w:pPr>
        <w:pStyle w:val="Point0letter"/>
        <w:numPr>
          <w:ilvl w:val="1"/>
          <w:numId w:val="9"/>
        </w:numPr>
        <w:rPr>
          <w:noProof/>
          <w:color w:val="000000"/>
        </w:rPr>
      </w:pPr>
      <w:r>
        <w:rPr>
          <w:noProof/>
        </w:rPr>
        <w:t>Mildra de kortsiktiga skadliga verkningarna av exogena chocker att skapa makroekonomisk instabilitet och mål om att skydda socioekonomiska reformer och prioriterade offentliga utgifter för socioekonomisk utveckling och fattigdomsminskning.</w:t>
      </w:r>
    </w:p>
    <w:p>
      <w:pPr>
        <w:pStyle w:val="Point0letter"/>
        <w:numPr>
          <w:ilvl w:val="1"/>
          <w:numId w:val="9"/>
        </w:numPr>
        <w:rPr>
          <w:noProof/>
        </w:rPr>
      </w:pPr>
      <w:r>
        <w:rPr>
          <w:noProof/>
        </w:rPr>
        <w:t xml:space="preserve">Genomföra kortsiktiga återanpassnings- och återuppbyggnadsåtgärder så de som drabbats av naturkatastrofer eller katastrofer orsakade av människan, konflikter och globala hot kan få del av åtminstone ett minimum av social och ekonomisk integration och så fort som möjligt skapa förutsättningarna för ett återupptagande av en utveckling som grundar sig på långsiktiga mål. Detta omfattar även att man tar itu med brådskande och akuta behov som uppstår vid folkförflyttningar (flyktingar, fördrivna och återvändande) till följd av naturkatastrofer eller katastrofer orsakade av människan. </w:t>
      </w:r>
    </w:p>
    <w:p>
      <w:pPr>
        <w:pStyle w:val="Point0letter"/>
        <w:numPr>
          <w:ilvl w:val="1"/>
          <w:numId w:val="9"/>
        </w:numPr>
        <w:rPr>
          <w:noProof/>
        </w:rPr>
      </w:pPr>
      <w:r>
        <w:rPr>
          <w:noProof/>
        </w:rPr>
        <w:lastRenderedPageBreak/>
        <w:t>Hjälpa staten eller regionen att införa kortsiktiga mekanismer för katastrofförebyggande och katastrofberedskap, däribland prognos- och varningssystem, i syfte att mildra följderna av katastrofer.</w:t>
      </w:r>
    </w:p>
    <w:p>
      <w:pPr>
        <w:pStyle w:val="ManualNumPar1"/>
        <w:rPr>
          <w:b/>
          <w:bCs/>
          <w:noProof/>
        </w:rPr>
      </w:pPr>
      <w:r>
        <w:rPr>
          <w:b/>
          <w:noProof/>
        </w:rPr>
        <w:t xml:space="preserve">3. </w:t>
      </w:r>
      <w:r>
        <w:rPr>
          <w:noProof/>
        </w:rPr>
        <w:tab/>
      </w:r>
      <w:r>
        <w:rPr>
          <w:b/>
          <w:noProof/>
        </w:rPr>
        <w:t>Åtgärder för att hantera utrikespolitiska behov och prioriteringar</w:t>
      </w:r>
    </w:p>
    <w:p>
      <w:pPr>
        <w:rPr>
          <w:noProof/>
        </w:rPr>
      </w:pPr>
      <w:r>
        <w:rPr>
          <w:noProof/>
        </w:rPr>
        <w:t xml:space="preserve">Snabbinsatsåtgärder till stöd för de mål som anges i led c i artikel 4.4 ska stödja unionens utrikespolitik i politiska, ekonomiska och säkerhetsmässiga frågor. De ska göra det möjligt för unionen att agera om det föreligger ett akut eller tvingande utrikespolitiskt intresse, eller ett tillfälle att uppnå sina mål, som kräver en snabb insats som är svår att hantera på annat sätt. </w:t>
      </w:r>
    </w:p>
    <w:p>
      <w:pPr>
        <w:rPr>
          <w:noProof/>
        </w:rPr>
      </w:pPr>
      <w:r>
        <w:rPr>
          <w:noProof/>
        </w:rPr>
        <w:t>Dessa åtgärder får omfatta följande:</w:t>
      </w:r>
    </w:p>
    <w:p>
      <w:pPr>
        <w:pStyle w:val="Point0letter"/>
        <w:numPr>
          <w:ilvl w:val="1"/>
          <w:numId w:val="28"/>
        </w:numPr>
        <w:rPr>
          <w:noProof/>
        </w:rPr>
      </w:pPr>
      <w:r>
        <w:rPr>
          <w:noProof/>
        </w:rPr>
        <w:t>Stöd till unionens strategier för bilateralt, regionalt och interregionalt samarbete, genom att främja politisk dialog och utveckla gemensamma strategier och insatser mot globala utmaningar såsom migrations- och säkerhetsfrågor, och utnyttja möjligheter i detta avseende.</w:t>
      </w:r>
    </w:p>
    <w:p>
      <w:pPr>
        <w:pStyle w:val="Point0letter"/>
        <w:numPr>
          <w:ilvl w:val="1"/>
          <w:numId w:val="28"/>
        </w:numPr>
        <w:rPr>
          <w:noProof/>
        </w:rPr>
      </w:pPr>
      <w:r>
        <w:rPr>
          <w:noProof/>
        </w:rPr>
        <w:t>Stöd till unionens handelspolitik och handelsavtal och deras genomförande, och för att förbättra tillträdet till partnerländers marknader och främjande av handel, investeringar och affärsmöjligheter för företag från unionen, särskilt små och medelstora företag, samtidigt som hinder för marknadstillträde och investeringar undanröjs, med hjälp av ekonomisk diplomati och företags- och regleringssamarbete.</w:t>
      </w:r>
    </w:p>
    <w:p>
      <w:pPr>
        <w:pStyle w:val="Point0letter"/>
        <w:rPr>
          <w:noProof/>
        </w:rPr>
      </w:pPr>
      <w:r>
        <w:rPr>
          <w:noProof/>
        </w:rPr>
        <w:t>Bidrag till genomförandet av den internationella dimensionen av unionens inre politik, såsom miljö, klimatförändringar, energi och samarbete om förvaltningen och styrningen av världshaven.</w:t>
      </w:r>
    </w:p>
    <w:p>
      <w:pPr>
        <w:pStyle w:val="Point0letter"/>
        <w:numPr>
          <w:ilvl w:val="1"/>
          <w:numId w:val="28"/>
        </w:numPr>
        <w:rPr>
          <w:noProof/>
        </w:rPr>
      </w:pPr>
      <w:r>
        <w:rPr>
          <w:noProof/>
        </w:rPr>
        <w:t>Arbete för en bred förståelse av och synlighet för unionen och dess roll på världsscenen genom strategisk kommunikation, offentlig diplomati, direkta personkontakter, kulturell diplomati, samarbete inom utbildningsområdet och det akademiska området samt upplysningsverksamhet för att främja unionens värderingar och intressen.</w:t>
      </w:r>
    </w:p>
    <w:p>
      <w:pPr>
        <w:rPr>
          <w:noProof/>
          <w:color w:val="000000"/>
          <w:szCs w:val="24"/>
        </w:rPr>
      </w:pPr>
      <w:r>
        <w:rPr>
          <w:noProof/>
        </w:rPr>
        <w:t>Dessa åtgärder ska genomföra innovativ politik eller initiativ som motsvarar nuvarande eller nya behov på kort till medellång sikt, möjligheter och prioriteringar, inklusive med potentialen att utnyttjas för framtida åtgärder inom ramen för de geografiska och tematiska programmen. De ska inriktas på att fördjupa unionens förbindelser och dialog och uppbyggnad av partnerskap och allianser med nyckelländer som är av strategiskt intresse, särskilt de tillväxtekonomier och medelinkomstländer som spelar en allt viktigare roll i globala frågor, global styrning, utrikespolitik, den internationella ekonomin och multilaterala forum.</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BILAGA V</w:t>
      </w:r>
      <w:r>
        <w:rPr>
          <w:noProof/>
        </w:rPr>
        <w:br/>
        <w:t>PRIORITETSOMRÅDEN FÖR EFHU+-INSATSER SOM OMFATTAS AV GARANTIN FÖR YTTRE ÅTGÄRDER</w:t>
      </w:r>
    </w:p>
    <w:p>
      <w:pPr>
        <w:autoSpaceDE w:val="0"/>
        <w:autoSpaceDN w:val="0"/>
        <w:adjustRightInd w:val="0"/>
        <w:spacing w:before="60" w:after="60"/>
        <w:ind w:hanging="11"/>
        <w:rPr>
          <w:rFonts w:eastAsia="Times New Roman"/>
          <w:noProof/>
          <w:color w:val="000000"/>
          <w:szCs w:val="19"/>
        </w:rPr>
      </w:pPr>
      <w:r>
        <w:rPr>
          <w:noProof/>
          <w:color w:val="000000"/>
        </w:rPr>
        <w:t>EFHU+-insatser som är berättigade till stöd genom garantin för yttre åtgärder ska särskilt inriktas på följande prioriterade områden:</w:t>
      </w:r>
    </w:p>
    <w:p>
      <w:pPr>
        <w:autoSpaceDE w:val="0"/>
        <w:autoSpaceDN w:val="0"/>
        <w:adjustRightInd w:val="0"/>
        <w:spacing w:before="60" w:after="60"/>
        <w:ind w:left="720" w:hanging="720"/>
        <w:rPr>
          <w:rFonts w:eastAsia="Times New Roman"/>
          <w:noProof/>
          <w:color w:val="000000"/>
          <w:szCs w:val="19"/>
        </w:rPr>
      </w:pPr>
    </w:p>
    <w:p>
      <w:pPr>
        <w:pStyle w:val="Point0letter"/>
        <w:numPr>
          <w:ilvl w:val="1"/>
          <w:numId w:val="27"/>
        </w:numPr>
        <w:rPr>
          <w:noProof/>
        </w:rPr>
      </w:pPr>
      <w:r>
        <w:rPr>
          <w:noProof/>
        </w:rPr>
        <w:t>Att tillhandahålla finansiering och stöd för utvecklingen i den privata och den kooperativa sektorn som uppfyller de villkor som anges i artikel 209.2 i [budgetförordningen], med särskilt fokus på lokala företag och mikroföretag och små och medelstora företag, främjande av anständiga arbetstillfällen och uppmuntra bidrag från europeiska företag till målen för EFHU+.</w:t>
      </w:r>
    </w:p>
    <w:p>
      <w:pPr>
        <w:pStyle w:val="Point0letter"/>
        <w:numPr>
          <w:ilvl w:val="1"/>
          <w:numId w:val="27"/>
        </w:numPr>
        <w:rPr>
          <w:noProof/>
        </w:rPr>
      </w:pPr>
      <w:r>
        <w:rPr>
          <w:noProof/>
        </w:rPr>
        <w:t>Att åtgärda flaskhalsar för privata investeringar genom att tillhandahålla finansiella instrument som får utställas i det berörda partnerlandets lokala valuta, inbegripet första-förlustgarantier för portföljer, garantier till projekt i den privata sektorn, som till exempel lånegarantier till små och medelstora företag, och garantier för specifika risker vid infrastrukturprojekt och annat riskkapital.</w:t>
      </w:r>
    </w:p>
    <w:p>
      <w:pPr>
        <w:pStyle w:val="Point0letter"/>
        <w:numPr>
          <w:ilvl w:val="1"/>
          <w:numId w:val="27"/>
        </w:numPr>
        <w:rPr>
          <w:noProof/>
        </w:rPr>
      </w:pPr>
      <w:r>
        <w:rPr>
          <w:noProof/>
        </w:rPr>
        <w:t>Att stimulera till finansiering i den privata sektorn, med särskilt fokus på mikroföretag samt små och medelstora företag, genom att åtgärda flaskhalsar och hinder för investeringar.</w:t>
      </w:r>
    </w:p>
    <w:p>
      <w:pPr>
        <w:pStyle w:val="Point0letter"/>
        <w:numPr>
          <w:ilvl w:val="1"/>
          <w:numId w:val="27"/>
        </w:numPr>
        <w:rPr>
          <w:noProof/>
        </w:rPr>
      </w:pPr>
      <w:r>
        <w:rPr>
          <w:noProof/>
        </w:rPr>
        <w:t>Att förstärka socioekonomiska sektorer och områden samt därtill knuten offentlig och privat infrastruktur och hållbar konnektivitet, inbegripet förnybar och hållbar energi, vattenförvaltning och avfallshantering, transporter, informations- och kommunikationsteknik samt miljö, hållbar användning av naturresurser, hållbart jordbruk och blå tillväxt, social infrastruktur, hälsa och mänskligt kapital, i syfte att förbättra de socioekonomiska förhållandena.</w:t>
      </w:r>
    </w:p>
    <w:p>
      <w:pPr>
        <w:pStyle w:val="Point0letter"/>
        <w:numPr>
          <w:ilvl w:val="1"/>
          <w:numId w:val="27"/>
        </w:numPr>
        <w:rPr>
          <w:noProof/>
        </w:rPr>
      </w:pPr>
      <w:r>
        <w:rPr>
          <w:noProof/>
        </w:rPr>
        <w:t>Att bidra till klimatåtgärder, miljöskydd och miljöstyrning.</w:t>
      </w:r>
    </w:p>
    <w:p>
      <w:pPr>
        <w:pStyle w:val="Point0letter"/>
        <w:numPr>
          <w:ilvl w:val="1"/>
          <w:numId w:val="27"/>
        </w:numPr>
        <w:rPr>
          <w:noProof/>
        </w:rPr>
      </w:pPr>
      <w:r>
        <w:rPr>
          <w:noProof/>
        </w:rPr>
        <w:t>Att genom främjande av hållbar utveckling bidra till att åtgärda specifika grundorsaker till irreguljär migration, samt att främja transit- och värdsamhällenas resiliens, och att bidra till en hållbar återintegrering av migranter som återvänder till sina ursprungsländer, med vederbörlig hänsyn till förstärkningen av rättsstaten, god samhällsstyrning och mänskliga rättigheter.</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BILAGA VI</w:t>
      </w:r>
      <w:r>
        <w:rPr>
          <w:noProof/>
        </w:rPr>
        <w:br/>
        <w:t>STYRNINGEN AV EFHU+</w:t>
      </w:r>
    </w:p>
    <w:p>
      <w:pPr>
        <w:pStyle w:val="ManualHeading2"/>
        <w:rPr>
          <w:noProof/>
        </w:rPr>
      </w:pPr>
      <w:r>
        <w:rPr>
          <w:noProof/>
        </w:rPr>
        <w:t xml:space="preserve">1. Strukturen i EFHU+ </w:t>
      </w:r>
    </w:p>
    <w:p>
      <w:pPr>
        <w:pStyle w:val="NumPar1"/>
        <w:numPr>
          <w:ilvl w:val="0"/>
          <w:numId w:val="34"/>
        </w:numPr>
        <w:rPr>
          <w:noProof/>
        </w:rPr>
      </w:pPr>
      <w:r>
        <w:rPr>
          <w:noProof/>
        </w:rPr>
        <w:t xml:space="preserve">EFHU+ ska bestå av regionala investeringsplattformar vilka är upprättade på grundval av de arbetsmetoder, förfaranden och strukturer som används för unionens befintliga externa instrument för blandfinansiering, och vilka får kombinera sina blandfinansieringsinsatser och insatser enligt garantin för yttre åtgärder inom ramen för EFHU+. </w:t>
      </w:r>
    </w:p>
    <w:p>
      <w:pPr>
        <w:pStyle w:val="NumPar1"/>
        <w:rPr>
          <w:noProof/>
        </w:rPr>
      </w:pPr>
      <w:r>
        <w:rPr>
          <w:noProof/>
        </w:rPr>
        <w:t xml:space="preserve">Kommissionen ska säkerställa förvaltningen av EFHU+. </w:t>
      </w:r>
    </w:p>
    <w:p>
      <w:pPr>
        <w:pStyle w:val="ManualHeading2"/>
        <w:rPr>
          <w:noProof/>
        </w:rPr>
      </w:pPr>
      <w:r>
        <w:rPr>
          <w:noProof/>
        </w:rPr>
        <w:t>2. EFHU+:s strategiska styrelse</w:t>
      </w:r>
    </w:p>
    <w:p>
      <w:pPr>
        <w:pStyle w:val="ManualNumPar1"/>
        <w:rPr>
          <w:noProof/>
        </w:rPr>
      </w:pPr>
      <w:r>
        <w:rPr>
          <w:noProof/>
        </w:rPr>
        <w:t xml:space="preserve">1. </w:t>
      </w:r>
      <w:r>
        <w:rPr>
          <w:noProof/>
        </w:rPr>
        <w:tab/>
        <w:t>När det gäller förvaltningen av EFHU+ ska kommissionen bistås av en strategisk styrelse, utom när det gäller de insatser som omfattar EU:s utvidgningspolitik och finansieras av [IPA III], vars strategiska styrelse garanteras inom ramen för investeringsramen för västra Balkan.</w:t>
      </w:r>
    </w:p>
    <w:p>
      <w:pPr>
        <w:pStyle w:val="ManualNumPar1"/>
        <w:rPr>
          <w:noProof/>
        </w:rPr>
      </w:pPr>
      <w:r>
        <w:rPr>
          <w:noProof/>
        </w:rPr>
        <w:t xml:space="preserve">2. </w:t>
      </w:r>
      <w:r>
        <w:rPr>
          <w:noProof/>
        </w:rPr>
        <w:tab/>
        <w:t xml:space="preserve">Den strategiska styrelsen ska ge kommissionen råd när det gäller den strategiska inriktningen och prioriteringarna för investeringarna inom garantin för yttre åtgärder och inom ramen för EFHU-+ och bidra till att anpassa dem till de vägledande principerna och målen för unionens yttre åtgärder, utvecklingspolitiken och den europeiska grannskapspolitiken, samt till målet för EFHU+ i enlighet med artikel 26. Den ska också stödja kommissionen vid fastställandet av de övergripande investeringsmålen vad gäller användningen av garantin för yttre åtgärder att stödja EFHU+-verksamhet för att stödja och övervaka att investeringsfönstren får en lämplig och mångsidig geografisk och tematisk täckning. </w:t>
      </w:r>
    </w:p>
    <w:p>
      <w:pPr>
        <w:pStyle w:val="ManualNumPar1"/>
        <w:rPr>
          <w:noProof/>
        </w:rPr>
      </w:pPr>
      <w:r>
        <w:rPr>
          <w:noProof/>
        </w:rPr>
        <w:t xml:space="preserve">3. </w:t>
      </w:r>
      <w:r>
        <w:rPr>
          <w:noProof/>
        </w:rPr>
        <w:tab/>
        <w:t>Den strategiska styrelsen ska även stödja den övergripande samordningen, komplementariteten och samstämmigheten mellan de regionala investeringsplattformarna, mellan de tre pelarna i den yttre investeringsplanen, mellan investeringsplanen och unionens övriga insatser på migrationsområdet, och med genomförandet av 2030-agendan samt med andra program som anges i denna förordning.</w:t>
      </w:r>
    </w:p>
    <w:p>
      <w:pPr>
        <w:pStyle w:val="ManualNumPar1"/>
        <w:rPr>
          <w:noProof/>
        </w:rPr>
      </w:pPr>
      <w:r>
        <w:rPr>
          <w:noProof/>
        </w:rPr>
        <w:t xml:space="preserve">4. </w:t>
      </w:r>
      <w:r>
        <w:rPr>
          <w:noProof/>
        </w:rPr>
        <w:tab/>
        <w:t xml:space="preserve">Den strategiska styrelsen ska bestå av företrädare för kommissionen och för den höga representanten, för alla medlemsstater och för Europeiska investeringsbanken. Europaparlamentet ska ha observatörsstatus. Bidragsgivare, berättigade motparter, partnerländer, relevanta regionala organisationer och andra intressenter får när så är lämpligt tilldelas observatörsstatus. Den strategiska styrelsen ska rådfrågas innan en ny observatör inkluderas. Kommissionen och den höga representanten ska gemensamt svara för ordförandeskapet i den strategiska styrelsen. </w:t>
      </w:r>
    </w:p>
    <w:p>
      <w:pPr>
        <w:pStyle w:val="ManualNumPar1"/>
        <w:rPr>
          <w:noProof/>
        </w:rPr>
      </w:pPr>
      <w:r>
        <w:rPr>
          <w:noProof/>
        </w:rPr>
        <w:t xml:space="preserve">5. </w:t>
      </w:r>
      <w:r>
        <w:rPr>
          <w:noProof/>
        </w:rPr>
        <w:tab/>
        <w:t xml:space="preserve">Den strategiska styrelsen ska sammanträda minst två gånger per år och ska om möjligt anta yttranden genom konsensus. Ytterligare sammanträden kan när som helst sammankallas av ordföranden eller på begäran av en tredjedel av ledamöterna. När konsensus inte kan uppnås, ska rösträtterna tillämpas på det sätt som överenskommits vid den strategiska styrelsens första möte och fastställts i arbetsordningen. Dessa rösträtter ska ta vederbörlig hänsyn till finansieringskällan. Arbetsordningen ska fastställa ramarna för observatörernas roll. Protokollen och dagordningarna för sammanträdena i den strategiska styrelsen ska offentliggöras efter det att de antagits. </w:t>
      </w:r>
    </w:p>
    <w:p>
      <w:pPr>
        <w:pStyle w:val="ManualNumPar1"/>
        <w:rPr>
          <w:noProof/>
        </w:rPr>
      </w:pPr>
      <w:r>
        <w:rPr>
          <w:noProof/>
        </w:rPr>
        <w:lastRenderedPageBreak/>
        <w:t xml:space="preserve">6. </w:t>
      </w:r>
      <w:r>
        <w:rPr>
          <w:noProof/>
        </w:rPr>
        <w:tab/>
        <w:t xml:space="preserve">Kommissionen ska varje år lämna en rapport till den strategiska styrelsen om framstegen med genomförandet av EFHU+. Den strategiska styrelsen för investeringsramen för västra Balkan ska se vilka framsteg som gjorts i genomförandet av garantiinstrumentet för utvidgningsregionen som komplement till den ovannämnda rapporteringen. Den strategiska styrelsen ska regelbundet anordna samråd med relevanta intressenter om EFHU+:s strategiska inriktning och genomförande. </w:t>
      </w:r>
    </w:p>
    <w:p>
      <w:pPr>
        <w:pStyle w:val="ManualNumPar1"/>
        <w:rPr>
          <w:noProof/>
        </w:rPr>
      </w:pPr>
      <w:r>
        <w:rPr>
          <w:noProof/>
        </w:rPr>
        <w:t xml:space="preserve">7. </w:t>
      </w:r>
      <w:r>
        <w:rPr>
          <w:noProof/>
        </w:rPr>
        <w:tab/>
        <w:t>Förekomsten av två strategiska styrelser påverkar inte behovet av att ha en enda enhetlig riskhanteringsram för EFHU+.</w:t>
      </w:r>
    </w:p>
    <w:p>
      <w:pPr>
        <w:pStyle w:val="ManualHeading2"/>
        <w:rPr>
          <w:noProof/>
        </w:rPr>
      </w:pPr>
      <w:r>
        <w:rPr>
          <w:noProof/>
        </w:rPr>
        <w:t xml:space="preserve">3. Regionala operativa styrelser </w:t>
      </w:r>
    </w:p>
    <w:p>
      <w:pPr>
        <w:spacing w:before="0" w:after="160" w:line="256" w:lineRule="auto"/>
        <w:rPr>
          <w:rFonts w:eastAsia="Calibri"/>
          <w:noProof/>
          <w:szCs w:val="24"/>
        </w:rPr>
      </w:pPr>
      <w:r>
        <w:rPr>
          <w:noProof/>
        </w:rPr>
        <w:t>De operativa styrelserna för regionala investeringsplattformar ska bistå kommissionen vid genomförandet när det gäller att fastställa regionala och sektoriella investeringsmål samt regionala, sektoriella och tematiska investeringsfönster, och ska avge yttranden om blandfinansieringsinsatser och om användningen av garantin för yttre åtgärder som täcker EFHU+-insatser.</w:t>
      </w:r>
    </w:p>
    <w:p>
      <w:pPr>
        <w:spacing w:before="0" w:after="200" w:line="276" w:lineRule="auto"/>
        <w:jc w:val="left"/>
        <w:rPr>
          <w:noProof/>
        </w:rPr>
      </w:pPr>
      <w:r>
        <w:rPr>
          <w:noProof/>
        </w:rPr>
        <w:br w:type="page"/>
      </w:r>
    </w:p>
    <w:p>
      <w:pPr>
        <w:pStyle w:val="Annexetitre"/>
        <w:rPr>
          <w:noProof/>
        </w:rPr>
      </w:pPr>
      <w:r>
        <w:rPr>
          <w:noProof/>
        </w:rPr>
        <w:lastRenderedPageBreak/>
        <w:t>BILAGA VII – FÖRTECKNING ÖVER NYCKELPRESTATIONSINIDAKTORER</w:t>
      </w:r>
    </w:p>
    <w:p>
      <w:pPr>
        <w:spacing w:before="0" w:after="0"/>
        <w:rPr>
          <w:noProof/>
          <w:szCs w:val="24"/>
        </w:rPr>
      </w:pPr>
      <w:r>
        <w:rPr>
          <w:noProof/>
        </w:rPr>
        <w:t xml:space="preserve">I överensstämmelse med målen för hållbar utveckling ska följande förteckning över nyckelprestationsindikatorer användas för att mäta unionens bidrag till uppnåendet av programmets särskilda mål: </w:t>
      </w:r>
    </w:p>
    <w:p>
      <w:pPr>
        <w:spacing w:before="0" w:after="0"/>
        <w:rPr>
          <w:noProof/>
          <w:szCs w:val="24"/>
        </w:rPr>
      </w:pPr>
    </w:p>
    <w:p>
      <w:pPr>
        <w:pStyle w:val="Point0number"/>
        <w:numPr>
          <w:ilvl w:val="0"/>
          <w:numId w:val="33"/>
        </w:numPr>
        <w:rPr>
          <w:noProof/>
        </w:rPr>
      </w:pPr>
      <w:r>
        <w:rPr>
          <w:noProof/>
        </w:rPr>
        <w:t xml:space="preserve">Syn på rättsstatsprincipen. </w:t>
      </w:r>
    </w:p>
    <w:p>
      <w:pPr>
        <w:pStyle w:val="Point0number"/>
        <w:rPr>
          <w:noProof/>
        </w:rPr>
      </w:pPr>
      <w:r>
        <w:rPr>
          <w:noProof/>
        </w:rPr>
        <w:t xml:space="preserve">Andel av befolkningen som lever under den internationella fattigdomsgränsen. </w:t>
      </w:r>
    </w:p>
    <w:p>
      <w:pPr>
        <w:pStyle w:val="Point0number"/>
        <w:rPr>
          <w:noProof/>
        </w:rPr>
      </w:pPr>
      <w:r>
        <w:rPr>
          <w:noProof/>
        </w:rPr>
        <w:t>Antalet kvinnor i fertil ålder, tonårsflickor och barn under 5 år som nås av nutritionsprogram med EU-stöd.</w:t>
      </w:r>
    </w:p>
    <w:p>
      <w:pPr>
        <w:pStyle w:val="Point0number"/>
        <w:rPr>
          <w:noProof/>
        </w:rPr>
      </w:pPr>
      <w:r>
        <w:rPr>
          <w:noProof/>
        </w:rPr>
        <w:t>Antalet 1-åringar som är helt immuniserade med EU-stöd.</w:t>
      </w:r>
    </w:p>
    <w:p>
      <w:pPr>
        <w:pStyle w:val="Point0number"/>
        <w:rPr>
          <w:noProof/>
        </w:rPr>
      </w:pPr>
      <w:r>
        <w:rPr>
          <w:noProof/>
        </w:rPr>
        <w:t>Antal inskrivna studerande i primär och/eller sekundär utbildning med EU-stöd.</w:t>
      </w:r>
    </w:p>
    <w:p>
      <w:pPr>
        <w:pStyle w:val="Point0number"/>
        <w:rPr>
          <w:noProof/>
        </w:rPr>
      </w:pPr>
      <w:r>
        <w:rPr>
          <w:noProof/>
        </w:rPr>
        <w:t xml:space="preserve">Minskade eller undvikande av växthusgasutsläpp (kton CO2-ekvivalenter) med EU-stöd. </w:t>
      </w:r>
    </w:p>
    <w:p>
      <w:pPr>
        <w:pStyle w:val="Point0number"/>
        <w:rPr>
          <w:noProof/>
        </w:rPr>
      </w:pPr>
      <w:r>
        <w:rPr>
          <w:noProof/>
        </w:rPr>
        <w:t xml:space="preserve">Område i ekosystem i havet, på land och i sötvatten som skyddas och/eller förvaltas på ett hållbart sätt med EU-stöd. </w:t>
      </w:r>
    </w:p>
    <w:p>
      <w:pPr>
        <w:pStyle w:val="Point0number"/>
        <w:rPr>
          <w:noProof/>
        </w:rPr>
      </w:pPr>
      <w:r>
        <w:rPr>
          <w:noProof/>
        </w:rPr>
        <w:t>Uppnådd hävstångseffekt för investeringar och multiplikatoreffekt.</w:t>
      </w:r>
    </w:p>
    <w:p>
      <w:pPr>
        <w:pStyle w:val="Point0number"/>
        <w:rPr>
          <w:noProof/>
        </w:rPr>
      </w:pPr>
      <w:r>
        <w:rPr>
          <w:noProof/>
        </w:rPr>
        <w:t xml:space="preserve">Politisk stabilitet och frånvaro av våld-indikator. </w:t>
      </w:r>
    </w:p>
    <w:p>
      <w:pPr>
        <w:pStyle w:val="Point0number"/>
        <w:rPr>
          <w:noProof/>
        </w:rPr>
      </w:pPr>
      <w:r>
        <w:rPr>
          <w:noProof/>
        </w:rPr>
        <w:t>Antal processer med anknytning till partnerlandets praxis i fråga om handel, investeringar och företag eller för att främja den yttre dimensionen av EU:s interna politik, som har påverkats.</w:t>
      </w:r>
    </w:p>
    <w:p>
      <w:pPr>
        <w:rPr>
          <w:noProof/>
        </w:rPr>
      </w:pPr>
    </w:p>
    <w:p>
      <w:pPr>
        <w:rPr>
          <w:noProof/>
          <w:szCs w:val="24"/>
        </w:rPr>
      </w:pPr>
      <w:r>
        <w:rPr>
          <w:noProof/>
        </w:rPr>
        <w:t>Indikatorerna ska i tillämpliga fall vara könsuppdelade.</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6CCE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6E8A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12F2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D03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584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8202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E6AC02"/>
    <w:lvl w:ilvl="0">
      <w:start w:val="1"/>
      <w:numFmt w:val="decimal"/>
      <w:pStyle w:val="ListNumber"/>
      <w:lvlText w:val="%1."/>
      <w:lvlJc w:val="left"/>
      <w:pPr>
        <w:tabs>
          <w:tab w:val="num" w:pos="360"/>
        </w:tabs>
        <w:ind w:left="360" w:hanging="360"/>
      </w:pPr>
    </w:lvl>
  </w:abstractNum>
  <w:abstractNum w:abstractNumId="7">
    <w:nsid w:val="FFFFFF89"/>
    <w:multiLevelType w:val="singleLevel"/>
    <w:tmpl w:val="D384F1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num>
  <w:num w:numId="44">
    <w:abstractNumId w:val="20"/>
  </w:num>
  <w:num w:numId="45">
    <w:abstractNumId w:val="11"/>
  </w:num>
  <w:num w:numId="46">
    <w:abstractNumId w:val="13"/>
  </w:num>
  <w:num w:numId="47">
    <w:abstractNumId w:val="9"/>
  </w:num>
  <w:num w:numId="48">
    <w:abstractNumId w:val="19"/>
  </w:num>
  <w:num w:numId="49">
    <w:abstractNumId w:val="8"/>
  </w:num>
  <w:num w:numId="50">
    <w:abstractNumId w:val="14"/>
  </w:num>
  <w:num w:numId="51">
    <w:abstractNumId w:val="16"/>
  </w:num>
  <w:num w:numId="52">
    <w:abstractNumId w:val="17"/>
  </w:num>
  <w:num w:numId="53">
    <w:abstractNumId w:val="10"/>
  </w:num>
  <w:num w:numId="54">
    <w:abstractNumId w:val="15"/>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3:51: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0"/>
    <w:docVar w:name="DQCStatus" w:val="Green"/>
    <w:docVar w:name="DQCVersion" w:val="3"/>
    <w:docVar w:name="DQCWithWarnings" w:val="0"/>
    <w:docVar w:name="FigNum" w:val="1"/>
    <w:docVar w:name="LW_ACCOMPAGNANT" w:val="till"/>
    <w:docVar w:name="LW_ACCOMPAGNANT.CP" w:val="till"/>
    <w:docVar w:name="LW_ANNEX_NBR_FIRST" w:val="1"/>
    <w:docVar w:name="LW_ANNEX_NBR_LAST" w:val="7"/>
    <w:docVar w:name="LW_ANNEX_UNIQUE" w:val="0"/>
    <w:docVar w:name="LW_CORRIGENDUM" w:val="&lt;UNUSED&gt;"/>
    <w:docVar w:name="LW_COVERPAGE_EXISTS" w:val="True"/>
    <w:docVar w:name="LW_COVERPAGE_GUID" w:val="36B8C6A0-E267-4754-9902-075F4A75C031"/>
    <w:docVar w:name="LW_COVERPAGE_TYPE" w:val="1"/>
    <w:docVar w:name="LW_CROSSREFERENCE" w:val="{SEC(2018) 310 final}_x000b_{SWD(2018) 337 final}"/>
    <w:docVar w:name="LW_DocType" w:val="ANNEX"/>
    <w:docVar w:name="LW_EMISSION" w:val="14.6.2018"/>
    <w:docVar w:name="LW_EMISSION_ISODATE" w:val="2018-06-14"/>
    <w:docVar w:name="LW_EMISSION_LOCATION" w:val="BRX"/>
    <w:docVar w:name="LW_EMISSION_PREFIX" w:val="Bryssel den"/>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inrättande av instrumentet för grannskapspolitik, utvecklingssamarbete och internationellt samarbete"/>
    <w:docVar w:name="LW_OBJETACTEPRINCIPAL.CP" w:val="om inrättande av instrumentet för grannskapspolitik, utvecklingssamarbete och internationellt samarbete"/>
    <w:docVar w:name="LW_PART_NBR" w:val="&lt;UNUSED&gt;"/>
    <w:docVar w:name="LW_PART_NBR_TOTAL" w:val="&lt;UNUSED&gt;"/>
    <w:docVar w:name="LW_REF.INST.NEW" w:val="COM"/>
    <w:docVar w:name="LW_REF.INST.NEW_ADOPTED" w:val="final"/>
    <w:docVar w:name="LW_REF.INST.NEW_TEXT" w:val="(2018)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OR"/>
    <w:docVar w:name="LW_TYPE.DOC.CP" w:val="BILAGOR"/>
    <w:docVar w:name="LW_TYPEACTEPRINCIPAL" w:val="Förslag till_x000b_EUROPAPARLAMENTETS OCH RÅDETS FÖRORDNING"/>
    <w:docVar w:name="LW_TYPEACTEPRINCIPAL.CP" w:val="Förslag till_x000b_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785">
      <w:bodyDiv w:val="1"/>
      <w:marLeft w:val="0"/>
      <w:marRight w:val="0"/>
      <w:marTop w:val="0"/>
      <w:marBottom w:val="0"/>
      <w:divBdr>
        <w:top w:val="none" w:sz="0" w:space="0" w:color="auto"/>
        <w:left w:val="none" w:sz="0" w:space="0" w:color="auto"/>
        <w:bottom w:val="none" w:sz="0" w:space="0" w:color="auto"/>
        <w:right w:val="none" w:sz="0" w:space="0" w:color="auto"/>
      </w:divBdr>
    </w:div>
    <w:div w:id="11651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E99C-F8A8-43CC-AE00-04E9A1593F8C}">
  <ds:schemaRefs>
    <ds:schemaRef ds:uri="http://purl.org/dc/terms/"/>
    <ds:schemaRef ds:uri="45b9894a-ecf7-4dd4-9cc5-745fa3b3ea70"/>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50D6532-6AFB-4CEB-99C0-26F866AB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9D22B-139B-472F-9092-457F959DAF7B}">
  <ds:schemaRefs>
    <ds:schemaRef ds:uri="http://schemas.microsoft.com/sharepoint/v3/contenttype/forms"/>
  </ds:schemaRefs>
</ds:datastoreItem>
</file>

<file path=customXml/itemProps4.xml><?xml version="1.0" encoding="utf-8"?>
<ds:datastoreItem xmlns:ds="http://schemas.openxmlformats.org/officeDocument/2006/customXml" ds:itemID="{535DBFDB-027B-4507-BCAC-1DB98D46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22</Pages>
  <Words>5951</Words>
  <Characters>40411</Characters>
  <Application>Microsoft Office Word</Application>
  <DocSecurity>0</DocSecurity>
  <Lines>762</Lines>
  <Paragraphs>309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MAKIKOKKILA Susanna (DEVCO)</dc:creator>
  <cp:lastModifiedBy>DIGIT/A3</cp:lastModifiedBy>
  <cp:revision>10</cp:revision>
  <cp:lastPrinted>2018-06-07T16:52:00Z</cp:lastPrinted>
  <dcterms:created xsi:type="dcterms:W3CDTF">2018-06-22T09:39:00Z</dcterms:created>
  <dcterms:modified xsi:type="dcterms:W3CDTF">2018-06-22T11:51:00Z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0x010100258AA79CEB83498886A3A08681123250008D18B36006BF6F4D9DA3DBAF605CE05F</vt:lpwstr>
  </property>
  <property fmtid="{D5CDD505-2E9C-101B-9397-08002B2CF9AE}" pid="14" name="DQCStatus">
    <vt:lpwstr>Green (DQC version 03)</vt:lpwstr>
  </property>
</Properties>
</file>