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C3" w:rsidRDefault="00DC4210" w:rsidP="00DC4210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D034F65-B39D-4845-8A59-18EEC743B186" style="width:450pt;height:397.5pt">
            <v:imagedata r:id="rId12" o:title=""/>
          </v:shape>
        </w:pict>
      </w:r>
    </w:p>
    <w:p w:rsidR="002D59C3" w:rsidRDefault="002D59C3">
      <w:pPr>
        <w:rPr>
          <w:noProof/>
        </w:rPr>
        <w:sectPr w:rsidR="002D59C3" w:rsidSect="00DC42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D59C3" w:rsidRDefault="002D59C3">
      <w:pPr>
        <w:rPr>
          <w:noProof/>
        </w:rPr>
      </w:pPr>
    </w:p>
    <w:p w:rsidR="002D59C3" w:rsidRDefault="00DC4210">
      <w:pPr>
        <w:pStyle w:val="Annexetitre"/>
        <w:rPr>
          <w:noProof/>
        </w:rPr>
      </w:pPr>
      <w:r>
        <w:rPr>
          <w:noProof/>
        </w:rPr>
        <w:t>PRÍLOHA I</w:t>
      </w:r>
      <w:r>
        <w:rPr>
          <w:noProof/>
        </w:rPr>
        <w:br/>
      </w:r>
      <w:r>
        <w:rPr>
          <w:noProof/>
        </w:rPr>
        <w:br/>
        <w:t>Kritéria prideľovania finančných prostriedkov na programy v rámci zdieľaného riadenia</w:t>
      </w:r>
    </w:p>
    <w:p w:rsidR="002D59C3" w:rsidRDefault="002D59C3">
      <w:pPr>
        <w:rPr>
          <w:noProof/>
        </w:rPr>
      </w:pP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 xml:space="preserve">Rozpočtové zdroje, ktoré sú podľa článku 10 </w:t>
      </w:r>
      <w:r>
        <w:rPr>
          <w:noProof/>
        </w:rPr>
        <w:t>k dispozícii, sa medzi členské štáty rozdelia takto: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každému členskému štátu sa na začiatku programového obdobia poskytne z nástroja jednorazová pevne stanovená suma 5 000 000 EUR;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Litve sa na začiatku programové obdobia pridelí na osobitný tranzitný</w:t>
      </w:r>
      <w:r>
        <w:rPr>
          <w:noProof/>
        </w:rPr>
        <w:t xml:space="preserve"> režim jednorazová suma 157 200 000 EUR;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zostávajúce zdroje sa rozdelia podľa nasledujúcich kritérií:</w:t>
      </w:r>
    </w:p>
    <w:p w:rsidR="002D59C3" w:rsidRDefault="00DC4210">
      <w:pPr>
        <w:pStyle w:val="Text2"/>
        <w:rPr>
          <w:noProof/>
        </w:rPr>
      </w:pPr>
      <w:r>
        <w:rPr>
          <w:noProof/>
        </w:rPr>
        <w:t>30 % na vonkajšie pozemné hranice;</w:t>
      </w:r>
    </w:p>
    <w:p w:rsidR="002D59C3" w:rsidRDefault="00DC4210">
      <w:pPr>
        <w:pStyle w:val="Text2"/>
        <w:rPr>
          <w:noProof/>
        </w:rPr>
      </w:pPr>
      <w:r>
        <w:rPr>
          <w:noProof/>
        </w:rPr>
        <w:t>35 % na vonkajšie námorné hranice;</w:t>
      </w:r>
    </w:p>
    <w:p w:rsidR="002D59C3" w:rsidRDefault="00DC4210">
      <w:pPr>
        <w:pStyle w:val="Text2"/>
        <w:rPr>
          <w:noProof/>
        </w:rPr>
      </w:pPr>
      <w:r>
        <w:rPr>
          <w:noProof/>
        </w:rPr>
        <w:t>20 % na letiská;</w:t>
      </w:r>
    </w:p>
    <w:p w:rsidR="002D59C3" w:rsidRDefault="00DC4210">
      <w:pPr>
        <w:pStyle w:val="Text2"/>
        <w:rPr>
          <w:noProof/>
        </w:rPr>
      </w:pPr>
      <w:r>
        <w:rPr>
          <w:noProof/>
        </w:rPr>
        <w:t>15 % na konzulárne úrady.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 xml:space="preserve">Zdroje, ktoré sú podľa odseku 1 písm. </w:t>
      </w:r>
      <w:r>
        <w:rPr>
          <w:noProof/>
        </w:rPr>
        <w:t>c) k dispozícii na vonkajšie pozemné a námorné hranice, sa medzi členské štáty rozdelia takto: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70 % pripadne na dĺžku ich vonkajších pozemných a námorných hraníc, ktorá sa pre každý konkrétny úsek v zmysle nariadenia (EÚ) č. 1052/2013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vypočíta na zákla</w:t>
      </w:r>
      <w:r>
        <w:rPr>
          <w:noProof/>
        </w:rPr>
        <w:t>de váhových koeficientov stanovených v súlade s odsekom 11; a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30 % pripadne na pracovnú záťaž na ich vonkajších pozemných a námorných hraniciach stanovenú v súlade s odsekom 7 písm. a).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Priraďovanie váhy uvedené v odseku 2 písm. a) vykonáva Európska age</w:t>
      </w:r>
      <w:r>
        <w:rPr>
          <w:noProof/>
        </w:rPr>
        <w:t>ntúra pre pohraničnú a pobrežnú stráž v súlade s odsekom 11.</w:t>
      </w:r>
    </w:p>
    <w:p w:rsidR="002D59C3" w:rsidRDefault="00DC4210">
      <w:pPr>
        <w:pStyle w:val="NumPar1"/>
        <w:numPr>
          <w:ilvl w:val="0"/>
          <w:numId w:val="2"/>
        </w:numPr>
        <w:shd w:val="clear" w:color="auto" w:fill="FFFFFF"/>
        <w:spacing w:line="312" w:lineRule="atLeast"/>
        <w:textAlignment w:val="baseline"/>
        <w:rPr>
          <w:noProof/>
          <w:szCs w:val="27"/>
        </w:rPr>
      </w:pPr>
      <w:r>
        <w:rPr>
          <w:noProof/>
        </w:rPr>
        <w:t>Zdroje, ktoré sú podľa odseku 1 písm. c) k dispozícii na letiská, sa medzi členské štáty rozdelia podľa pracovnej záťaže na letiskách stanovenej v súlade s odsekom 7 písm. b).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Zdroje, ktoré sú po</w:t>
      </w:r>
      <w:r>
        <w:rPr>
          <w:noProof/>
        </w:rPr>
        <w:t>dľa odseku 1 písm. c) k dispozícii na konzulárne úrady, sa medzi členské štáty rozdelia takto: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50 % pripadne na počet konzulárnych úradov (okrem honorárnych konzulátov) členských štátov v krajinách, ktorých zoznam je uvedený v prílohe I k nariadeniu Rad</w:t>
      </w:r>
      <w:r>
        <w:rPr>
          <w:noProof/>
        </w:rPr>
        <w:t>y (ES) č. 539/2001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</w:t>
      </w:r>
      <w:bookmarkStart w:id="0" w:name="_GoBack"/>
      <w:bookmarkEnd w:id="0"/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50 % pripadne na pracovnú záťaž, pokiaľ ide o riadenie vízovej politiky na konzulárnych úradoch členských štátov v krajinách, ktorých zoznam je </w:t>
      </w:r>
      <w:r>
        <w:rPr>
          <w:noProof/>
        </w:rPr>
        <w:lastRenderedPageBreak/>
        <w:t xml:space="preserve">uvedený v prílohe I k nariadeniu Rady (ES) č. 539/2001, stanovenú v súlade s odsekom 7 </w:t>
      </w:r>
      <w:r>
        <w:rPr>
          <w:noProof/>
        </w:rPr>
        <w:t>písm. c) tejto prílohy.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Na účely rozdelenia zdrojov podľa odseku 1 písm. c) sa pod pojmom „vonkajšie námorné hranice“ označujú vonkajšie hranice pobrežného mora členských štátov v zmysle článkov 4 až 16 Dohovoru Organizácie Spojených národov o morskom práv</w:t>
      </w:r>
      <w:r>
        <w:rPr>
          <w:noProof/>
        </w:rPr>
        <w:t>e. Ak sa však v záujme predchádzania nelegálnemu prisťahovalectvu alebo neoprávnenému vstupu vyžadujú na pravidelnom základe ďalekosiahle operácie, ide o vonkajšie hranice oblastí s vysokým stupňom ohrozenia. V tejto súvislosti sa pri vymedzovaní pojmu „vo</w:t>
      </w:r>
      <w:r>
        <w:rPr>
          <w:noProof/>
        </w:rPr>
        <w:t>nkajšie námorné hranice“ zohľadnia operačné údaje, ktoré dotknuté členské štáty predložili za posledné dva roky. Toto vymedzenie pojmu sa používa výlučne na účely tohto nariadenia.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Na účely počiatočného prideľovania finančných prostriedkov sa pri posudzova</w:t>
      </w:r>
      <w:r>
        <w:rPr>
          <w:noProof/>
        </w:rPr>
        <w:t>ní pracovnej záťaže vychádza z najnovších priemerných údajov za predchádzajúcich 36 mesiacov, ktoré sú k dispozícii k dátumu začiatku uplatňovania tohto nariadenia. Na účely preskúmania v polovici obdobia sa pri posudzovaní pracovnej záťaže vychádza z najn</w:t>
      </w:r>
      <w:r>
        <w:rPr>
          <w:noProof/>
        </w:rPr>
        <w:t>ovších priemerných údajov za predchádzajúcich 36 mesiacov, ktoré sú k dispozícii v čase preskúmania v polovici obdobia v roku 2024. Pri posudzovaní pracovnej záťaže sa vychádza z týchto faktorov: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na vonkajších pozemných a námorných hraniciach:</w:t>
      </w:r>
    </w:p>
    <w:p w:rsidR="002D59C3" w:rsidRDefault="00DC4210">
      <w:pPr>
        <w:pStyle w:val="Point2"/>
        <w:rPr>
          <w:noProof/>
        </w:rPr>
      </w:pPr>
      <w:r>
        <w:rPr>
          <w:noProof/>
        </w:rPr>
        <w:t>1.</w:t>
      </w:r>
      <w:r>
        <w:rPr>
          <w:noProof/>
        </w:rPr>
        <w:tab/>
        <w:t>70 % p</w:t>
      </w:r>
      <w:r>
        <w:rPr>
          <w:noProof/>
        </w:rPr>
        <w:t>ripadá na počet prekročení vonkajšej hranice na schválených hraničných priechodoch;</w:t>
      </w:r>
    </w:p>
    <w:p w:rsidR="002D59C3" w:rsidRDefault="00DC4210">
      <w:pPr>
        <w:pStyle w:val="Point2"/>
        <w:rPr>
          <w:noProof/>
        </w:rPr>
      </w:pPr>
      <w:r>
        <w:rPr>
          <w:noProof/>
        </w:rPr>
        <w:t>2.</w:t>
      </w:r>
      <w:r>
        <w:rPr>
          <w:noProof/>
        </w:rPr>
        <w:tab/>
        <w:t>30 % pripadá na počet štátnych príslušníkov tretích krajín, ktorým sa odoprel vstup na vonkajších hraniciach.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na letiskách:</w:t>
      </w:r>
    </w:p>
    <w:p w:rsidR="002D59C3" w:rsidRDefault="00DC4210">
      <w:pPr>
        <w:pStyle w:val="Point2"/>
        <w:rPr>
          <w:noProof/>
        </w:rPr>
      </w:pPr>
      <w:r>
        <w:rPr>
          <w:noProof/>
        </w:rPr>
        <w:t>1.</w:t>
      </w:r>
      <w:r>
        <w:rPr>
          <w:noProof/>
        </w:rPr>
        <w:tab/>
        <w:t>70 % pripadá na počet prekročení vonkaj</w:t>
      </w:r>
      <w:r>
        <w:rPr>
          <w:noProof/>
        </w:rPr>
        <w:t>šej hranice na schválených hraničných priechodoch;</w:t>
      </w:r>
    </w:p>
    <w:p w:rsidR="002D59C3" w:rsidRDefault="00DC4210">
      <w:pPr>
        <w:pStyle w:val="Point2"/>
        <w:rPr>
          <w:noProof/>
        </w:rPr>
      </w:pPr>
      <w:r>
        <w:rPr>
          <w:noProof/>
        </w:rPr>
        <w:t>2.</w:t>
      </w:r>
      <w:r>
        <w:rPr>
          <w:noProof/>
        </w:rPr>
        <w:tab/>
        <w:t>30 % pripadá na počet štátnych príslušníkov tretích krajín, ktorým sa odoprel vstup na vonkajších hraniciach.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na konzulárnych úradoch:</w:t>
      </w:r>
    </w:p>
    <w:p w:rsidR="002D59C3" w:rsidRDefault="00DC4210">
      <w:pPr>
        <w:pStyle w:val="Text1"/>
        <w:rPr>
          <w:noProof/>
        </w:rPr>
      </w:pPr>
      <w:r>
        <w:rPr>
          <w:noProof/>
        </w:rPr>
        <w:t>počet žiadostí o udelenie krátkodobých víz alebo letiskových tra</w:t>
      </w:r>
      <w:r>
        <w:rPr>
          <w:noProof/>
        </w:rPr>
        <w:t>nzitných víz.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Referenčné hodnoty týkajúce sa počtu konzulárnych úradov, ako sa uvádza v odseku 5 písm. a), sa vypočítajú na základe informácií uvedených v prílohe 28 k rozhodnutiu Komisie C(2010) 1620 z 19. marca 2010, ktorým sa ustanovuje príručka pre spr</w:t>
      </w:r>
      <w:r>
        <w:rPr>
          <w:noProof/>
        </w:rPr>
        <w:t>acovanie žiadostí o víza a úpravu udelených víz.</w:t>
      </w:r>
    </w:p>
    <w:p w:rsidR="002D59C3" w:rsidRDefault="00DC4210">
      <w:pPr>
        <w:pStyle w:val="Text1"/>
        <w:rPr>
          <w:noProof/>
        </w:rPr>
      </w:pPr>
      <w:r>
        <w:rPr>
          <w:noProof/>
        </w:rPr>
        <w:t xml:space="preserve">V prípade, že členské štáty neposkytli príslušné štatistické údaje, použijú sa najnovšie údaje, ktoré sú pre tieto členské štáty k dispozícii. Ak nie sú pre daný členský štát k dispozícii žiadne údaje, </w:t>
      </w:r>
      <w:r>
        <w:rPr>
          <w:noProof/>
        </w:rPr>
        <w:t>referenčná hodnota sa rovná nule.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Referenčné hodnoty týkajúce sa pracovnej záťaže, ktoré sú uvedené v: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odseku 7 písm. a) bod 1) a odseku 7 písm. b) bod 1) zodpovedajú najnovším štatistickým údajom, ktoré poskytli členské štáty v súlade s právom Únie;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odseku 7 písm. a) bod 2) a odseku 7 písm. b) bod 2) zodpovedajú najnovším štatistickým údajom, ktoré poskytla Komisia (Eurostat) na základe údajov, ktoré poskytli členské štáty v súlade s právom Únie;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>odseku 7 písm. c) zodpovedajú najnovším štatistický</w:t>
      </w:r>
      <w:r>
        <w:rPr>
          <w:noProof/>
        </w:rPr>
        <w:t>m údajom o vízach, ktoré uverejnila Komisia v súlade s článkom 46 vízového kódexu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V prípade, že členské štáty neposkytli príslušné štatistické údaje, použijú sa najnovšie údaje, ktoré sú pre tieto členské štáty k dispozícii. Ak nie sú pre daný členský</w:t>
      </w:r>
      <w:r>
        <w:rPr>
          <w:noProof/>
        </w:rPr>
        <w:t xml:space="preserve"> štát k dispozícii žiadne údaje, referenčná hodnota sa rovná nule.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 xml:space="preserve">Európska agentúra pre pohraničnú a pobrežnú stráž poskytne Komisii správu o rozdelení zdrojov na vonkajšie pozemné hranice, vonkajšie námorné hranice a na letiská, ako sa uvádza v odseku 1 </w:t>
      </w:r>
      <w:r>
        <w:rPr>
          <w:noProof/>
        </w:rPr>
        <w:t>písm. c).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Na účely počiatočného prideľovania finančných prostriedkov sa v správe uvedenej v odseku 10 uvedie za každý hraničný úsek priemerný stupeň ohrozenia, a to na základe najnovších priemerných údajov za predchádzajúcich 36 mesiacov, ktoré sú k dispoz</w:t>
      </w:r>
      <w:r>
        <w:rPr>
          <w:noProof/>
        </w:rPr>
        <w:t>ícii k dátumu začiatku uplatňovania tohto nariadenia. Na účely preskúmania v polovici obdobia sa v správe uvedenej v odseku 10 uvedie za každý hraničný úsek priemerný stupeň ohrozenia, a to na základe najnovších priemerných údajov za predchádzajúcich 36 me</w:t>
      </w:r>
      <w:r>
        <w:rPr>
          <w:noProof/>
        </w:rPr>
        <w:t>siacov, ktoré sú k dispozícii v čase preskúmania v polovici obdobia v roku 2024. Na základe stupňov ohrozenia v zmysle nariadenia (ES) č. 1052/2013 sa v nej pre každý úsek uvedie jeden z nasledujúcich váhových koeficientov: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koeficient 0,5 pre nízky stup</w:t>
      </w:r>
      <w:r>
        <w:rPr>
          <w:noProof/>
        </w:rPr>
        <w:t>eň ohrozenia;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koeficient 3 pre stredný stupeň ohrozenia;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koeficient 5 pre vysoký stupeň ohrozenia;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koeficient 8 pre kritický stupeň ohrozenia.</w:t>
      </w:r>
    </w:p>
    <w:p w:rsidR="002D59C3" w:rsidRDefault="00DC4210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2D59C3" w:rsidRDefault="00DC4210">
      <w:pPr>
        <w:pStyle w:val="Annexetitre"/>
        <w:rPr>
          <w:noProof/>
        </w:rPr>
      </w:pPr>
      <w:r>
        <w:rPr>
          <w:noProof/>
        </w:rPr>
        <w:lastRenderedPageBreak/>
        <w:t>PRÍLOHA II</w:t>
      </w:r>
      <w:r>
        <w:rPr>
          <w:noProof/>
        </w:rPr>
        <w:br/>
      </w:r>
      <w:r>
        <w:rPr>
          <w:noProof/>
        </w:rPr>
        <w:br/>
        <w:t>Vykonávacie opatrenia</w:t>
      </w:r>
    </w:p>
    <w:p w:rsidR="002D59C3" w:rsidRDefault="002D59C3">
      <w:pPr>
        <w:rPr>
          <w:noProof/>
        </w:rPr>
      </w:pPr>
    </w:p>
    <w:p w:rsidR="002D59C3" w:rsidRDefault="00DC4210">
      <w:pPr>
        <w:pStyle w:val="NumPar1"/>
        <w:numPr>
          <w:ilvl w:val="0"/>
          <w:numId w:val="11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Nástroj prispeje k špecifickému cieľu stanovenému v článku 3 ods. 2</w:t>
      </w:r>
      <w:r>
        <w:rPr>
          <w:noProof/>
          <w:color w:val="000000" w:themeColor="text1"/>
        </w:rPr>
        <w:t xml:space="preserve"> písm. a) tak, že sa zameria na tieto vykonávacie opatrenia: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zlepšovanie kontroly hraníc v súlade s článkom 4 písm. a) nariadenia (EÚ) 2016/1624 prostredníctvom:</w:t>
      </w:r>
    </w:p>
    <w:p w:rsidR="002D59C3" w:rsidRDefault="00DC4210">
      <w:pPr>
        <w:pStyle w:val="Point2"/>
        <w:rPr>
          <w:noProof/>
          <w:color w:val="000000" w:themeColor="text1"/>
        </w:rPr>
      </w:pPr>
      <w:r>
        <w:rPr>
          <w:noProof/>
          <w:color w:val="000000" w:themeColor="text1"/>
        </w:rPr>
        <w:t>i)</w:t>
      </w:r>
      <w:r>
        <w:rPr>
          <w:noProof/>
        </w:rPr>
        <w:tab/>
      </w:r>
      <w:r>
        <w:rPr>
          <w:noProof/>
          <w:color w:val="000000" w:themeColor="text1"/>
        </w:rPr>
        <w:t>posilňovania kapacít na vykonávanie kontrol a dozoru na vonkajších hraniciach vrátane op</w:t>
      </w:r>
      <w:r>
        <w:rPr>
          <w:noProof/>
          <w:color w:val="000000" w:themeColor="text1"/>
        </w:rPr>
        <w:t>atrení zameraných na predchádzanie cezhraničnej trestnej činnosti a jej odhaľovanie, ako sú napr. prevádzačstvo migrantov, obchodovanie s ľuďmi a terorizmus;</w:t>
      </w:r>
    </w:p>
    <w:p w:rsidR="002D59C3" w:rsidRDefault="00DC4210">
      <w:pPr>
        <w:pStyle w:val="Point2"/>
        <w:rPr>
          <w:noProof/>
          <w:color w:val="000000" w:themeColor="text1"/>
        </w:rPr>
      </w:pPr>
      <w:r>
        <w:rPr>
          <w:noProof/>
          <w:color w:val="000000" w:themeColor="text1"/>
        </w:rPr>
        <w:t>ii)</w:t>
      </w:r>
      <w:r>
        <w:rPr>
          <w:noProof/>
        </w:rPr>
        <w:tab/>
      </w:r>
      <w:r>
        <w:rPr>
          <w:noProof/>
          <w:color w:val="000000" w:themeColor="text1"/>
        </w:rPr>
        <w:t>podpory pátrania a záchrany v rámci vykonávania hraničného dozoru na mori;</w:t>
      </w:r>
    </w:p>
    <w:p w:rsidR="002D59C3" w:rsidRDefault="00DC4210">
      <w:pPr>
        <w:pStyle w:val="Point2"/>
        <w:rPr>
          <w:noProof/>
          <w:color w:val="000000" w:themeColor="text1"/>
        </w:rPr>
      </w:pPr>
      <w:r>
        <w:rPr>
          <w:noProof/>
          <w:color w:val="000000" w:themeColor="text1"/>
        </w:rPr>
        <w:t>iii)</w:t>
      </w:r>
      <w:r>
        <w:rPr>
          <w:noProof/>
        </w:rPr>
        <w:tab/>
      </w:r>
      <w:r>
        <w:rPr>
          <w:noProof/>
          <w:color w:val="000000" w:themeColor="text1"/>
        </w:rPr>
        <w:t>vykonávania te</w:t>
      </w:r>
      <w:r>
        <w:rPr>
          <w:noProof/>
          <w:color w:val="000000" w:themeColor="text1"/>
        </w:rPr>
        <w:t>chnických a operačných opatrení v rámci schengenského priestoru, ktoré súvisia s kontrolou hraníc;</w:t>
      </w:r>
    </w:p>
    <w:p w:rsidR="002D59C3" w:rsidRDefault="00DC4210">
      <w:pPr>
        <w:pStyle w:val="Point2"/>
        <w:rPr>
          <w:noProof/>
          <w:color w:val="000000" w:themeColor="text1"/>
        </w:rPr>
      </w:pPr>
      <w:r>
        <w:rPr>
          <w:noProof/>
          <w:color w:val="000000" w:themeColor="text1"/>
        </w:rPr>
        <w:t>iv)</w:t>
      </w:r>
      <w:r>
        <w:rPr>
          <w:noProof/>
        </w:rPr>
        <w:tab/>
      </w:r>
      <w:r>
        <w:rPr>
          <w:noProof/>
          <w:color w:val="000000" w:themeColor="text1"/>
        </w:rPr>
        <w:t>vykonávania analýzy rizík z hľadiska vnútornej bezpečnosti, ako aj analýzy hrozieb, ktoré môžu ovplyvniť fungovanie vnútorných hraníc alebo ich bezpečnos</w:t>
      </w:r>
      <w:r>
        <w:rPr>
          <w:noProof/>
          <w:color w:val="000000" w:themeColor="text1"/>
        </w:rPr>
        <w:t>ť;</w:t>
      </w:r>
    </w:p>
    <w:p w:rsidR="002D59C3" w:rsidRDefault="00DC4210">
      <w:pPr>
        <w:pStyle w:val="Point2"/>
        <w:rPr>
          <w:noProof/>
          <w:color w:val="000000" w:themeColor="text1"/>
        </w:rPr>
      </w:pPr>
      <w:r>
        <w:rPr>
          <w:noProof/>
          <w:color w:val="000000" w:themeColor="text1"/>
        </w:rPr>
        <w:t>v)</w:t>
      </w:r>
      <w:r>
        <w:rPr>
          <w:noProof/>
        </w:rPr>
        <w:tab/>
      </w:r>
      <w:r>
        <w:rPr>
          <w:noProof/>
          <w:color w:val="000000" w:themeColor="text1"/>
        </w:rPr>
        <w:t>poskytovania podpory, v rámci rozsahu pôsobnosti tohto nariadenia, tým členským štátom, ktoré sú vystavené existujúcim alebo potenciálnym neúmerným migračným tlakom na vonkajších hraniciach EÚ, a to okrem iného posilňovaním technických a operačných k</w:t>
      </w:r>
      <w:r>
        <w:rPr>
          <w:noProof/>
          <w:color w:val="000000" w:themeColor="text1"/>
        </w:rPr>
        <w:t>apacít a nasadzovaním podporných tímov pre riadenie migrácie do problémových oblastí (hotspotov);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ďalší rozvoj európskej pohraničnej a pobrežnej stráže na základe spoločného budovania kapacít, spoločného verejného obstarávania, zavedenia spoločných nori</w:t>
      </w:r>
      <w:r>
        <w:rPr>
          <w:noProof/>
        </w:rPr>
        <w:t>em a akýchkoľvek iných opatrení, ktoré zjednodušia spoluprácu a koordináciu medzi členskými štátmi a Európskou agentúrou pre pohraničnú a pobrežnú stráž;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prehlbovanie medziagentúrnej spolupráce na vnútroštátnej úrovni medzi vnútroštátnymi orgánmi, ktoré</w:t>
      </w:r>
      <w:r>
        <w:rPr>
          <w:noProof/>
        </w:rPr>
        <w:t xml:space="preserve"> sú zodpovedné za kontrolu hraníc alebo za iné úlohy vykonávané na hraniciach, ako aj na úrovni EÚ medzi členskými štátmi, alebo medzi členskými štátmi na jednej strane a príslušnými orgánmi, úradmi a agentúrami Únie alebo tretími krajinami na strane druhe</w:t>
      </w:r>
      <w:r>
        <w:rPr>
          <w:noProof/>
        </w:rPr>
        <w:t>j;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zabezpečenie jednotného uplatňovania </w:t>
      </w:r>
      <w:r>
        <w:rPr>
          <w:i/>
          <w:noProof/>
        </w:rPr>
        <w:t>acquis</w:t>
      </w:r>
      <w:r>
        <w:rPr>
          <w:noProof/>
        </w:rPr>
        <w:t xml:space="preserve"> Únie v oblasti vonkajších hraníc, a to aj na základe implementácie odporúčaní vyplývajúcich z mechanizmov kontroly kvality, ako sú napr. schengenský hodnotiaci mechanizmus v súlade s nariadením Rady (EÚ) č.</w:t>
      </w:r>
      <w:r>
        <w:rPr>
          <w:noProof/>
        </w:rPr>
        <w:t xml:space="preserve"> 1053/2013, posúdenie zraniteľnosti v súlade s nariadením (EÚ) 2016/1624 a vnútroštátne mechanizmy kontroly kvality;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zriadenie, prevádzka a údržba rozsiahlych informačných systémov v oblasti riadenia hraníc vrátane interoperability týchto informačných s</w:t>
      </w:r>
      <w:r>
        <w:rPr>
          <w:noProof/>
        </w:rPr>
        <w:t>ystémov a ich komunikačnej infraštruktúry.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Nástroj prispeje k špecifickému cieľu stanovenému v článku 3 ods. 2 písm. b) tak, že sa zameria na tieto vykonávacie opatrenia: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lastRenderedPageBreak/>
        <w:t>a)</w:t>
      </w:r>
      <w:r>
        <w:rPr>
          <w:noProof/>
        </w:rPr>
        <w:tab/>
        <w:t>poskytovanie účinných a klientsky ústretových služieb žiadateľom o udelenie víza p</w:t>
      </w:r>
      <w:r>
        <w:rPr>
          <w:noProof/>
        </w:rPr>
        <w:t>ri súčasnom zaistení bezpečnosti a integrity konania o udelení víza;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zabezpečenie jednotného uplatňovania </w:t>
      </w:r>
      <w:r>
        <w:rPr>
          <w:i/>
          <w:noProof/>
        </w:rPr>
        <w:t>acquis</w:t>
      </w:r>
      <w:r>
        <w:rPr>
          <w:noProof/>
        </w:rPr>
        <w:t xml:space="preserve"> Únie v oblasti víz vrátane ďalšieho rozvoja a modernizácie spoločnej vízovej politiky;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rozvíjanie rozličných foriem spolupráce členských </w:t>
      </w:r>
      <w:r>
        <w:rPr>
          <w:noProof/>
        </w:rPr>
        <w:t>štátov pri spracovávaní žiadostí o víza;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zriadenie, prevádzka a údržba rozsiahlych informačných systémov v oblasti spoločnej vízovej politiky vrátane interoperability týchto informačných systémov a ich komunikačnej infraštruktúry.</w:t>
      </w:r>
    </w:p>
    <w:p w:rsidR="002D59C3" w:rsidRDefault="002D59C3">
      <w:pPr>
        <w:rPr>
          <w:noProof/>
        </w:rPr>
      </w:pPr>
    </w:p>
    <w:p w:rsidR="002D59C3" w:rsidRDefault="00DC4210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2D59C3" w:rsidRDefault="00DC4210">
      <w:pPr>
        <w:pStyle w:val="Annexetitre"/>
        <w:rPr>
          <w:noProof/>
        </w:rPr>
      </w:pPr>
      <w:r>
        <w:rPr>
          <w:noProof/>
        </w:rPr>
        <w:t>PRÍLOHA III</w:t>
      </w:r>
      <w:r>
        <w:rPr>
          <w:noProof/>
        </w:rPr>
        <w:br/>
      </w:r>
      <w:r>
        <w:rPr>
          <w:noProof/>
        </w:rPr>
        <w:br/>
        <w:t>Rozsah</w:t>
      </w:r>
      <w:r>
        <w:rPr>
          <w:noProof/>
        </w:rPr>
        <w:t xml:space="preserve"> podpory</w:t>
      </w:r>
    </w:p>
    <w:p w:rsidR="002D59C3" w:rsidRDefault="002D59C3">
      <w:pPr>
        <w:rPr>
          <w:noProof/>
        </w:rPr>
      </w:pPr>
    </w:p>
    <w:p w:rsidR="002D59C3" w:rsidRDefault="00DC4210"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V rámci špecifického cieľa uvedeného v článku 3 ods. 2 písm. a) sa z nástroja podporí najmä: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infraštruktúra, budovy, systémy a služby, ktoré sú potrebné na hraničných priechodoch, v problémových oblastiach (hotspotoch) či na účely hraničného d</w:t>
      </w:r>
      <w:r>
        <w:rPr>
          <w:noProof/>
        </w:rPr>
        <w:t>ozoru medzi hraničnými priechodmi, a to v záujme predchádzania neoprávnenému prekračovaniu hraníc, nelegálnemu prisťahovalectvu a cezhraničnej trestnej činnosti na vonkajších hraniciach a boja proti nim, ako aj v záujme zabezpečenia plynulého toku legitímn</w:t>
      </w:r>
      <w:r>
        <w:rPr>
          <w:noProof/>
        </w:rPr>
        <w:t>ych cestujúcich;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materiálno-technické vybavenie, vrátane dopravných prostriedkov, a komunikačné systémy, ktoré sú potrebné na účinnú a bezpečnú kontrolu hraníc a ktoré zodpovedajú normám stanoveným Európskou agentúrou pre pohraničnú a pobrežnú stráž, ak</w:t>
      </w:r>
      <w:r>
        <w:rPr>
          <w:noProof/>
        </w:rPr>
        <w:t xml:space="preserve"> takéto normy existujú;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odborná príprava, ktorá sa zameriava na európske integrované riadenie hraníc alebo ktorá prispieva k jeho rozvoju a ktorá zároveň zohľadňuje operačné potreby a výsledky analýzy rizika a je v plnom súlade so základnými právami;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vysielanie spoločných styčných úradníkov v zmysle nariadenia (EÚ) č. .../...[nové nariadenie o ILO]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do tretích krajín a vysielanie príslušníkov pohraničnej stráže a iných expertov do členských štátov alebo z členského štátu do tretej krajiny, prehlbovani</w:t>
      </w:r>
      <w:r>
        <w:rPr>
          <w:noProof/>
        </w:rPr>
        <w:t>e spolupráce a posilňovanie operačných kapacít v prípade sietí expertov alebo styčných úradníkov, ako aj výmena najlepších postupov a posilňovanie kapacít európskych sietí v oblasti posudzovania, presadzovania, podpory a rozvoja politík Únie;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štúdie, pi</w:t>
      </w:r>
      <w:r>
        <w:rPr>
          <w:noProof/>
        </w:rPr>
        <w:t>lotné projekty a iné príslušné akcie zamerané na vykonávanie európskeho integrovaného riadenia hraníc alebo jeho rozvoj vrátane opatrení zameraných na rozvoj európskej pohraničnej a pobrežnej stráže, ako napr. spoločné budovanie kapacít, spoločné verejné o</w:t>
      </w:r>
      <w:r>
        <w:rPr>
          <w:noProof/>
        </w:rPr>
        <w:t>bstarávanie, zavedenie spoločných noriem a iné opatrenia, ktoré zjednodušia spoluprácu a koordináciu medzi Európskou agentúrou pre pohraničnú a pobrežnú stráž a členskými štátmi;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akcie zamerané na vývoj inovatívnych metód alebo využívanie nových technol</w:t>
      </w:r>
      <w:r>
        <w:rPr>
          <w:noProof/>
        </w:rPr>
        <w:t>ógií, ktoré majú potenciál uplatniť sa v iných členských štátoch, najmä činnosti zamerané na využívanie výsledkov výskumných projektov v oblasti bezpečnosti v prípade, že Európska agentúra pre pohraničnú a pobrežnú stráž na základe článku 37 nariadenia (EÚ</w:t>
      </w:r>
      <w:r>
        <w:rPr>
          <w:noProof/>
        </w:rPr>
        <w:t>) 2016/1624 označí využívanie týchto výsledkov za prínos z hľadiska rozvoja operačných kapacít európskej pohraničnej a pobrežnej stráže;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prípravné, monitorovacie, administratívne a technické činnosti, ktoré sú potrebné na vykonávanie politík v oblasti v</w:t>
      </w:r>
      <w:r>
        <w:rPr>
          <w:noProof/>
        </w:rPr>
        <w:t xml:space="preserve">onkajších hraníc, a to okrem iného na účely posilnenia správy schengenského priestoru na základe vytvorenia a uplatňovania hodnotiaceho mechanizmu podľa nariadenia (EÚ) č. 1053/2013 na overenie uplatňovania schengenského </w:t>
      </w:r>
      <w:r>
        <w:rPr>
          <w:i/>
          <w:noProof/>
        </w:rPr>
        <w:t>acquis</w:t>
      </w:r>
      <w:r>
        <w:rPr>
          <w:noProof/>
        </w:rPr>
        <w:t xml:space="preserve"> a Kódexu schengenských hraní</w:t>
      </w:r>
      <w:r>
        <w:rPr>
          <w:noProof/>
        </w:rPr>
        <w:t>c ,vrátane výdavkov na služobné cesty expertov Komisie a členských štátov, ktorí sa zúčastňujú kontrol na mieste, ako aj opatrení na implementáciu odporúčaní vydaných v nadväznosti na posúdenie zraniteľnosti, ktoré vykonala Európska agentúra pre pohraničnú</w:t>
      </w:r>
      <w:r>
        <w:rPr>
          <w:noProof/>
        </w:rPr>
        <w:t xml:space="preserve"> a pobrežnú stráž v súlade s nariadením (EÚ) 2016/1624;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identifikácia, odber odtlačkov prstov, registrácia, bezpečnostné kontroly, vedenie pohovoru, poskytovanie informácií, lekárske vyšetrenie, skríning zraniteľnosti a v prípade potreby lekárska staros</w:t>
      </w:r>
      <w:r>
        <w:rPr>
          <w:noProof/>
        </w:rPr>
        <w:t>tlivosť, ako aj odkázanie štátnych príslušníkov tretích krajín na príslušné konanie na vonkajších hraniciach, a to najmä v problémových oblastiach (hotspotoch);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akcie zamerané na zvyšovanie informovanosti zainteresovaných strán a širokej verejnosti o po</w:t>
      </w:r>
      <w:r>
        <w:rPr>
          <w:noProof/>
        </w:rPr>
        <w:t>litikách v oblasti vonkajších hraníc vrátane inštitucionálnej komunikácie o politických prioritách Únie;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vývoj štatistických nástrojov, metód a ukazovateľov;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>operačná podpora na vykonávanie európskeho integrovaného riadenia hraníc.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V rámci špecifické</w:t>
      </w:r>
      <w:r>
        <w:rPr>
          <w:noProof/>
        </w:rPr>
        <w:t>ho cieľa uvedeného v článku 3 ods. 2 písm. b) sa z nástroja podporí najmä: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infraštruktúra a budovy, ktoré sú potrebné na účely spracovávania žiadostí o víza a zabezpečenie konzulárnej spolupráce vrátane bezpečnostných opatrení, ako aj iné akcie zamerané</w:t>
      </w:r>
      <w:r>
        <w:rPr>
          <w:noProof/>
        </w:rPr>
        <w:t xml:space="preserve"> na zlepšovanie kvality služieb pre žiadateľov o udelenie víza;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materiálno-technické vybavenie a komunikačné systémy potrebné na spracovávanie žiadostí o víza a zabezpečenie konzulárnej spolupráce;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odborná príprava zamestnancov konzulátov a iných org</w:t>
      </w:r>
      <w:r>
        <w:rPr>
          <w:noProof/>
        </w:rPr>
        <w:t>ánov, ktorí sú aktívne zapojení do spoločnej vízovej politiky a konzulárnej spolupráce;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výmena najlepších postupov a expertov vrátane vysielania expertov, ako aj posilňovanie kapacít európskych sietí v oblasti posudzovania, presadzovania, podpory a ďalš</w:t>
      </w:r>
      <w:r>
        <w:rPr>
          <w:noProof/>
        </w:rPr>
        <w:t>ieho rozvoja politík a cieľov Únie;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štúdie, pilotné projekty a iné príslušné akcie, ako napr. akcie zamerané na zlepšovanie znalostí prostredníctvom analýz, monitorovania a hodnotenia;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akcie zamerané na vývoj inovatívnych metód alebo využívanie novýc</w:t>
      </w:r>
      <w:r>
        <w:rPr>
          <w:noProof/>
        </w:rPr>
        <w:t>h technológií, ktoré majú potenciál uplatniť sa v iných členských štátoch, najmä projekty zamerané na testovanie a validáciu výsledkov výskumných projektov financovaných Úniou;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prípravné, monitorovacie, administratívne a technické činnosti, a to okrem i</w:t>
      </w:r>
      <w:r>
        <w:rPr>
          <w:noProof/>
        </w:rPr>
        <w:t xml:space="preserve">ného na účely posilnenia správy schengenského priestoru na základe vytvorenia a uplatňovania hodnotiaceho mechanizmu podľa nariadenia (EÚ) č. 1053/2013 na overenie uplatňovania schengenského </w:t>
      </w:r>
      <w:r>
        <w:rPr>
          <w:i/>
          <w:noProof/>
        </w:rPr>
        <w:t>acquis</w:t>
      </w:r>
      <w:r>
        <w:rPr>
          <w:noProof/>
        </w:rPr>
        <w:t>,vrátane výdavkov na služobné cesty expertov Komisie a člen</w:t>
      </w:r>
      <w:r>
        <w:rPr>
          <w:noProof/>
        </w:rPr>
        <w:t>ských štátov, ktorí sa zúčastňujú kontrol na mieste;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činnosti zamerané na zvyšovanie informovanosti zainteresovaných strán a širokej verejnosti o vízových politikách vrátane inštitucionálnej komunikácie o politických prioritách Únie;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vývoj štatistick</w:t>
      </w:r>
      <w:r>
        <w:rPr>
          <w:noProof/>
        </w:rPr>
        <w:t>ých nástrojov, metód a ukazovateľov;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operačná podpora na vykonávanie spoločnej vízovej politiky.</w:t>
      </w:r>
    </w:p>
    <w:p w:rsidR="002D59C3" w:rsidRDefault="00DC4210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V rámci politického cieľa uvedeného v článku 3 ods. 1 sa z nástroja podporí najmä: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infraštruktúra a budovy, ktoré sú potrebné na hosting rozsiahlych </w:t>
      </w:r>
      <w:r>
        <w:rPr>
          <w:noProof/>
        </w:rPr>
        <w:t>informačných systémov a súvisiacich prvkov komunikačnej infraštruktúry;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vybavenie a komunikačné systémy, ktoré sú potrebné na zabezpečenie riadneho fungovania rozsiahlych informačných systémov;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odborná príprava a komunikačné činnosti v oblasti rozsia</w:t>
      </w:r>
      <w:r>
        <w:rPr>
          <w:noProof/>
        </w:rPr>
        <w:t>hlych informačných systémov;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vývoj a modernizácia rozsiahlych informačných systémov;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štúdie, skúšky konceptu, pilotné projekty a iné príslušné akcie, ktoré súvisia s implementáciou rozsiahlych informačných systémov vrátane ich interoperability;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ak</w:t>
      </w:r>
      <w:r>
        <w:rPr>
          <w:noProof/>
        </w:rPr>
        <w:t>cie zamerané na vývoj inovatívnych metód alebo využívanie nových technológií, ktoré majú potenciál uplatniť sa v iných členských štátoch, najmä projekty zamerané na testovanie a validáciu výsledkov výskumných projektov financovaných Úniou;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vývoj štatist</w:t>
      </w:r>
      <w:r>
        <w:rPr>
          <w:noProof/>
        </w:rPr>
        <w:t>ických nástrojov, metód a ukazovateľov pre rozsiahle informačné systémy v oblasti víz a hraníc;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operačná podpora na implementáciu rozsiahlych informačných systémov.</w:t>
      </w:r>
    </w:p>
    <w:p w:rsidR="002D59C3" w:rsidRDefault="002D59C3">
      <w:pPr>
        <w:rPr>
          <w:noProof/>
        </w:rPr>
      </w:pPr>
    </w:p>
    <w:p w:rsidR="002D59C3" w:rsidRDefault="00DC4210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2D59C3" w:rsidRDefault="00DC4210">
      <w:pPr>
        <w:pStyle w:val="Annexetitre"/>
        <w:rPr>
          <w:noProof/>
        </w:rPr>
      </w:pPr>
      <w:r>
        <w:rPr>
          <w:noProof/>
        </w:rPr>
        <w:t>PRÍLOHA IV</w:t>
      </w:r>
      <w:r>
        <w:rPr>
          <w:noProof/>
        </w:rPr>
        <w:br/>
      </w:r>
      <w:r>
        <w:rPr>
          <w:noProof/>
        </w:rPr>
        <w:br/>
        <w:t>Akcie oprávnené na vyššiu mieru spolufinancovania v súlade s článkom 11 o</w:t>
      </w:r>
      <w:r>
        <w:rPr>
          <w:noProof/>
        </w:rPr>
        <w:t>ds. 3 a článkom 12 ods. 14</w:t>
      </w:r>
    </w:p>
    <w:p w:rsidR="002D59C3" w:rsidRDefault="002D59C3">
      <w:pPr>
        <w:rPr>
          <w:noProof/>
        </w:rPr>
      </w:pPr>
    </w:p>
    <w:p w:rsidR="002D59C3" w:rsidRDefault="00DC4210">
      <w:pPr>
        <w:pStyle w:val="Point0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Nákup materiálno-technického vybavenia v rámci mechanizmov spoločného verejného obstarávania v súčinnosti s Európskou agentúrou pre pohraničnú a pobrežnú stráž, ktoré sa má poskytnúť Európskej agentúre pre pohraničnú a pobrež</w:t>
      </w:r>
      <w:r>
        <w:rPr>
          <w:noProof/>
        </w:rPr>
        <w:t>nú stráž na operačné činnosti v súlade s článkom 39 ods. 14 nariadenia (EÚ) 2016/1624.</w:t>
      </w:r>
    </w:p>
    <w:p w:rsidR="002D59C3" w:rsidRDefault="00DC4210">
      <w:pPr>
        <w:pStyle w:val="Point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Opatrenia na podporu medziagentúrnej spolupráce medzi členskými štátmi a susednými tretími krajinami, s ktorými má EÚ spoločnú pozemnú alebo námornú hranicu.</w:t>
      </w:r>
    </w:p>
    <w:p w:rsidR="002D59C3" w:rsidRDefault="00DC4210">
      <w:pPr>
        <w:pStyle w:val="Point0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Ďalší</w:t>
      </w:r>
      <w:r>
        <w:rPr>
          <w:noProof/>
        </w:rPr>
        <w:t xml:space="preserve"> rozvoj európskej pohraničnej a pobrežnej stráže na základe spoločného budovania kapacít, spoločného verejného obstarávania, zavedenia spoločných noriem a akýchkoľvek iných opatrení, ktoré zjednodušia spoluprácu a koordináciu medzi členskými štátmi a Európ</w:t>
      </w:r>
      <w:r>
        <w:rPr>
          <w:noProof/>
        </w:rPr>
        <w:t>skou agentúrou pre pohraničnú a pobrežnú stráž, ako sa uvádza v odseku 1 písm. b) prílohy II.</w:t>
      </w:r>
    </w:p>
    <w:p w:rsidR="002D59C3" w:rsidRDefault="00DC4210">
      <w:pPr>
        <w:pStyle w:val="Point0"/>
        <w:rPr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>Spoločné nasadzovanie styčných dôstojníkov pre prisťahovalectvo ako sa uvádza v prílohe III.</w:t>
      </w:r>
    </w:p>
    <w:p w:rsidR="002D59C3" w:rsidRDefault="00DC4210">
      <w:pPr>
        <w:pStyle w:val="Point0"/>
        <w:rPr>
          <w:noProof/>
          <w:szCs w:val="24"/>
        </w:rPr>
      </w:pPr>
      <w:r>
        <w:rPr>
          <w:noProof/>
        </w:rPr>
        <w:t>5.</w:t>
      </w:r>
      <w:r>
        <w:rPr>
          <w:noProof/>
        </w:rPr>
        <w:tab/>
        <w:t>Opatrenia zamerané na zlepšenie identifikácie obetí obchodovani</w:t>
      </w:r>
      <w:r>
        <w:rPr>
          <w:noProof/>
        </w:rPr>
        <w:t>a s ľuďmi a prehĺbenie cezhraničnej spolupráce na účely odhaľovania obchodníkov s ľuďmi v rámci kontroly hraníc.</w:t>
      </w:r>
    </w:p>
    <w:p w:rsidR="002D59C3" w:rsidRDefault="00DC4210">
      <w:pPr>
        <w:pStyle w:val="Point0"/>
        <w:rPr>
          <w:noProof/>
          <w:szCs w:val="24"/>
        </w:rPr>
      </w:pPr>
      <w:r>
        <w:rPr>
          <w:noProof/>
        </w:rPr>
        <w:t>6.</w:t>
      </w:r>
      <w:r>
        <w:rPr>
          <w:noProof/>
        </w:rPr>
        <w:tab/>
        <w:t>Opatrenia v oblasti využívania, prenosu, testovania a validácie nových metód alebo technológií vrátane pilotných projektov a opatrení, ktoré</w:t>
      </w:r>
      <w:r>
        <w:rPr>
          <w:noProof/>
        </w:rPr>
        <w:t xml:space="preserve"> nadväzujú na výskumné projekty v oblasti bezpečnosti financované Úniou, ako sa uvádza v prílohe III.</w:t>
      </w:r>
    </w:p>
    <w:p w:rsidR="002D59C3" w:rsidRDefault="00DC4210">
      <w:pPr>
        <w:pStyle w:val="Point0"/>
        <w:rPr>
          <w:noProof/>
          <w:szCs w:val="24"/>
        </w:rPr>
      </w:pPr>
      <w:r>
        <w:rPr>
          <w:noProof/>
        </w:rPr>
        <w:t>7.</w:t>
      </w:r>
      <w:r>
        <w:rPr>
          <w:noProof/>
        </w:rPr>
        <w:tab/>
        <w:t>Opatrenia zamerané na vytvorenie a prevádzku problémových oblastí (hotspotov) v členských štátoch, ktoré sú vystavené existujúcim alebo potenciálnym vý</w:t>
      </w:r>
      <w:r>
        <w:rPr>
          <w:noProof/>
        </w:rPr>
        <w:t>nimočným a neúmerným migračným tlakom.</w:t>
      </w:r>
    </w:p>
    <w:p w:rsidR="002D59C3" w:rsidRDefault="00DC4210">
      <w:pPr>
        <w:pStyle w:val="Point0"/>
        <w:rPr>
          <w:noProof/>
        </w:rPr>
      </w:pPr>
      <w:r>
        <w:rPr>
          <w:noProof/>
        </w:rPr>
        <w:t>8.</w:t>
      </w:r>
      <w:r>
        <w:rPr>
          <w:noProof/>
        </w:rPr>
        <w:tab/>
        <w:t>Ďalší rozvoj jednotlivých foriem spolupráce členských štátov pri spracovávaní žiadostí o víza, ako sa uvádza v odseku 2 písm. c) prílohy II.</w:t>
      </w:r>
    </w:p>
    <w:p w:rsidR="002D59C3" w:rsidRDefault="00DC4210">
      <w:pPr>
        <w:pStyle w:val="Point0"/>
        <w:rPr>
          <w:noProof/>
        </w:rPr>
      </w:pPr>
      <w:r>
        <w:rPr>
          <w:noProof/>
        </w:rPr>
        <w:t>9.</w:t>
      </w:r>
      <w:r>
        <w:rPr>
          <w:noProof/>
        </w:rPr>
        <w:tab/>
        <w:t>Posilnenie prítomnosti konzulárnych úradov alebo konzulárneho zastúpen</w:t>
      </w:r>
      <w:r>
        <w:rPr>
          <w:noProof/>
        </w:rPr>
        <w:t>ia členských štátov v krajinách, na ktoré sa vzťahuje vízová povinnosť, a to najmä v tých krajinách, v ktorých momentálne nie je prítomný žiaden z členských štátov.</w:t>
      </w:r>
      <w:r>
        <w:rPr>
          <w:noProof/>
        </w:rPr>
        <w:br w:type="page"/>
      </w:r>
    </w:p>
    <w:p w:rsidR="002D59C3" w:rsidRDefault="00DC4210">
      <w:pPr>
        <w:pStyle w:val="Annexetitre"/>
        <w:rPr>
          <w:b w:val="0"/>
          <w:noProof/>
        </w:rPr>
      </w:pPr>
      <w:r>
        <w:rPr>
          <w:noProof/>
        </w:rPr>
        <w:t>PRÍLOHA V</w:t>
      </w:r>
      <w:r>
        <w:rPr>
          <w:noProof/>
        </w:rPr>
        <w:br/>
      </w:r>
      <w:r>
        <w:rPr>
          <w:noProof/>
        </w:rPr>
        <w:br/>
        <w:t>Kľúčové ukazovatele výkonnosti uvedené v článku 25 ods. 1</w:t>
      </w:r>
    </w:p>
    <w:p w:rsidR="002D59C3" w:rsidRDefault="002D59C3">
      <w:pPr>
        <w:jc w:val="center"/>
        <w:rPr>
          <w:noProof/>
          <w:u w:val="single"/>
        </w:rPr>
      </w:pPr>
    </w:p>
    <w:p w:rsidR="002D59C3" w:rsidRDefault="00DC4210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Špecifický cieľ 1</w:t>
      </w:r>
      <w:r>
        <w:rPr>
          <w:noProof/>
        </w:rPr>
        <w:t>: Podpora účinného európskeho integrovaného riadenia hraníc na vonkajších hraniciach, ktoré vykonáva európska pohraničná a pobrežná stráž v rámci spoločnej zodpovednosti Európskej agentúry pre pohraničnú a pobrežnú stráž a vnútroštátnych orgánov zodpovedný</w:t>
      </w:r>
      <w:r>
        <w:rPr>
          <w:noProof/>
        </w:rPr>
        <w:t>ch za riadenie hraníc, a to v záujme umožnenia legitímneho prekračovania hraníc, predchádzania nelegálnemu prisťahovalectvu a cezhraničnej trestnej činnosti a ich odhaľovania, ako aj v záujme účinného riadenia migračných tokov: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Počet neoprávnených prekr</w:t>
      </w:r>
      <w:r>
        <w:rPr>
          <w:noProof/>
        </w:rPr>
        <w:t>očení hraníc, ktoré boli odhalené na vonkajších hraniciach EÚ a) medzi hraničnými priechodmi a b) na hraničných priechodoch</w:t>
      </w:r>
    </w:p>
    <w:p w:rsidR="002D59C3" w:rsidRDefault="00DC4210">
      <w:pPr>
        <w:pStyle w:val="Text2"/>
        <w:rPr>
          <w:i/>
          <w:noProof/>
        </w:rPr>
      </w:pPr>
      <w:r>
        <w:rPr>
          <w:i/>
          <w:noProof/>
        </w:rPr>
        <w:t>Zdroj údajov: Európska agentúra pre pohraničnú a pobrežnú stráž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Počet osôb používajúcich falšované a pozmenené cestovné doklady, </w:t>
      </w:r>
      <w:r>
        <w:rPr>
          <w:noProof/>
        </w:rPr>
        <w:t>ktoré boli odhalené na hraničných priechodoch</w:t>
      </w:r>
    </w:p>
    <w:p w:rsidR="002D59C3" w:rsidRDefault="00DC4210">
      <w:pPr>
        <w:pStyle w:val="Text2"/>
        <w:rPr>
          <w:i/>
          <w:noProof/>
        </w:rPr>
      </w:pPr>
      <w:r>
        <w:rPr>
          <w:i/>
          <w:noProof/>
        </w:rPr>
        <w:t>Zdroj údajov: Európska agentúra pre pohraničnú a pobrežnú stráž</w:t>
      </w:r>
    </w:p>
    <w:p w:rsidR="002D59C3" w:rsidRDefault="00DC4210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Špecifický cieľ 2: Podpora spoločnej vízovej politiky v záujme umožnenia legitímneho cestovania a predchádzania rizikám súvisiacim s migráciou </w:t>
      </w:r>
      <w:r>
        <w:rPr>
          <w:noProof/>
        </w:rPr>
        <w:t>a bezpečnosťou: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Počet osôb používajúcich falšované a pozmenené cestovné doklady, ktoré boli odhalené na konzulátoch podporovaných z fondu</w:t>
      </w:r>
    </w:p>
    <w:p w:rsidR="002D59C3" w:rsidRDefault="00DC4210">
      <w:pPr>
        <w:pStyle w:val="Text2"/>
        <w:rPr>
          <w:noProof/>
        </w:rPr>
      </w:pPr>
      <w:r>
        <w:rPr>
          <w:i/>
          <w:noProof/>
        </w:rPr>
        <w:t>Zdroj údajov: Členské štáty</w:t>
      </w:r>
      <w:r>
        <w:rPr>
          <w:rStyle w:val="FootnoteReference"/>
          <w:i/>
          <w:noProof/>
        </w:rPr>
        <w:footnoteReference w:id="6"/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Priemerný čas na prijatie rozhodnutia (a tendencie) v konaní o udelení víza</w:t>
      </w:r>
    </w:p>
    <w:p w:rsidR="002D59C3" w:rsidRDefault="00DC4210">
      <w:pPr>
        <w:pStyle w:val="Text2"/>
        <w:rPr>
          <w:noProof/>
        </w:rPr>
      </w:pPr>
      <w:r>
        <w:rPr>
          <w:i/>
          <w:noProof/>
        </w:rPr>
        <w:t>Zdroj ú</w:t>
      </w:r>
      <w:r>
        <w:rPr>
          <w:i/>
          <w:noProof/>
        </w:rPr>
        <w:t>dajov: Členské štáty</w:t>
      </w:r>
      <w:r>
        <w:rPr>
          <w:rStyle w:val="FootnoteReference"/>
          <w:i/>
          <w:noProof/>
        </w:rPr>
        <w:footnoteReference w:id="7"/>
      </w:r>
    </w:p>
    <w:p w:rsidR="002D59C3" w:rsidRDefault="002D59C3">
      <w:pPr>
        <w:spacing w:before="0" w:after="200" w:line="276" w:lineRule="auto"/>
        <w:jc w:val="left"/>
        <w:rPr>
          <w:b/>
          <w:noProof/>
          <w:u w:val="single"/>
        </w:rPr>
      </w:pPr>
    </w:p>
    <w:p w:rsidR="002D59C3" w:rsidRDefault="00DC4210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2D59C3" w:rsidRDefault="00DC4210">
      <w:pPr>
        <w:pStyle w:val="Annexetitre"/>
        <w:rPr>
          <w:noProof/>
        </w:rPr>
      </w:pPr>
      <w:r>
        <w:rPr>
          <w:noProof/>
        </w:rPr>
        <w:t>PRÍLOHA VI</w:t>
      </w:r>
      <w:r>
        <w:rPr>
          <w:noProof/>
        </w:rPr>
        <w:br/>
      </w:r>
      <w:r>
        <w:rPr>
          <w:noProof/>
        </w:rPr>
        <w:br/>
        <w:t>Typy intervencie</w:t>
      </w:r>
    </w:p>
    <w:p w:rsidR="002D59C3" w:rsidRDefault="002D59C3">
      <w:pPr>
        <w:spacing w:before="0"/>
        <w:rPr>
          <w:noProof/>
        </w:rPr>
      </w:pPr>
    </w:p>
    <w:p w:rsidR="002D59C3" w:rsidRDefault="00DC4210">
      <w:pPr>
        <w:shd w:val="clear" w:color="auto" w:fill="FFFFFF"/>
        <w:spacing w:before="240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TABUĽKA 1:   KÓDY PRE JEDNOTLIVÉ OBLASTI INTERVENCIE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8739"/>
      </w:tblGrid>
      <w:tr w:rsidR="002D59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D59C3" w:rsidRDefault="002D59C3">
            <w:pPr>
              <w:spacing w:before="60" w:after="60"/>
              <w:ind w:right="195"/>
              <w:rPr>
                <w:rFonts w:ascii="inherit" w:eastAsia="Times New Roman" w:hAnsi="inherit"/>
                <w:b/>
                <w:bCs/>
                <w:noProof/>
                <w:color w:val="000000"/>
                <w:sz w:val="22"/>
              </w:rPr>
            </w:pPr>
          </w:p>
        </w:tc>
      </w:tr>
      <w:tr w:rsidR="002D59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D59C3" w:rsidRDefault="00DC4210">
            <w:pPr>
              <w:spacing w:before="60" w:after="60"/>
              <w:ind w:right="195"/>
              <w:jc w:val="center"/>
              <w:rPr>
                <w:rFonts w:ascii="inherit" w:eastAsia="Times New Roman" w:hAnsi="inherit"/>
                <w:b/>
                <w:bCs/>
                <w:noProof/>
                <w:color w:val="000000"/>
                <w:sz w:val="22"/>
              </w:rPr>
            </w:pPr>
            <w:r>
              <w:rPr>
                <w:rFonts w:ascii="inherit" w:hAnsi="inherit"/>
                <w:b/>
                <w:noProof/>
                <w:color w:val="000000"/>
                <w:sz w:val="22"/>
              </w:rPr>
              <w:t xml:space="preserve">I.   Európske integrované riadenie hraníc 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Hraničné kontroly  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Hraničný dozor - letecké prostriedky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Hraničný dozor - pozemné prostriedky 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Hraničný dozor - námorné prostriedky 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Hraničný dozor - automatizované systémy hraničného dozoru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Hraničný dozor - iné opatrenia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Technické a operačné opatrenia v rámci schengenského priestoru, ktoré s</w:t>
            </w:r>
            <w:r>
              <w:rPr>
                <w:noProof/>
                <w:color w:val="000000"/>
                <w:sz w:val="22"/>
              </w:rPr>
              <w:t>úvisia s kontrolou hraníc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Situačné povedomie a výmena informácií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Analýza rizika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Spracovávanie údajov a informácií 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Problémové oblasti (hotspoty)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Rozvoj európskej pohraničnej a pobrežnej stráže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Medziagentúrna spolupráca - </w:t>
            </w:r>
            <w:r>
              <w:rPr>
                <w:noProof/>
                <w:color w:val="000000"/>
                <w:sz w:val="22"/>
              </w:rPr>
              <w:t>vnútroštátna úroveň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Medziagentúrna spolupráca - úroveň Európskej únie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Medziagentúrna spolupráca - s tretími krajinami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Nasadzovanie styčných dôstojníkov pre prisťahovalectvo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Rozsiahle informačné systémy - Eurodac na účely riadenia hraníc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Rozsiahle informačné systémy - systém vstup/výstup (EES)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Rozsiahle informačné systémy - európsky systém pre cestovné informácie a povolenia (ETIAS)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Rozsiahle informačné systémy - Schengenský informačný systém (SISII) 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Rozsiahle </w:t>
            </w:r>
            <w:r>
              <w:rPr>
                <w:noProof/>
                <w:color w:val="000000"/>
                <w:sz w:val="22"/>
              </w:rPr>
              <w:t>informačné systémy - interoperabilita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Operačná podpora - integrované riadenie hraníc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Operačná podpora - rozsiahle informačné systémy na účely riadenia hraníc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Operačná podpora - osobitný tranzitný režim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D59C3" w:rsidRDefault="00DC4210">
            <w:pPr>
              <w:spacing w:before="60" w:after="60"/>
              <w:ind w:right="195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 xml:space="preserve">II.   Spoločná vízová politika 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Zlepšovanie procesu spracovávania žiadostí o víza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Zlepšovanie účinnosti, klientsky ústretového prostredia a bezpečnosti na konzulátoch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Zabezpečenie dokladov / poradcovia pre doklady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Konzulárna spolupráca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Konzulárne pokrytie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Rozsiah</w:t>
            </w:r>
            <w:r>
              <w:rPr>
                <w:noProof/>
                <w:color w:val="000000"/>
                <w:sz w:val="22"/>
              </w:rPr>
              <w:t>le informačné systémy - vízový informačný systém (VIS)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Iné informačné systémy na účely spracovávania žiadostí o víza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Operačná podpora - spoločná vízová politika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Operačná podpora - rozsiahle informačné systémy na účely spracovávania žiadostí </w:t>
            </w:r>
            <w:r>
              <w:rPr>
                <w:noProof/>
                <w:color w:val="000000"/>
                <w:sz w:val="22"/>
              </w:rPr>
              <w:t>o víza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Operačná podpora - osobitný tranzitný režim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2D59C3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III.   Technická pomoc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Informačné a komunikačné činnosti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Príprava, implementácia, monitorovanie a kontrola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Hodnotenie a štúdie, zhromaďovanie údajov</w:t>
            </w:r>
          </w:p>
        </w:tc>
      </w:tr>
      <w:tr w:rsidR="002D59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Budovanie kapacít</w:t>
            </w:r>
          </w:p>
        </w:tc>
      </w:tr>
    </w:tbl>
    <w:p w:rsidR="002D59C3" w:rsidRDefault="00DC4210">
      <w:pPr>
        <w:shd w:val="clear" w:color="auto" w:fill="FFFFFF"/>
        <w:spacing w:before="240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TABUĽKA </w:t>
      </w:r>
      <w:r>
        <w:rPr>
          <w:b/>
          <w:noProof/>
          <w:color w:val="000000"/>
        </w:rPr>
        <w:t>2:   KÓDY PRE JEDNOTLIVÉ TYPY AKCIE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43"/>
      </w:tblGrid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001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Infraštruktúra a budovy 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002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Dopravné prostriedky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003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Iné materiálno-technické vybavenie 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004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Komunikačné systémy 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005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Informačné systémy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006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Odborná príprava 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007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Výmena najlepších postupov - medzi členskými štátmi 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008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Výmena najlepších postupov - s tretími krajinami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009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Nasadzovanie expertov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010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Štúdie, skúšky konceptu, pilotné projekty a podobné akcie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011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Komunikačné činnosti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012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Vývoj štatistických </w:t>
            </w:r>
            <w:r>
              <w:rPr>
                <w:noProof/>
                <w:color w:val="000000"/>
                <w:sz w:val="22"/>
              </w:rPr>
              <w:t>nástrojov, metód a ukazovateľov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013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Uplatňovanie výsledkov výskumných projektov alebo iné nadväzné opatrenia</w:t>
            </w:r>
          </w:p>
        </w:tc>
      </w:tr>
    </w:tbl>
    <w:p w:rsidR="002D59C3" w:rsidRDefault="00DC4210">
      <w:pPr>
        <w:shd w:val="clear" w:color="auto" w:fill="FFFFFF"/>
        <w:spacing w:before="0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TABUĽKA 3:   KÓDY PRE JEDNOTLIVÉ SPÔSOBY IMPLEMENTÁCIE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43"/>
      </w:tblGrid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001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Osobitné akcie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002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Núdzová pomoc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003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Akcie uvedené v prílohe IV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004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Implementácia odporúčaní vyplývajúcich zo schengenského hodnotenia 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005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Implementácia odporúčaní vyplývajúcich z posúdenia zraniteľnosti 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006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Spolupráca s tretími krajinami </w:t>
            </w:r>
          </w:p>
        </w:tc>
      </w:tr>
      <w:tr w:rsidR="002D59C3">
        <w:trPr>
          <w:tblCellSpacing w:w="0" w:type="dxa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007</w:t>
            </w:r>
          </w:p>
        </w:tc>
        <w:tc>
          <w:tcPr>
            <w:tcW w:w="4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9C3" w:rsidRDefault="00DC4210">
            <w:pPr>
              <w:spacing w:before="60" w:after="60"/>
              <w:jc w:val="left"/>
              <w:rPr>
                <w:rFonts w:ascii="inherit" w:eastAsia="Times New Roman" w:hAnsi="inherit"/>
                <w:noProof/>
                <w:color w:val="000000"/>
                <w:sz w:val="22"/>
              </w:rPr>
            </w:pPr>
            <w:r>
              <w:rPr>
                <w:rFonts w:ascii="inherit" w:hAnsi="inherit"/>
                <w:noProof/>
                <w:color w:val="000000"/>
                <w:sz w:val="22"/>
              </w:rPr>
              <w:t>Akcie v tretích krajinách</w:t>
            </w:r>
          </w:p>
        </w:tc>
      </w:tr>
    </w:tbl>
    <w:p w:rsidR="002D59C3" w:rsidRDefault="00DC4210">
      <w:pPr>
        <w:pStyle w:val="Annexetitre"/>
        <w:rPr>
          <w:noProof/>
        </w:rPr>
      </w:pPr>
      <w:r>
        <w:rPr>
          <w:noProof/>
        </w:rPr>
        <w:br w:type="page"/>
        <w:t>PRÍLOHA VII</w:t>
      </w:r>
      <w:r>
        <w:rPr>
          <w:noProof/>
        </w:rPr>
        <w:br/>
      </w:r>
      <w:r>
        <w:rPr>
          <w:noProof/>
        </w:rPr>
        <w:br/>
        <w:t xml:space="preserve">Akcie oprávnené na operačnú </w:t>
      </w:r>
      <w:r>
        <w:rPr>
          <w:noProof/>
        </w:rPr>
        <w:t>podporu</w:t>
      </w:r>
    </w:p>
    <w:p w:rsidR="002D59C3" w:rsidRDefault="00DC4210">
      <w:pPr>
        <w:tabs>
          <w:tab w:val="left" w:pos="2612"/>
        </w:tabs>
        <w:rPr>
          <w:noProof/>
        </w:rPr>
      </w:pPr>
      <w:r>
        <w:rPr>
          <w:noProof/>
        </w:rPr>
        <w:tab/>
      </w:r>
    </w:p>
    <w:p w:rsidR="002D59C3" w:rsidRDefault="00DC4210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V rámci špecifického cieľa uvedeného v článku 3 ods. 2 písm. a) pokryje operačná podpora nasledujúce náklady, a to za predpokladu, že tieto náklady už nie sú pokryté Európskou agentúrou pre pohraničnú a pobrežnú stráž v rámci jej operačných či</w:t>
      </w:r>
      <w:r>
        <w:rPr>
          <w:noProof/>
        </w:rPr>
        <w:t>nností: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náklady na zamestnancov;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údržba alebo oprava vybavenia a infraštruktúry;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náklady na služby, a to aj v problémových oblastiach (hotspotoch) v rámci rozsahu pôsobnosti tohto nariadenia;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prevádzkové náklady na operácie.</w:t>
      </w:r>
    </w:p>
    <w:p w:rsidR="002D59C3" w:rsidRDefault="00DC4210">
      <w:pPr>
        <w:pStyle w:val="Text1"/>
        <w:rPr>
          <w:noProof/>
        </w:rPr>
      </w:pPr>
      <w:r>
        <w:rPr>
          <w:noProof/>
        </w:rPr>
        <w:t>Hostiteľský členský</w:t>
      </w:r>
      <w:r>
        <w:rPr>
          <w:noProof/>
        </w:rPr>
        <w:t xml:space="preserve"> štát v zmysle článku 2 ods. 5 nariadenia (EÚ) č. 1624/2016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môže operačnú podporu použiť na pokrytie svojich vlastných prevádzkových nákladov, ktoré sú spojené s jeho účasťou na operačných činnostiach uvedených v článku 2 ods. 5 nariadenia (EÚ) č. 1624/20</w:t>
      </w:r>
      <w:r>
        <w:rPr>
          <w:noProof/>
        </w:rPr>
        <w:t>16 a ktoré spadajú do rozsahu pôsobnosti tohto nariadenia, alebo na účely činností v oblasti kontroly vnútroštátnych hraníc.</w:t>
      </w:r>
    </w:p>
    <w:p w:rsidR="002D59C3" w:rsidRDefault="00DC4210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V rámci špecifického cieľa uvedeného v článku 3 ods. 2 písm. b) pokryje operačná podpora: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náklady na zamestnancov vrátane nák</w:t>
      </w:r>
      <w:r>
        <w:rPr>
          <w:noProof/>
        </w:rPr>
        <w:t>ladov na odbornú prípravu;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náklady na služby;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údržbu alebo opravu vybavenia a infraštruktúry;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náklady na nehnuteľnosti vrátane nájmu a odpisov.</w:t>
      </w:r>
    </w:p>
    <w:p w:rsidR="002D59C3" w:rsidRDefault="00DC4210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V rámci politického cieľa uvedeného v článku 3 ods. 1 pokryje operačná podpora: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náklady na zamest</w:t>
      </w:r>
      <w:r>
        <w:rPr>
          <w:noProof/>
        </w:rPr>
        <w:t>nancov vrátane nákladov na odbornú prípravu;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prevádzkové riadenie a údržbu rozsiahlych informačných systémov a ich komunikačnej infraštruktúry, vrátane interoperability týchto systémov a nájmu zabezpečených priestorov.</w:t>
      </w:r>
    </w:p>
    <w:p w:rsidR="002D59C3" w:rsidRDefault="00DC4210"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Okrem uvedeného zahŕňa operačná</w:t>
      </w:r>
      <w:r>
        <w:rPr>
          <w:noProof/>
        </w:rPr>
        <w:t xml:space="preserve"> podpora v rámci programu v prípade Litvy aj podporu v súlade s článkom 16 ods. 1.</w:t>
      </w:r>
    </w:p>
    <w:p w:rsidR="002D59C3" w:rsidRDefault="00DC4210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2D59C3" w:rsidRDefault="00DC4210">
      <w:pPr>
        <w:pStyle w:val="Annexetitre"/>
        <w:rPr>
          <w:noProof/>
        </w:rPr>
      </w:pPr>
      <w:r>
        <w:rPr>
          <w:noProof/>
        </w:rPr>
        <w:t>PRÍLOHA VIII</w:t>
      </w:r>
      <w:r>
        <w:rPr>
          <w:noProof/>
        </w:rPr>
        <w:br/>
      </w:r>
      <w:r>
        <w:rPr>
          <w:noProof/>
        </w:rPr>
        <w:br/>
        <w:t>Ukazovatele výstupov a výsledkov uvedené v článku 25 ods. 3</w:t>
      </w:r>
    </w:p>
    <w:p w:rsidR="002D59C3" w:rsidRDefault="002D59C3">
      <w:pPr>
        <w:rPr>
          <w:noProof/>
        </w:rPr>
      </w:pPr>
    </w:p>
    <w:p w:rsidR="002D59C3" w:rsidRDefault="00DC4210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Špecifický cieľ 1: Podpora účinného európskeho integrovaného riadenia hraníc na vonkajších hr</w:t>
      </w:r>
      <w:r>
        <w:rPr>
          <w:noProof/>
        </w:rPr>
        <w:t>aniciach, ktoré vykonáva európska pohraničná a pobrežná stráž v rámci spoločnej zodpovednosti Európskej agentúry pre pohraničnú a pobrežnú stráž a vnútroštátnych orgánov zodpovedných za riadenie hraníc, a to v záujme umožnenia legitímneho prekračovania hra</w:t>
      </w:r>
      <w:r>
        <w:rPr>
          <w:noProof/>
        </w:rPr>
        <w:t>níc, predchádzania nelegálnemu prisťahovalectvu a cezhraničnej trestnej činnosti a ich odhaľovania, ako aj v záujme účinného riadenia migračných tokov: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Infraštruktúra na kontrolu hraníc, dopravné prostriedky a iné vybavenie financované s podporou nástro</w:t>
      </w:r>
      <w:r>
        <w:rPr>
          <w:noProof/>
        </w:rPr>
        <w:t>ja: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počet novovybudovaných alebo zmodernizovaných hraničných priechodov v porovnaní s celkovým počtom novovybudovaných alebo zmodernizovaných hraničných priechodov v dotknutom členskom štáte;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počet automatizovaných brán hraničnej kontroly;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 xml:space="preserve">počet leteckých </w:t>
      </w:r>
      <w:r>
        <w:rPr>
          <w:noProof/>
        </w:rPr>
        <w:t>dopravných prostriedkov;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počet námorných dopravných prostriedkov;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počet pozemných dopravných prostriedkov;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počet kusov vybavenia, ktoré sa poskytlo Európskej agentúre pre pohraničnú a pobrežnú stráž;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počet kusov iného vybavenia, a z toho počet kusov vybave</w:t>
      </w:r>
      <w:r>
        <w:rPr>
          <w:noProof/>
        </w:rPr>
        <w:t>nia na zriadenie, modernizáciu alebo údržbu problémových oblastí (hotspotov) na účely tohto nariadenia;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počet kusov vybavenia viacúčelového charakteru, ktoré je podporované z nástroja.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Počet špecializovaných pracovných miest v tretích krajinách, ktoré s</w:t>
      </w:r>
      <w:r>
        <w:rPr>
          <w:noProof/>
        </w:rPr>
        <w:t>ú podporované z nástroja: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spoloční styční úradníci uvedení v prílohe III;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iné špecializované pracovné miesta súvisiace s riadením hraníc.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Počet projektov alebo tokov spolupráce, ktoré sa realizujú s podporou nástroja v členských štátoch medzi </w:t>
      </w:r>
      <w:r>
        <w:rPr>
          <w:noProof/>
        </w:rPr>
        <w:t>vnútroštátnymi orgánmi a Európskou agentúrou pre pohraničnú a pobrežnú stráž a ktoré prispievajú k rozvoju európskej pohraničnej a pobrežnej stráže.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Počet kusov vybavenia zakúpeného s podporou nástroja, ktoré sa použilo v rámci operačných činností Európ</w:t>
      </w:r>
      <w:r>
        <w:rPr>
          <w:noProof/>
        </w:rPr>
        <w:t>skej agentúry pre pohraničnú a pobrežnú stráž v porovnaní s celkovým počtom kusov vybavenia, ktoré je zaregistrované v rezerve technického vybavenia Európskej agentúry pre pohraničnú a pobrežnú stráž.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Počet projektov alebo tokov spolupráce, ktoré sa rea</w:t>
      </w:r>
      <w:r>
        <w:rPr>
          <w:noProof/>
        </w:rPr>
        <w:t>lizujú s podporou nástroja medzi vnútroštátnymi agentúrami a národným koordinačným centrom Eurosur.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>Počet zamestnancov, ktorí s podporou nástroja absolvovali odbornú prípravu týkajúcu sa jednotlivých aspektov integrovaného riadenia hraníc.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7.</w:t>
      </w:r>
      <w:r>
        <w:rPr>
          <w:noProof/>
        </w:rPr>
        <w:tab/>
        <w:t>Počet funk</w:t>
      </w:r>
      <w:r>
        <w:rPr>
          <w:noProof/>
        </w:rPr>
        <w:t>cií informačných systémov, ktorých vývin, implementácia, údržba alebo modernizácia sa uskutočnila s podporou nástroja, a to aj na účely interoperability: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SISII;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ETIAS;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EES;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VIS na účely riadenia hraníc;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Eurodac na účely riadenia hraníc;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počet pripojení inf</w:t>
      </w:r>
      <w:r>
        <w:rPr>
          <w:noProof/>
        </w:rPr>
        <w:t>ormačných systémov na európsky vyhľadávací portál, ktoré boli financované s podporou nástroja;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akékoľvek iné rozsiahle informačné systémy v rámci rozsahu pôsobnosti tohto nariadenia.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8.</w:t>
      </w:r>
      <w:r>
        <w:rPr>
          <w:noProof/>
        </w:rPr>
        <w:tab/>
        <w:t>Počet odporúčaní vyplývajúcich zo schengenského hodnotenia v oblasti h</w:t>
      </w:r>
      <w:r>
        <w:rPr>
          <w:noProof/>
        </w:rPr>
        <w:t>raníc a odporúčaní vyplývajúcich z posúdenie zraniteľnosti, ktoré sa implementovali s podporou nástroja v porovnaní s celkovým počtom odporúčaní, ktoré majú finančné dôsledky.</w:t>
      </w:r>
    </w:p>
    <w:p w:rsidR="002D59C3" w:rsidRDefault="00DC4210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Špecifický cieľ 2: Podpora spoločnej vízovej politiky v záujme umožnenia legi</w:t>
      </w:r>
      <w:r>
        <w:rPr>
          <w:noProof/>
        </w:rPr>
        <w:t>tímneho cestovania a predchádzania rizikám súvisiacim s migráciou a bezpečnosťou: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Počet konzulátov mimo schengenského priestoru, ktoré boli zriadené alebo zmodernizované s podporou nástroja v porovnaní s celkovým počtom konzulátov členského štátu, ktoré</w:t>
      </w:r>
      <w:r>
        <w:rPr>
          <w:noProof/>
        </w:rPr>
        <w:t xml:space="preserve"> boli zriadené alebo zmodernizované mimo schengenského priestoru.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Počet zamestnancov, ktorí s podporou nástroja absolvovali odbornú prípravu týkajúcu sa jednotlivých aspektov spoločnej vízovej politiky a počet kurzov takejto odbornej prípravy.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Počet </w:t>
      </w:r>
      <w:r>
        <w:rPr>
          <w:noProof/>
        </w:rPr>
        <w:t>funkcií informačných systémov, ktorých vývin, implementácia, údržba alebo modernizácia sa uskutočnila s podporou nástroja, a to aj na účely interoperability: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VIS;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EES;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akékoľvek iné rozsiahle informačné systémy v rámci rozsahu pôsobnosti tohto nariadenia.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Počet jednotlivých foriem spolupráce členských štátov pri spracovávaní žiadostí o víza, ktorá bola nadviazaná a prehĺbená s podporou nástroja: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spoločné umiestnenie;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spoločné centrá pre podávanie žiadostí o víza;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zastúpenia;</w:t>
      </w:r>
    </w:p>
    <w:p w:rsidR="002D59C3" w:rsidRDefault="00DC4210">
      <w:pPr>
        <w:pStyle w:val="ListNumberLevel3"/>
        <w:rPr>
          <w:noProof/>
        </w:rPr>
      </w:pPr>
      <w:r>
        <w:rPr>
          <w:noProof/>
        </w:rPr>
        <w:t>iné.</w:t>
      </w:r>
    </w:p>
    <w:p w:rsidR="002D59C3" w:rsidRDefault="00DC4210"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Počet odporúčaní vypl</w:t>
      </w:r>
      <w:r>
        <w:rPr>
          <w:noProof/>
        </w:rPr>
        <w:t>ývajúcich zo schengenského hodnotenia v oblasti spoločnej vízovej politiky, ktoré sa implementovali s podporou nástroja v porovnaní s celkovým počtom odporúčaní, ktoré majú finančné dôsledky.</w:t>
      </w:r>
    </w:p>
    <w:p w:rsidR="002D59C3" w:rsidRPr="00DC4210" w:rsidRDefault="00DC4210"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>Počet krajín, na ktoré sa vzťahuje vízová povinnosť, v ktorýc</w:t>
      </w:r>
      <w:r>
        <w:rPr>
          <w:noProof/>
        </w:rPr>
        <w:t>h sa vďaka podpore nástroja zvýšil počet prítomných alebo zastúpených členských štátov.</w:t>
      </w:r>
    </w:p>
    <w:sectPr w:rsidR="002D59C3" w:rsidRPr="00DC4210" w:rsidSect="00DC4210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94735D" w15:done="0"/>
  <w15:commentEx w15:paraId="30D37473" w15:done="0"/>
  <w15:commentEx w15:paraId="7AE64374" w15:done="0"/>
  <w15:commentEx w15:paraId="335CCE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C3" w:rsidRDefault="00DC4210">
      <w:pPr>
        <w:spacing w:before="0" w:after="0"/>
      </w:pPr>
      <w:r>
        <w:separator/>
      </w:r>
    </w:p>
  </w:endnote>
  <w:endnote w:type="continuationSeparator" w:id="0">
    <w:p w:rsidR="002D59C3" w:rsidRDefault="00DC4210">
      <w:pPr>
        <w:spacing w:before="0" w:after="0"/>
      </w:pPr>
      <w:r>
        <w:continuationSeparator/>
      </w:r>
    </w:p>
  </w:endnote>
  <w:endnote w:type="continuationNotice" w:id="1">
    <w:p w:rsidR="002D59C3" w:rsidRDefault="002D59C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0" w:rsidRPr="00DC4210" w:rsidRDefault="00DC4210" w:rsidP="00DC4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0" w:rsidRPr="00DC4210" w:rsidRDefault="00DC4210" w:rsidP="00DC4210">
    <w:pPr>
      <w:pStyle w:val="Footer"/>
      <w:rPr>
        <w:rFonts w:ascii="Arial" w:hAnsi="Arial" w:cs="Arial"/>
        <w:b/>
        <w:sz w:val="48"/>
      </w:rPr>
    </w:pPr>
    <w:r w:rsidRPr="00DC4210">
      <w:rPr>
        <w:rFonts w:ascii="Arial" w:hAnsi="Arial" w:cs="Arial"/>
        <w:b/>
        <w:sz w:val="48"/>
      </w:rPr>
      <w:t>SK</w:t>
    </w:r>
    <w:r w:rsidRPr="00DC4210">
      <w:rPr>
        <w:rFonts w:ascii="Arial" w:hAnsi="Arial" w:cs="Arial"/>
        <w:b/>
        <w:sz w:val="48"/>
      </w:rPr>
      <w:tab/>
    </w:r>
    <w:r w:rsidRPr="00DC4210">
      <w:rPr>
        <w:rFonts w:ascii="Arial" w:hAnsi="Arial" w:cs="Arial"/>
        <w:b/>
        <w:sz w:val="48"/>
      </w:rPr>
      <w:tab/>
    </w:r>
    <w:r w:rsidRPr="00DC4210">
      <w:tab/>
    </w:r>
    <w:proofErr w:type="spellStart"/>
    <w:r w:rsidRPr="00DC4210">
      <w:rPr>
        <w:rFonts w:ascii="Arial" w:hAnsi="Arial" w:cs="Arial"/>
        <w:b/>
        <w:sz w:val="48"/>
      </w:rPr>
      <w:t>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0" w:rsidRPr="00DC4210" w:rsidRDefault="00DC4210" w:rsidP="00DC42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0" w:rsidRPr="00DC4210" w:rsidRDefault="00DC4210" w:rsidP="00DC4210">
    <w:pPr>
      <w:pStyle w:val="Footer"/>
      <w:rPr>
        <w:rFonts w:ascii="Arial" w:hAnsi="Arial" w:cs="Arial"/>
        <w:b/>
        <w:sz w:val="48"/>
      </w:rPr>
    </w:pPr>
    <w:r w:rsidRPr="00DC4210">
      <w:rPr>
        <w:rFonts w:ascii="Arial" w:hAnsi="Arial" w:cs="Arial"/>
        <w:b/>
        <w:sz w:val="48"/>
      </w:rPr>
      <w:t>SK</w:t>
    </w:r>
    <w:r w:rsidRPr="00DC421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 w:rsidRPr="00DC4210">
      <w:tab/>
    </w:r>
    <w:r w:rsidRPr="00DC4210"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0" w:rsidRPr="00DC4210" w:rsidRDefault="00DC4210" w:rsidP="00DC4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C3" w:rsidRDefault="00DC4210">
      <w:pPr>
        <w:spacing w:before="0" w:after="0"/>
      </w:pPr>
      <w:r>
        <w:separator/>
      </w:r>
    </w:p>
  </w:footnote>
  <w:footnote w:type="continuationSeparator" w:id="0">
    <w:p w:rsidR="002D59C3" w:rsidRDefault="00DC4210">
      <w:pPr>
        <w:spacing w:before="0" w:after="0"/>
      </w:pPr>
      <w:r>
        <w:continuationSeparator/>
      </w:r>
    </w:p>
  </w:footnote>
  <w:footnote w:type="continuationNotice" w:id="1">
    <w:p w:rsidR="002D59C3" w:rsidRDefault="002D59C3">
      <w:pPr>
        <w:spacing w:before="0" w:after="0"/>
      </w:pPr>
    </w:p>
  </w:footnote>
  <w:footnote w:id="2">
    <w:p w:rsidR="002D59C3" w:rsidRDefault="00DC4210">
      <w:pPr>
        <w:pStyle w:val="FootnoteText"/>
      </w:pPr>
      <w:r>
        <w:rPr>
          <w:rStyle w:val="FootnoteReference"/>
        </w:rPr>
        <w:footnoteRef/>
      </w:r>
      <w:r>
        <w:tab/>
        <w:t xml:space="preserve">Nariadenie Európskeho parlamentu a Rady (EÚ) č. 1052/2013 z 22. októbra 2013, ktorým sa zriaďuje európsky systém hraničného </w:t>
      </w:r>
      <w:r>
        <w:t>dozoru (</w:t>
      </w:r>
      <w:proofErr w:type="spellStart"/>
      <w:r>
        <w:t>Eurosur</w:t>
      </w:r>
      <w:proofErr w:type="spellEnd"/>
      <w:r>
        <w:t>), (Ú. v. EÚ L 295, 6.11.2013, p. 11).</w:t>
      </w:r>
    </w:p>
  </w:footnote>
  <w:footnote w:id="3">
    <w:p w:rsidR="002D59C3" w:rsidRDefault="00DC4210">
      <w:pPr>
        <w:pStyle w:val="FootnoteText"/>
      </w:pPr>
      <w:r>
        <w:rPr>
          <w:rStyle w:val="FootnoteReference"/>
        </w:rPr>
        <w:footnoteRef/>
      </w:r>
      <w:r>
        <w:tab/>
      </w:r>
      <w:r>
        <w:t>Nariadenie Rady (ES) č. 539/2001 z 15. marca 2001 uvádzajúce zoznam tretích krajín, ktorých štátni príslušníci musia mať víza pri prekračovaní vonkajších hraníc členských štátov a krajín, ktorých štát</w:t>
      </w:r>
      <w:r>
        <w:t>ni príslušníci sú oslobodení od tejto povinnosti.</w:t>
      </w:r>
    </w:p>
  </w:footnote>
  <w:footnote w:id="4">
    <w:p w:rsidR="002D59C3" w:rsidRDefault="00DC4210">
      <w:pPr>
        <w:pStyle w:val="FootnoteText"/>
      </w:pPr>
      <w:r>
        <w:rPr>
          <w:rStyle w:val="FootnoteReference"/>
        </w:rPr>
        <w:footnoteRef/>
      </w:r>
      <w:r>
        <w:tab/>
      </w:r>
      <w:r>
        <w:t>Nariadenie Európskeho parlamentu a Rady (ES) č. 810/2009 z 13. júla 2009, ktorým sa ustanovuje vízový kódex Spoločenstva (vízový kódex) (Ú. v. EÚ L 243, 15.9.2009, s. 1).</w:t>
      </w:r>
    </w:p>
  </w:footnote>
  <w:footnote w:id="5">
    <w:p w:rsidR="002D59C3" w:rsidRDefault="00DC4210">
      <w:pPr>
        <w:pStyle w:val="FootnoteText"/>
      </w:pPr>
      <w:r>
        <w:rPr>
          <w:rStyle w:val="FootnoteReference"/>
        </w:rPr>
        <w:footnoteRef/>
      </w:r>
      <w:r>
        <w:tab/>
      </w:r>
      <w:r>
        <w:t>Ú. v. EÚ L […], […], s.</w:t>
      </w:r>
    </w:p>
  </w:footnote>
  <w:footnote w:id="6">
    <w:p w:rsidR="002D59C3" w:rsidRDefault="00DC4210">
      <w:pPr>
        <w:pStyle w:val="FootnoteText"/>
      </w:pPr>
      <w:r>
        <w:rPr>
          <w:rStyle w:val="FootnoteReference"/>
        </w:rPr>
        <w:footnoteRef/>
      </w:r>
      <w:r>
        <w:tab/>
      </w:r>
      <w:r>
        <w:t>Údaje</w:t>
      </w:r>
      <w:r>
        <w:t xml:space="preserve"> pre tento ukazovateľ získavajú členské štáty prostredníctvom vízového informačného systému (VIS) a Komisia môže tieto údaje v budúcnosti použiť na účely predkladania správ a štatistík, kým sa neukončia rokovania o návrhu Komisie na nariadenie Európskeho p</w:t>
      </w:r>
      <w:r>
        <w:t>arlamentu a Rady, ktorým sa mení nariadenie (ES) č. 767/2008, nariadenie (ES) č. 810/2009, nariadenie (EÚ) 2017/2226, nariadenie (EÚ) 2016/399, nariadenie XX/2018 [nariadenie o </w:t>
      </w:r>
      <w:proofErr w:type="spellStart"/>
      <w:r>
        <w:t>interoperabilite</w:t>
      </w:r>
      <w:proofErr w:type="spellEnd"/>
      <w:r>
        <w:t>] a rozhodnutie 2004/512/ES a ruší rozhodnutie Rady 2008/633/JH</w:t>
      </w:r>
      <w:r>
        <w:t xml:space="preserve">A [COM(2018) 302 </w:t>
      </w:r>
      <w:proofErr w:type="spellStart"/>
      <w:r>
        <w:t>final</w:t>
      </w:r>
      <w:proofErr w:type="spellEnd"/>
      <w:r>
        <w:t xml:space="preserve"> zo 16. 5. 2018].</w:t>
      </w:r>
    </w:p>
  </w:footnote>
  <w:footnote w:id="7">
    <w:p w:rsidR="002D59C3" w:rsidRDefault="00DC4210">
      <w:pPr>
        <w:pStyle w:val="FootnoteText"/>
      </w:pPr>
      <w:r>
        <w:rPr>
          <w:rStyle w:val="FootnoteReference"/>
        </w:rPr>
        <w:footnoteRef/>
      </w:r>
      <w:r>
        <w:tab/>
      </w:r>
      <w:r>
        <w:t>Idem.</w:t>
      </w:r>
    </w:p>
  </w:footnote>
  <w:footnote w:id="8">
    <w:p w:rsidR="002D59C3" w:rsidRDefault="00DC4210">
      <w:pPr>
        <w:pStyle w:val="FootnoteText"/>
      </w:pPr>
      <w:r>
        <w:rPr>
          <w:rStyle w:val="FootnoteReference"/>
        </w:rPr>
        <w:footnoteRef/>
      </w:r>
      <w:r>
        <w:tab/>
      </w:r>
      <w:r>
        <w:t>Nariadenie Európskeho parlamentu a Rady (EÚ) 1624/2016 zo 14. septembra 2016 o európskej pohraničnej a pobrežnej stráži (Ú. v. EÚ L 251, 16.9.2016, s.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0" w:rsidRPr="00DC4210" w:rsidRDefault="00DC4210" w:rsidP="00DC4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0" w:rsidRPr="00DC4210" w:rsidRDefault="00DC4210" w:rsidP="00DC4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0" w:rsidRPr="00DC4210" w:rsidRDefault="00DC4210" w:rsidP="00DC4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8A286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5019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034BF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2DEFC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2EE98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49E39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BA8AE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18"/>
  </w:num>
  <w:num w:numId="19">
    <w:abstractNumId w:val="7"/>
  </w:num>
  <w:num w:numId="20">
    <w:abstractNumId w:val="13"/>
  </w:num>
  <w:num w:numId="21">
    <w:abstractNumId w:val="15"/>
  </w:num>
  <w:num w:numId="22">
    <w:abstractNumId w:val="16"/>
  </w:num>
  <w:num w:numId="23">
    <w:abstractNumId w:val="9"/>
  </w:num>
  <w:num w:numId="24">
    <w:abstractNumId w:val="14"/>
  </w:num>
  <w:num w:numId="25">
    <w:abstractNumId w:val="21"/>
  </w:num>
  <w:num w:numId="26">
    <w:abstractNumId w:val="17"/>
  </w:num>
  <w:num w:numId="27">
    <w:abstractNumId w:val="11"/>
  </w:num>
  <w:num w:numId="28">
    <w:abstractNumId w:val="19"/>
  </w:num>
  <w:num w:numId="29">
    <w:abstractNumId w:val="10"/>
  </w:num>
  <w:num w:numId="30">
    <w:abstractNumId w:val="12"/>
  </w:num>
  <w:num w:numId="31">
    <w:abstractNumId w:val="8"/>
  </w:num>
  <w:num w:numId="32">
    <w:abstractNumId w:val="18"/>
  </w:num>
  <w:num w:numId="33">
    <w:abstractNumId w:val="7"/>
  </w:num>
  <w:num w:numId="34">
    <w:abstractNumId w:val="13"/>
  </w:num>
  <w:num w:numId="35">
    <w:abstractNumId w:val="15"/>
  </w:num>
  <w:num w:numId="36">
    <w:abstractNumId w:val="16"/>
  </w:num>
  <w:num w:numId="37">
    <w:abstractNumId w:val="9"/>
  </w:num>
  <w:num w:numId="38">
    <w:abstractNumId w:val="14"/>
  </w:num>
  <w:num w:numId="39">
    <w:abstractNumId w:val="21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ZILIUS Matthijs (HOME)">
    <w15:presenceInfo w15:providerId="None" w15:userId="KORZILIUS Matthijs (HOM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2 14:47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7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8"/>
    <w:docVar w:name="LW_ANNEX_UNIQUE" w:val="0"/>
    <w:docVar w:name="LW_CORRIGENDUM" w:val="&lt;UNUSED&gt;"/>
    <w:docVar w:name="LW_COVERPAGE_EXISTS" w:val="True"/>
    <w:docVar w:name="LW_COVERPAGE_GUID" w:val="1D034F65-B39D-4845-8A59-18EEC743B186"/>
    <w:docVar w:name="LW_COVERPAGE_TYPE" w:val="1"/>
    <w:docVar w:name="LW_CROSSREFERENCE" w:val="{SEC(2018) 315 final}_x000d__x000a_{SWD(2018) 347 final}_x000d__x000a_{SWD(2018) 348 final}"/>
    <w:docVar w:name="LW_DocType" w:val="ANNEX"/>
    <w:docVar w:name="LW_EMISSION" w:val="12. 6. 2018"/>
    <w:docVar w:name="LW_EMISSION_ISODATE" w:val="2018-06-12"/>
    <w:docVar w:name="LW_EMISSION_LOCATION" w:val="BRX"/>
    <w:docVar w:name="LW_EMISSION_PREFIX" w:val="V \u352?trasburgu"/>
    <w:docVar w:name="LW_EMISSION_SUFFIX" w:val="&lt;EMPTY&gt;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ako sú\u269?as\u357? Fondu pre integrované riadenie hraníc zria\u271?uje nástroj finan\u269?nej podpory na riadenie hraníc a víza"/>
    <w:docVar w:name="LW_OBJETACTEPRINCIPAL.CP" w:val="ktorým sa ako sú\u269?as\u357? Fondu pre integrované riadenie hraníc zria\u271?uje nástroj finan\u269?nej podpory na riadenie hraníc a víz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4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Y"/>
    <w:docVar w:name="LW_TYPE.DOC.CP" w:val="PRÍLOHY"/>
    <w:docVar w:name="LW_TYPEACTEPRINCIPAL" w:val="NARIADENIU EURÓPSKEHO PARLAMENTU A RADY,"/>
    <w:docVar w:name="LW_TYPEACTEPRINCIPAL.CP" w:val="NARIADENIU EURÓPSKEHO PARLAMENTU A RADY,"/>
  </w:docVars>
  <w:rsids>
    <w:rsidRoot w:val="002D59C3"/>
    <w:rsid w:val="002D59C3"/>
    <w:rsid w:val="00D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hAnsi="Times New Roman" w:cs="Times New Roman"/>
      <w:sz w:val="24"/>
      <w:lang w:val="sk-SK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1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C421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C421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C4210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C421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DC421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DC42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DC42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hAnsi="Times New Roman" w:cs="Times New Roman"/>
      <w:sz w:val="24"/>
      <w:lang w:val="sk-SK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1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C421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C421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C4210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C421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DC421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DC42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DC42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Status xmlns="ecb15db4-ed30-44b8-936d-866dfb363429">Not Started</EC_Collab_Status>
    <EC_Collab_DocumentLanguage xmlns="ecb15db4-ed30-44b8-936d-866dfb363429">EN</EC_Collab_DocumentLanguage>
    <EC_Collab_Reference xmlns="ecb15db4-ed30-44b8-936d-866dfb3634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EEC478DD6A9D14FA3FACDBA8C5653AF" ma:contentTypeVersion="0" ma:contentTypeDescription="Create a new document in this library." ma:contentTypeScope="" ma:versionID="fe3c46eca262d0e3d4d7066fb9279683">
  <xsd:schema xmlns:xsd="http://www.w3.org/2001/XMLSchema" xmlns:xs="http://www.w3.org/2001/XMLSchema" xmlns:p="http://schemas.microsoft.com/office/2006/metadata/properties" xmlns:ns2="http://schemas.microsoft.com/sharepoint/v3/fields" xmlns:ns3="ecb15db4-ed30-44b8-936d-866dfb363429" targetNamespace="http://schemas.microsoft.com/office/2006/metadata/properties" ma:root="true" ma:fieldsID="107a704e15c5850d638383fa27437db5" ns2:_="" ns3:_="">
    <xsd:import namespace="http://schemas.microsoft.com/sharepoint/v3/fields"/>
    <xsd:import namespace="ecb15db4-ed30-44b8-936d-866dfb36342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15db4-ed30-44b8-936d-866dfb36342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9128-EBAB-4572-86A1-985F0653AF12}">
  <ds:schemaRefs>
    <ds:schemaRef ds:uri="ecb15db4-ed30-44b8-936d-866dfb363429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/field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9F0C856-E578-4C97-8706-51E280FC5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cb15db4-ed30-44b8-936d-866dfb363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EBD6C-0664-4A2A-B11D-D27BF7731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9627F-DB49-4CFE-8287-EE7FF954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17</Pages>
  <Words>4014</Words>
  <Characters>25008</Characters>
  <Application>Microsoft Office Word</Application>
  <DocSecurity>0</DocSecurity>
  <Lines>595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2018-06-07T07:42:00Z</cp:lastPrinted>
  <dcterms:created xsi:type="dcterms:W3CDTF">2018-06-22T08:33:00Z</dcterms:created>
  <dcterms:modified xsi:type="dcterms:W3CDTF">2018-06-22T14:11:00Z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8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0x010100258AA79CEB83498886A3A0868112325000BEEC478DD6A9D14FA3FACDBA8C5653AF</vt:lpwstr>
  </property>
  <property fmtid="{D5CDD505-2E9C-101B-9397-08002B2CF9AE}" pid="14" name="DQCStatus">
    <vt:lpwstr>Yellow (DQC version 03)</vt:lpwstr>
  </property>
</Properties>
</file>