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DC05623-40A8-40B5-8E3B-3EE51B544AB3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 2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  <w:r>
        <w:rPr>
          <w:caps/>
          <w:noProof/>
        </w:rPr>
        <w:t xml:space="preserve">Tableau de correspondance 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trHeight w:val="833"/>
        </w:trPr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Décision 2008/633/JAI du Conseil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Règlement (CE) nº 767/2008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</w:t>
            </w:r>
            <w:r>
              <w:rPr>
                <w:noProof/>
                <w:vertAlign w:val="superscript"/>
              </w:rPr>
              <w:t>er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Objet et champ d’application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</w:t>
            </w:r>
            <w:r>
              <w:rPr>
                <w:noProof/>
                <w:vertAlign w:val="superscript"/>
              </w:rPr>
              <w:t>er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Objet et champ d’application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2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Définitions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4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Définitions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3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Autorités et points d’accès centraux désignés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Article 22 </w:t>
            </w:r>
            <w:r>
              <w:rPr>
                <w:i/>
                <w:noProof/>
              </w:rPr>
              <w:t>duodecies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Autorités désignées des États membres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Article 22 </w:t>
            </w:r>
            <w:r>
              <w:rPr>
                <w:i/>
                <w:noProof/>
              </w:rPr>
              <w:t>terdecies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Europol 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4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Procédure d’accès au VIS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Article 22 </w:t>
            </w:r>
            <w:r>
              <w:rPr>
                <w:i/>
                <w:noProof/>
              </w:rPr>
              <w:t>quaterdecies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Procédure d’accès au VIS à des fins répressives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5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Conditions d’accès aux données du VIS par les autorités désignées des États membres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Article 22 </w:t>
            </w:r>
            <w:r>
              <w:rPr>
                <w:i/>
                <w:noProof/>
              </w:rPr>
              <w:t>quindecies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Conditions d’accès des autorités désignées des États membres aux données du VIS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6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Conditions d’accès aux données du VIS par les autorités désignées d’un État membre à l’égard duquel le règlement (CE) nº 767/2008 n’est pas encore entré en vigueur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Article 22 </w:t>
            </w:r>
            <w:r>
              <w:rPr>
                <w:i/>
                <w:noProof/>
              </w:rPr>
              <w:t>novodecies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Conditions d’accès aux données du VIS par les autorités désignées d’un État membre à l’égard duquel le règlement n’est pas encore entré en vigueur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7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Conditions de l’accès d’Europol aux données du VIS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Article 22 </w:t>
            </w:r>
            <w:r>
              <w:rPr>
                <w:i/>
                <w:noProof/>
              </w:rPr>
              <w:t>septdecies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Procédure et conditions d’accès d’Europol aux données du VIS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8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Protection des données à caractère personnel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Chapitre VI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Droits et surveillance en matière de protection des données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9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Sécurité des données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32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Sécurité des données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10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Responsabilité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33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Responsabilité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11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Autocontrôle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35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Autocontrôle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12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Sanctions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36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Sanctions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13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Conservation des données du VIS dans les fichiers nationaux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30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Conservation des données du VIS dans des fichiers nationaux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14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Droit d’accès, de rectification et d’effacement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38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Droit d’accès, de rectification et d’effacement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15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Coûts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Sans objet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16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Établissement de relevés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Article 22 </w:t>
            </w:r>
            <w:r>
              <w:rPr>
                <w:i/>
                <w:noProof/>
              </w:rPr>
              <w:t>octodecies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Registre et documentation</w:t>
            </w:r>
          </w:p>
        </w:tc>
      </w:tr>
      <w:tr>
        <w:trPr>
          <w:trHeight w:val="902"/>
        </w:trP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17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Suivi et évaluation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Article 50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Suivi et évaluation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06-25 15:39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u"/>
    <w:docVar w:name="LW_ACCOMPAGNANT.CP" w:val="du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DC05623-40A8-40B5-8E3B-3EE51B544AB3"/>
    <w:docVar w:name="LW_COVERPAGE_TYPE" w:val="1"/>
    <w:docVar w:name="LW_CROSSREFERENCE" w:val="{SEC(2018) 236 final}_x000b_{SWD(2018) 195 final}_x000b_{SWD(2018) 196 final}"/>
    <w:docVar w:name="LW_DocType" w:val="ANNEX"/>
    <w:docVar w:name="LW_EMISSION" w:val="16.5.2018"/>
    <w:docVar w:name="LW_EMISSION_ISODATE" w:val="2018-05-16"/>
    <w:docVar w:name="LW_EMISSION_LOCATION" w:val="BRX"/>
    <w:docVar w:name="LW_EMISSION_PREFIX" w:val="Bruxelles, le"/>
    <w:docVar w:name="LW_EMISSION_SUFFIX" w:val="&lt;EMPTY&gt;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modifiant le règlement (CE) nº&lt;LWCR:NBS&gt;767/2008, le règlement (CE) nº&lt;LWCR:NBS&gt;810/2009, le règlement&lt;LWCR:NBS&gt;(UE) 2017/2226, le règlement (UE) 2016/399, le règlement (UE) nº&lt;LWCR:NBS&gt;XX/2018 [règlement sur l\u8217?interopérabilité] et la décision 2004/512/CE et abrogeant la décision 2008/633/JAI du Conseil_x000b_"/>
    <w:docVar w:name="LW_OBJETACTEPRINCIPAL.CP" w:val="modifiant le règlement (CE) nº 767/2008, le règlement (CE) nº 810/2009, le règlement (UE) 2017/2226, le règlement (UE) 2016/399, le règlement (UE) nº XX/2018 [règlement sur l\u8217?interopérabilité] et la décision 2004/512/CE et abrogeant la décision 2008/633/JAI du Conseil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Règlement du Parlement européen et du Conseil"/>
    <w:docVar w:name="LW_TYPEACTEPRINCIPAL.CP" w:val="Règlement du Parlement européen et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291</Words>
  <Characters>1656</Characters>
  <Application>Microsoft Office Word</Application>
  <DocSecurity>0</DocSecurity>
  <Lines>97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cp:lastPrinted>2018-06-22T07:57:00Z</cp:lastPrinted>
  <dcterms:created xsi:type="dcterms:W3CDTF">2018-06-22T09:12:00Z</dcterms:created>
  <dcterms:modified xsi:type="dcterms:W3CDTF">2018-06-25T13:39:00Z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