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B" w:rsidRDefault="00103ACB" w:rsidP="00103AC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92AAF0D1-965E-4E2F-8589-40713EDBD65F" style="width:450.75pt;height:397.5pt">
            <v:imagedata r:id="rId11" o:title=""/>
          </v:shape>
        </w:pict>
      </w:r>
    </w:p>
    <w:p w:rsidR="00AE6C7B" w:rsidRDefault="00AE6C7B">
      <w:pPr>
        <w:rPr>
          <w:noProof/>
        </w:rPr>
        <w:sectPr w:rsidR="00AE6C7B" w:rsidSect="00103A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E6C7B" w:rsidRDefault="00103ACB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I. MELLÉKLET</w:t>
      </w:r>
    </w:p>
    <w:p w:rsidR="00AE6C7B" w:rsidRDefault="00AE6C7B">
      <w:pPr>
        <w:spacing w:before="0" w:line="276" w:lineRule="auto"/>
        <w:jc w:val="center"/>
        <w:rPr>
          <w:noProof/>
        </w:rPr>
      </w:pPr>
    </w:p>
    <w:p w:rsidR="00AE6C7B" w:rsidRDefault="00103ACB">
      <w:pPr>
        <w:spacing w:before="0" w:line="276" w:lineRule="auto"/>
        <w:rPr>
          <w:noProof/>
        </w:rPr>
      </w:pPr>
      <w:r>
        <w:rPr>
          <w:noProof/>
        </w:rPr>
        <w:t xml:space="preserve">A 3. cikk (2) bekezdésében felsorolt egyedi célkitűzések a program egésze tekintetében nagy vonalakban az e mellékletben ismertetett </w:t>
      </w:r>
      <w:r>
        <w:rPr>
          <w:noProof/>
        </w:rPr>
        <w:t>tevékenységek mentén kerülnek megvalósításra. Ezen egyedi célkitűzések végrehajtása révén a program támogatja a tagállamokat az Euratom-jogszabályok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végrehajtásában, továbbá megerősíti a tagállamok és a magánszektor kutatási erőfeszítéseit.</w:t>
      </w:r>
    </w:p>
    <w:p w:rsidR="00AE6C7B" w:rsidRDefault="00103ACB">
      <w:pPr>
        <w:spacing w:before="0" w:line="276" w:lineRule="auto"/>
        <w:rPr>
          <w:noProof/>
        </w:rPr>
      </w:pPr>
      <w:r>
        <w:rPr>
          <w:noProof/>
        </w:rPr>
        <w:t>Az egyedi célk</w:t>
      </w:r>
      <w:r>
        <w:rPr>
          <w:noProof/>
        </w:rPr>
        <w:t>itűzések elérése érdekében a program olyan, több területet érintő tevékenységeket is támogatni fog, amelyek a közös kihívások megoldása keretében biztosítják a kutatási erőfeszítések szinergiáját. A Horizont Európa megfelelő kapcsolatokat és interfészeket,</w:t>
      </w:r>
      <w:r>
        <w:rPr>
          <w:noProof/>
        </w:rPr>
        <w:t xml:space="preserve"> például közös pályázati felhívásokat fog biztosítani. A kapcsolódó kutatási és innovációs tevékenységek az alapok által a [közös rendelkezésekről szóló rendelet] rendelet alapján nyújtott pénzügyi támogatásban is részesülhetnek, amennyiben az összhangban </w:t>
      </w:r>
      <w:r>
        <w:rPr>
          <w:noProof/>
        </w:rPr>
        <w:t>van az alapok célkitűzéseivel és rendelkezéseivel.</w:t>
      </w:r>
    </w:p>
    <w:p w:rsidR="00AE6C7B" w:rsidRDefault="00103ACB">
      <w:pPr>
        <w:spacing w:before="0" w:line="276" w:lineRule="auto"/>
        <w:rPr>
          <w:noProof/>
        </w:rPr>
      </w:pPr>
      <w:r>
        <w:rPr>
          <w:noProof/>
        </w:rPr>
        <w:t>Az e mellékletben felsorolt tevékenységek közé tartozik a békés célú nukleáris kutatás és innováció terén folytatott, közös célokon és kölcsönös bizalmon alapuló nemzetközi együttműködés, amelynek célja, h</w:t>
      </w:r>
      <w:r>
        <w:rPr>
          <w:noProof/>
        </w:rPr>
        <w:t>ogy egyértelmű és jelentős előnyöket biztosítson az Unió, annak polgárai és környezete számára. Idetartozik a többoldalú keretek (pl. NAÜ, IEA, OECD, ITER, GIF) között folytatott nemzetközi együttműködés. A IV. Generációs Nemzetközi Fórumon (GIF) az Eurato</w:t>
      </w:r>
      <w:r>
        <w:rPr>
          <w:noProof/>
        </w:rPr>
        <w:t>m végrehajtó szerveként eljárva a Közös Kutatóközpont továbbra is összehangolja a Közösségnek a szóban forgó fórum munkájában való részvételét.</w:t>
      </w:r>
    </w:p>
    <w:p w:rsidR="00AE6C7B" w:rsidRDefault="00103ACB">
      <w:pPr>
        <w:spacing w:before="0" w:line="276" w:lineRule="auto"/>
        <w:rPr>
          <w:noProof/>
        </w:rPr>
      </w:pPr>
      <w:r>
        <w:rPr>
          <w:noProof/>
        </w:rPr>
        <w:t>A munkaprogramok prioritásait a Bizottság határozza meg a szakpolitikai prioritások, valamint a nemzeti hatóságo</w:t>
      </w:r>
      <w:r>
        <w:rPr>
          <w:noProof/>
        </w:rPr>
        <w:t>k és az olyan testületekbe vagy keretekbe tömörülő, a nukleáris kutatásban érdekelt felek által szolgáltatott információk alapján, mint például a nukleáris rendszerekkel és a biztonsággal, a radioaktív hulladékok kezelésével, a kiégett nukleáris fűtőelemek</w:t>
      </w:r>
      <w:r>
        <w:rPr>
          <w:noProof/>
        </w:rPr>
        <w:t>kel és a sugárvédelemmel/alacsony dózisú kockázattal, a nukleáris biztosítékokkal és a biztonsággal, a fúziós kutatással foglalkozó az európai technológiai platformok, szövetségek, kezdeményezések és technikai fórumok vagy a nukleáris tevékenységekben érde</w:t>
      </w:r>
      <w:r>
        <w:rPr>
          <w:noProof/>
        </w:rPr>
        <w:t>kelt felek bármely releváns szervezete vagy fóruma.</w:t>
      </w:r>
    </w:p>
    <w:p w:rsidR="00AE6C7B" w:rsidRDefault="00103ACB">
      <w:pPr>
        <w:keepNext/>
        <w:spacing w:before="0" w:line="276" w:lineRule="auto"/>
        <w:rPr>
          <w:noProof/>
        </w:rPr>
      </w:pPr>
      <w:r>
        <w:rPr>
          <w:noProof/>
        </w:rPr>
        <w:lastRenderedPageBreak/>
        <w:t>A következő területeken végzett kutatás és képzés támogatható a programból:</w:t>
      </w:r>
    </w:p>
    <w:p w:rsidR="00AE6C7B" w:rsidRDefault="00103ACB">
      <w:pPr>
        <w:pStyle w:val="Point0"/>
        <w:rPr>
          <w:b/>
          <w:i/>
          <w:noProof/>
          <w:szCs w:val="24"/>
        </w:rPr>
      </w:pPr>
      <w:r>
        <w:rPr>
          <w:b/>
          <w:i/>
          <w:noProof/>
        </w:rPr>
        <w:t>a)</w:t>
      </w:r>
      <w:r>
        <w:rPr>
          <w:b/>
          <w:i/>
          <w:noProof/>
        </w:rPr>
        <w:tab/>
        <w:t>Az ionizáló sugárzás biztonságos és védett nukleáris energetikai és nem energiatermelési célú felhasználásának javítása, ideé</w:t>
      </w:r>
      <w:r>
        <w:rPr>
          <w:b/>
          <w:i/>
          <w:noProof/>
        </w:rPr>
        <w:t>rtve a nukleáris biztonságot, védelmet és biztosítékokat, a sugárvédelmet, a kiégett fűtőelemek és a radioaktív hulladékok biztonságos kezelését, valamint a leszerelést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b/>
          <w:noProof/>
        </w:rPr>
        <w:t>Nukleáris biztonság:</w:t>
      </w:r>
      <w:r>
        <w:rPr>
          <w:noProof/>
        </w:rPr>
        <w:t xml:space="preserve"> a Közösségben működő reaktorrendszerek és nukleáris üzemanyagciklusok, illetve – amennyiben a nukleáris biztonsággal kapcsolatos széles körű európai szakértelem biztosítása érdekében szükséges – a jövőben esetlegesen alkalmazásra kerülő reaktortípusok és </w:t>
      </w:r>
      <w:r>
        <w:rPr>
          <w:noProof/>
        </w:rPr>
        <w:t>nukleáris üzemanyagciklusok biztonsága, kizárólag a biztonsági szempontokra összpontosítva, beleértve az üzemanyagciklus összes aspektusát – például a particionálást és a transzmutációt.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b/>
          <w:noProof/>
        </w:rPr>
        <w:t>A kiégett fűtőelemek és a radioaktív hulladékok biztonságos kezelé</w:t>
      </w:r>
      <w:r>
        <w:rPr>
          <w:b/>
          <w:noProof/>
        </w:rPr>
        <w:t>se:</w:t>
      </w:r>
      <w:r>
        <w:rPr>
          <w:noProof/>
        </w:rPr>
        <w:t xml:space="preserve"> a köztes, nagy aktivitású és hosszú élettartamú radioaktív hulladékok és kiégett fűtőelemek, valamint egyéb olyan radioaktívhulladék-áramok és -típusok kezelése és különösen elhelyezése, amelyek esetében jelenleg nem léteznek iparilag kiforrott eljárás</w:t>
      </w:r>
      <w:r>
        <w:rPr>
          <w:noProof/>
        </w:rPr>
        <w:t>ok; A radioaktív hulladékok mennyiségének minimalizálása és e hulladék radiotoxicitásának csökkentése; A radioaktív hulladékok és kiégett fűtőelemek kezelésével kapcsolatos tudás és kompetenciák kezelése, valamint a generációk és a tagállami programok közö</w:t>
      </w:r>
      <w:r>
        <w:rPr>
          <w:noProof/>
        </w:rPr>
        <w:t>tti átadása.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b/>
          <w:noProof/>
        </w:rPr>
        <w:t>Leszerelés:</w:t>
      </w:r>
      <w:r>
        <w:rPr>
          <w:noProof/>
        </w:rPr>
        <w:t xml:space="preserve"> a nukleáris létesítmények leszereléséhez és környezetvédelmi rehabilitációjához szükséges technológiák fejlesztését és értékelését támogató kutatás; a leszereléssel kapcsolatos legjobb gyakorlatok és ismeretek megosztásának támo</w:t>
      </w:r>
      <w:r>
        <w:rPr>
          <w:noProof/>
        </w:rPr>
        <w:t>gatása.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Nukleáris tudomány és az ionizáló sugárzás alkalmazásai, sugárvédelem, veszélyhelyzeti felkészültség:</w:t>
      </w:r>
    </w:p>
    <w:p w:rsidR="00AE6C7B" w:rsidRDefault="00103ACB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A nukleáris tudomány és az ionizáló sugárzási technológiák alkalmazásai a gyógyászati, ipari és kutatási területeken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Az ipari, gyógyászati vagy</w:t>
      </w:r>
      <w:r>
        <w:rPr>
          <w:noProof/>
        </w:rPr>
        <w:t xml:space="preserve"> környezeti kitettségből eredő csekély sugárdózisok kockázatai.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Veszélyhelyzeti felkészültség a sugárterheléssel járó balesetekre, valamint a radioökológiával kapcsolatos kutatás.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radioizotópok biztosítása és felhasználása.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sugárzó anyagok környezetben</w:t>
      </w:r>
      <w:r>
        <w:rPr>
          <w:noProof/>
        </w:rPr>
        <w:t xml:space="preserve"> való terjedésének modelljeire irányuló kutatás, valamint az adatcsere, a riasztási rendszerek és a mérési technikákkal kapcsolatos együttműködés támogatása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(végrehajtására közvetlen cselekvések révén kerül sor).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A nukleáris védelem, a nukleáris biztos</w:t>
      </w:r>
      <w:r>
        <w:rPr>
          <w:noProof/>
        </w:rPr>
        <w:t>ítéki rendszer és a nonproliferáció (végrehajtására közvetlen cselekvések révén kerül sor).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közösségi és a nemzetközi biztosítéki rendszer támogatására és megerősítésére szolgáló módszerek és technológiák.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lastRenderedPageBreak/>
        <w:t>Az Euratom biztosítéki rendszerére vonatkozó ope</w:t>
      </w:r>
      <w:r>
        <w:rPr>
          <w:noProof/>
        </w:rPr>
        <w:t>ratív támogatás és képzés.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Technikai támogatás az atomsorompó-szerződés végrehajtásához a nukleáris biztosítékok területén, beleértve az uniós exportellenőrzési rendszer megerősítésének támogatását.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globális CBRN (vegyi, biológiai, radiológiai, nukleáris</w:t>
      </w:r>
      <w:r>
        <w:rPr>
          <w:noProof/>
        </w:rPr>
        <w:t>) keret és a kapcsolódó közösségi stratégiák támogatása.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szabályozási ellenőrzés hatókörén kívül eső nukleáris és radioaktív anyagok felderítésére, valamint az ilyen anyagokat érintő események megelőzésére és kezelésére szolgáló módszerek és technológia,</w:t>
      </w:r>
      <w:r>
        <w:rPr>
          <w:noProof/>
        </w:rPr>
        <w:t xml:space="preserve"> beleértve a nukleáris kriminalisztikát is.</w:t>
      </w:r>
    </w:p>
    <w:p w:rsidR="00AE6C7B" w:rsidRDefault="00103ACB">
      <w:pPr>
        <w:pStyle w:val="Tiret2"/>
        <w:rPr>
          <w:noProof/>
        </w:rPr>
      </w:pPr>
      <w:r>
        <w:rPr>
          <w:noProof/>
        </w:rPr>
        <w:t>A nukleáris védelemmel kapcsolatos kapacitásépítés támogatása az Európai Nukleáris Védettségi Képzési Központ segítségével.</w:t>
      </w:r>
    </w:p>
    <w:p w:rsidR="00AE6C7B" w:rsidRDefault="00AE6C7B">
      <w:pPr>
        <w:pStyle w:val="ListParagraph"/>
        <w:spacing w:before="0"/>
        <w:ind w:left="1440"/>
        <w:rPr>
          <w:noProof/>
        </w:rPr>
      </w:pPr>
    </w:p>
    <w:p w:rsidR="00AE6C7B" w:rsidRDefault="00103ACB">
      <w:pPr>
        <w:pStyle w:val="Point0"/>
        <w:rPr>
          <w:b/>
          <w:i/>
          <w:noProof/>
        </w:rPr>
      </w:pPr>
      <w:r>
        <w:rPr>
          <w:b/>
          <w:i/>
          <w:noProof/>
        </w:rPr>
        <w:t>b)</w:t>
      </w:r>
      <w:r>
        <w:rPr>
          <w:b/>
          <w:i/>
          <w:noProof/>
        </w:rPr>
        <w:tab/>
        <w:t>A szakértelem és a kompetencia fenntartása és továbbfejlesztése az Unión belül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 xml:space="preserve">Oktatás, képzés és mobilitás, beleértve az olyan oktatási és képzési programokat, mint a Marie Skłodowska-Curie-cselekvések. 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A nukleáris tudomány és technológia innovációjának, tudásmenedzsmentjének, terjesztésének és hasznosításának előmozdítása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 </w:t>
      </w:r>
      <w:r>
        <w:rPr>
          <w:noProof/>
        </w:rPr>
        <w:t>kutatás területéről az iparnak történő technológiaátadás támogatása.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A versenyképes európai fúziósenergia-ipari kapacitás előkészítésének és fejlesztésének támogatása.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Az európai és nemzetközi kutatási infrastruktúrák, köztük a JRC infrastruktúrái bi</w:t>
      </w:r>
      <w:r>
        <w:rPr>
          <w:noProof/>
        </w:rPr>
        <w:t>ztosításának</w:t>
      </w:r>
      <w:r>
        <w:rPr>
          <w:rStyle w:val="FootnoteReference"/>
          <w:noProof/>
        </w:rPr>
        <w:footnoteReference w:id="4"/>
      </w:r>
      <w:r>
        <w:rPr>
          <w:noProof/>
        </w:rPr>
        <w:t>, rendelkezésre bocsátásának és a hozzájuk való megfelelő hozzáférés biztosításának támogatása.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A nukleáris tudomány mint a szabványosítás támogatása alapjának előmozdítása érdekében a közvetlen cselekvések a nukleáris biztonsággal, biztosí</w:t>
      </w:r>
      <w:r>
        <w:rPr>
          <w:noProof/>
        </w:rPr>
        <w:t>tékokkal és védelemmel, valamint egyéb alkalmazásokkal, például a nukleáris medicinával kapcsolatos legkorszerűbb referenciaadatokat, anyagokat és méréseket fognak biztosítani.</w:t>
      </w:r>
    </w:p>
    <w:p w:rsidR="00AE6C7B" w:rsidRDefault="00103ACB">
      <w:pPr>
        <w:pStyle w:val="Point0"/>
        <w:rPr>
          <w:b/>
          <w:i/>
          <w:noProof/>
        </w:rPr>
      </w:pPr>
      <w:r>
        <w:rPr>
          <w:b/>
          <w:i/>
          <w:noProof/>
        </w:rPr>
        <w:t>c)</w:t>
      </w:r>
      <w:r>
        <w:rPr>
          <w:b/>
          <w:i/>
          <w:noProof/>
        </w:rPr>
        <w:tab/>
        <w:t>A fúziós energia fejlesztésének előmozdítása és a fúziós ütemterv végrehajtá</w:t>
      </w:r>
      <w:r>
        <w:rPr>
          <w:b/>
          <w:i/>
          <w:noProof/>
        </w:rPr>
        <w:t>sához való hozzájárulás</w:t>
      </w:r>
    </w:p>
    <w:p w:rsidR="00AE6C7B" w:rsidRDefault="00103ACB">
      <w:pPr>
        <w:spacing w:before="0"/>
        <w:rPr>
          <w:rFonts w:eastAsia="Times New Roman"/>
          <w:i/>
          <w:noProof/>
        </w:rPr>
      </w:pPr>
      <w:r>
        <w:rPr>
          <w:noProof/>
        </w:rPr>
        <w:t>Egy, a fúziósenergia-kutatással foglalkozó társfinanszírozott európai partnerség fogja végrehajtani azt az ütemtervet, amelynek célja a magfúzión alapuló villamosenergia-termelés kidolgozása e század második felére. Ez többek között</w:t>
      </w:r>
      <w:r>
        <w:rPr>
          <w:noProof/>
        </w:rPr>
        <w:t xml:space="preserve"> a következőket foglalhatja magában: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A meglévő és jövőbeli fúziós létesítmények kiaknázása. E célból adott esetben működési támogatásokat lehet nyújtani a fúziós kutatási infrastruktúrákhoz.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 jövőbeni fúziós erőművek előkészítése valamennyi </w:t>
      </w:r>
      <w:r>
        <w:rPr>
          <w:noProof/>
        </w:rPr>
        <w:t>vonatkozó szempont, köztük az anyagok, a technológiák és a tervek fejlesztésével.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Célzott oktatási és képzési program végrehajtása a b) pont (1) bekezdése szerinti tevékenységeken túlmenően.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A Fúziósenergia-fejlesztési és ITER Európai Közös Vállalkoz</w:t>
      </w:r>
      <w:r>
        <w:rPr>
          <w:noProof/>
        </w:rPr>
        <w:t>ással közös tevékenységek koordinálása.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Együttműködés az ITER-szervezettel.</w:t>
      </w:r>
    </w:p>
    <w:p w:rsidR="00AE6C7B" w:rsidRDefault="00103ACB"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Tudományos együttműködés az Euratom nemzetközi megállapodások keretében.</w:t>
      </w:r>
    </w:p>
    <w:p w:rsidR="00AE6C7B" w:rsidRDefault="00103ACB">
      <w:pPr>
        <w:spacing w:before="0"/>
        <w:rPr>
          <w:noProof/>
        </w:rPr>
      </w:pPr>
      <w:r>
        <w:rPr>
          <w:noProof/>
        </w:rPr>
        <w:t>A fúziósenergia-kutatással foglalkozó társfinanszírozott európai partnerség végrehajtása a tagállamok</w:t>
      </w:r>
      <w:r>
        <w:rPr>
          <w:noProof/>
        </w:rPr>
        <w:t xml:space="preserve"> vagy a programhoz társult harmadik országok által létrehozott vagy kijelölt jogalanyok részére odaítélt vissza nem térítendő támogatás révén fog történni. A vissza nem térítendő támogatásnak részét képezhetik a Közösség természetbeni juttatásai vagy a Biz</w:t>
      </w:r>
      <w:r>
        <w:rPr>
          <w:noProof/>
        </w:rPr>
        <w:t>ottság munkatársainak kirendelése.</w:t>
      </w:r>
    </w:p>
    <w:p w:rsidR="00AE6C7B" w:rsidRDefault="00103ACB">
      <w:pPr>
        <w:pStyle w:val="Point0"/>
        <w:rPr>
          <w:b/>
          <w:i/>
          <w:noProof/>
        </w:rPr>
      </w:pPr>
      <w:r>
        <w:rPr>
          <w:b/>
          <w:i/>
          <w:noProof/>
        </w:rPr>
        <w:t>d)</w:t>
      </w:r>
      <w:r>
        <w:rPr>
          <w:b/>
          <w:i/>
          <w:noProof/>
        </w:rPr>
        <w:tab/>
        <w:t>A Közösség nukleáris biztonságra, biztosítéki rendszerre és védelemre vonatkozó szakpolitikájának támogatása</w:t>
      </w:r>
    </w:p>
    <w:p w:rsidR="00AE6C7B" w:rsidRDefault="00103ACB">
      <w:pPr>
        <w:rPr>
          <w:noProof/>
        </w:rPr>
      </w:pPr>
      <w:r>
        <w:rPr>
          <w:noProof/>
        </w:rPr>
        <w:t>A közvetlen cselekvések független tudományos és műszaki adatok és szakértelem biztosításával fogják biztosíta</w:t>
      </w:r>
      <w:r>
        <w:rPr>
          <w:noProof/>
        </w:rPr>
        <w:t>ni a nukleáris biztonságra, biztosítékokra és védelemre vonatkozó uniós szakpolitikát, valamint a vonatkozó jogszabályok végrehajtását.</w:t>
      </w:r>
    </w:p>
    <w:p w:rsidR="00AE6C7B" w:rsidRDefault="00AE6C7B">
      <w:pPr>
        <w:spacing w:after="240"/>
        <w:contextualSpacing/>
        <w:rPr>
          <w:noProof/>
        </w:rPr>
      </w:pPr>
    </w:p>
    <w:p w:rsidR="00AE6C7B" w:rsidRDefault="00103ACB"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II. MELLÉKLET</w:t>
      </w:r>
    </w:p>
    <w:p w:rsidR="00AE6C7B" w:rsidRDefault="00AE6C7B">
      <w:pPr>
        <w:contextualSpacing/>
        <w:jc w:val="center"/>
        <w:rPr>
          <w:i/>
          <w:noProof/>
        </w:rPr>
      </w:pPr>
    </w:p>
    <w:p w:rsidR="00AE6C7B" w:rsidRDefault="00103ACB">
      <w:pPr>
        <w:keepNext/>
        <w:jc w:val="center"/>
        <w:rPr>
          <w:b/>
          <w:noProof/>
          <w:szCs w:val="24"/>
        </w:rPr>
      </w:pPr>
      <w:r>
        <w:rPr>
          <w:b/>
          <w:noProof/>
        </w:rPr>
        <w:t>Kulcsfontosságú hatásútvonal-mutatók</w:t>
      </w:r>
    </w:p>
    <w:p w:rsidR="00AE6C7B" w:rsidRDefault="00103ACB">
      <w:pPr>
        <w:spacing w:after="0"/>
        <w:rPr>
          <w:noProof/>
        </w:rPr>
      </w:pPr>
      <w:r>
        <w:rPr>
          <w:noProof/>
        </w:rPr>
        <w:t>Az Euratom-program egyedi célkitűzéseinek megvalósítása tekintetéb</w:t>
      </w:r>
      <w:r>
        <w:rPr>
          <w:noProof/>
        </w:rPr>
        <w:t>en a program teljesítményének nyomon követését hatásútvonalak és kapcsolódó kulcsfontosságú hatásútvonal-mutatók strukturálják. A hatásútvonalak időérzékenyek: különbséget kell tenni a rövid távúak, a középtávúak és a hosszú távúak között. A hatásútvonal-m</w:t>
      </w:r>
      <w:r>
        <w:rPr>
          <w:noProof/>
        </w:rPr>
        <w:t>utatók helyettesítő mutatóként szolgáltatnak információt az egyedi célkitűzések eléréséről. A Horizont Európa programmal közös kulcsfontosságú hatásútvonal-mutatókat alátámasztó mikroadatok gyűjtése központilag irányított és összehangolt módon, a kedvezmén</w:t>
      </w:r>
      <w:r>
        <w:rPr>
          <w:noProof/>
        </w:rPr>
        <w:t>yezettek számára minimális jelentési teher mellett fog történni. A kulcsfontosságú hatásútvonal-mutatókat a program végrehajtása során tovább lehet finomítani.</w:t>
      </w:r>
    </w:p>
    <w:p w:rsidR="00AE6C7B" w:rsidRDefault="00AE6C7B">
      <w:pPr>
        <w:ind w:left="720"/>
        <w:contextualSpacing/>
        <w:rPr>
          <w:i/>
          <w:noProof/>
        </w:rPr>
      </w:pPr>
    </w:p>
    <w:p w:rsidR="00AE6C7B" w:rsidRDefault="00103ACB">
      <w:pPr>
        <w:spacing w:before="0"/>
        <w:rPr>
          <w:b/>
          <w:noProof/>
        </w:rPr>
      </w:pPr>
      <w:r>
        <w:rPr>
          <w:b/>
          <w:noProof/>
        </w:rPr>
        <w:t>Tudományos hatásútvonal-mutatók</w:t>
      </w:r>
    </w:p>
    <w:p w:rsidR="00AE6C7B" w:rsidRDefault="00103ACB">
      <w:pPr>
        <w:spacing w:before="0"/>
        <w:rPr>
          <w:noProof/>
        </w:rPr>
      </w:pPr>
      <w:r>
        <w:rPr>
          <w:noProof/>
        </w:rPr>
        <w:t>A program várhatóan előrelépést fog elérni a nukleáris biztonsá</w:t>
      </w:r>
      <w:r>
        <w:rPr>
          <w:noProof/>
        </w:rPr>
        <w:t>g és védelem megerősítésére, az ionizáló sugárzás biztonságos alkalmazásaira, a kiégett fűtőelemek és a radioaktív hulladékok kezelésére, a sugárvédelemre és a fúziós energia fejlesztésére vonatkozó ismeretek tekintetében. Az e területen elért haladást a t</w:t>
      </w:r>
      <w:r>
        <w:rPr>
          <w:noProof/>
        </w:rPr>
        <w:t>udományos publikációkra, a fúziós ütemterv végrehajtásában elért haladásra, a szakértelem és a készségek fejlesztésére, valamint a kutatási infrastruktúrákhoz való hozzáférésre vonatkozó mutatók mérik.</w:t>
      </w:r>
    </w:p>
    <w:p w:rsidR="00AE6C7B" w:rsidRDefault="00AE6C7B">
      <w:pPr>
        <w:rPr>
          <w:noProof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753"/>
        <w:gridCol w:w="2625"/>
        <w:gridCol w:w="14"/>
        <w:gridCol w:w="1848"/>
        <w:gridCol w:w="52"/>
        <w:gridCol w:w="2747"/>
      </w:tblGrid>
      <w:tr w:rsidR="00AE6C7B">
        <w:trPr>
          <w:trHeight w:val="327"/>
        </w:trPr>
        <w:tc>
          <w:tcPr>
            <w:tcW w:w="2201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 tudományos hatás felé</w:t>
            </w:r>
          </w:p>
        </w:tc>
        <w:tc>
          <w:tcPr>
            <w:tcW w:w="2294" w:type="dxa"/>
            <w:gridSpan w:val="2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Rövid távú</w:t>
            </w:r>
          </w:p>
        </w:tc>
        <w:tc>
          <w:tcPr>
            <w:tcW w:w="2352" w:type="dxa"/>
            <w:gridSpan w:val="2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ind w:left="-10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Középtávú</w:t>
            </w:r>
          </w:p>
        </w:tc>
        <w:tc>
          <w:tcPr>
            <w:tcW w:w="2192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Hosszabb</w:t>
            </w:r>
            <w:r>
              <w:rPr>
                <w:b/>
                <w:noProof/>
                <w:sz w:val="20"/>
              </w:rPr>
              <w:t xml:space="preserve"> távú</w:t>
            </w:r>
          </w:p>
        </w:tc>
      </w:tr>
      <w:tr w:rsidR="00AE6C7B">
        <w:trPr>
          <w:trHeight w:val="1242"/>
        </w:trPr>
        <w:tc>
          <w:tcPr>
            <w:tcW w:w="2201" w:type="dxa"/>
            <w:vMerge w:val="restart"/>
            <w:vAlign w:val="center"/>
          </w:tcPr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ionizáló sugárzás biztonságos és védett nukleáris energetikai és nem energiatermelési célú felhasználásának javítása, ideértve a nukleáris biztonságot, védelmet és biztosítékokat, a sugárvédelmet, a kiégett fűtőelemek és a radioaktív hulladékok</w:t>
            </w:r>
            <w:r>
              <w:rPr>
                <w:noProof/>
                <w:sz w:val="20"/>
              </w:rPr>
              <w:t xml:space="preserve"> biztonságos kezelését, valamint a leszerelést.</w:t>
            </w:r>
          </w:p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Publikációk</w:t>
            </w:r>
            <w:r>
              <w:rPr>
                <w:noProof/>
                <w:sz w:val="20"/>
              </w:rPr>
              <w:t xml:space="preserve"> –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Euratom-programhoz tartozó, szakértői értékelés keretében lektorált tudományos publikációk száma</w:t>
            </w:r>
          </w:p>
          <w:p w:rsidR="00AE6C7B" w:rsidRDefault="00AE6C7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Idézettség</w:t>
            </w:r>
            <w:r>
              <w:rPr>
                <w:noProof/>
                <w:sz w:val="20"/>
              </w:rPr>
              <w:t xml:space="preserve"> –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Euratom-programhoz tartozó, szakértői értékelés keretében lektorált tudomány</w:t>
            </w:r>
            <w:r>
              <w:rPr>
                <w:noProof/>
                <w:sz w:val="20"/>
              </w:rPr>
              <w:t>os publikációk tudományterületek alapján súlyozott idézettségi mutatója</w:t>
            </w:r>
          </w:p>
          <w:p w:rsidR="00AE6C7B" w:rsidRDefault="00AE6C7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92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Világszínvonalú tudomány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Az Euratom-programból származó, az adott tudományterülethez lényegi hozzájárulást képviselő, szakértői értékelés keretében lektorált publikációk száma és ar</w:t>
            </w:r>
            <w:r>
              <w:rPr>
                <w:noProof/>
                <w:sz w:val="20"/>
              </w:rPr>
              <w:t xml:space="preserve">ánya </w:t>
            </w:r>
          </w:p>
        </w:tc>
      </w:tr>
      <w:tr w:rsidR="00AE6C7B">
        <w:trPr>
          <w:trHeight w:val="1242"/>
        </w:trPr>
        <w:tc>
          <w:tcPr>
            <w:tcW w:w="2201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Az ismeretek megosztása</w:t>
            </w:r>
            <w:r>
              <w:rPr>
                <w:noProof/>
                <w:sz w:val="20"/>
              </w:rPr>
              <w:t xml:space="preserve"> – </w:t>
            </w:r>
          </w:p>
          <w:p w:rsidR="00AE6C7B" w:rsidRDefault="00103ACB">
            <w:pPr>
              <w:jc w:val="center"/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</w:rPr>
              <w:t>A nyílt tudásinfrastruktúrán keresztül megosztott kutatási outputok (nyílt hozzáférésű adatok/publikációk/szoftverek stb.) aránya</w:t>
            </w:r>
          </w:p>
        </w:tc>
        <w:tc>
          <w:tcPr>
            <w:tcW w:w="2352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  <w:u w:val="single"/>
              </w:rPr>
              <w:t>Ismeretterjesztés</w:t>
            </w:r>
            <w:r>
              <w:rPr>
                <w:noProof/>
                <w:sz w:val="20"/>
              </w:rPr>
              <w:t xml:space="preserve">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Az aktívan használt/idézett nyílt hozzáférésű kutatási outputok aránya</w:t>
            </w:r>
          </w:p>
        </w:tc>
        <w:tc>
          <w:tcPr>
            <w:tcW w:w="2192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  <w:u w:val="single"/>
              </w:rPr>
              <w:t>Új együttműködések</w:t>
            </w:r>
            <w:r>
              <w:rPr>
                <w:noProof/>
                <w:sz w:val="20"/>
              </w:rPr>
              <w:t xml:space="preserve">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Az Euratom-program azon kedvezményezettjeinek aránya, amelyek új, tudományágakon/ágazatokon átnyúló együttműködést alakítottak ki az Euratom-program égisze alatt született nyílt hozzáférésű K+I outputjaik felhasználóival</w:t>
            </w:r>
          </w:p>
        </w:tc>
      </w:tr>
      <w:tr w:rsidR="00AE6C7B">
        <w:trPr>
          <w:trHeight w:val="327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18"/>
              </w:rPr>
              <w:t>A fúziós ener</w:t>
            </w:r>
            <w:r>
              <w:rPr>
                <w:noProof/>
                <w:sz w:val="18"/>
              </w:rPr>
              <w:t>gia fejlesztésének előmozdítása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A fúziós ütemterv végrehajtásában elért előrehaladás</w:t>
            </w:r>
            <w:r>
              <w:rPr>
                <w:noProof/>
                <w:sz w:val="20"/>
              </w:rPr>
              <w:t xml:space="preserve"> –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magfúziós menetrendben a 2021-től 2025</w:t>
            </w:r>
            <w:r>
              <w:rPr>
                <w:noProof/>
              </w:rPr>
              <w:noBreakHyphen/>
            </w:r>
            <w:r>
              <w:rPr>
                <w:noProof/>
                <w:sz w:val="20"/>
              </w:rPr>
              <w:t>ig tartó időszakra meghatározott azon mérföldkövek százalékos aránya, amelyeket az Euratom-programnak köszönhetően sikerült elér</w:t>
            </w:r>
            <w:r>
              <w:rPr>
                <w:noProof/>
                <w:sz w:val="20"/>
              </w:rPr>
              <w:t>ni</w:t>
            </w:r>
          </w:p>
        </w:tc>
      </w:tr>
      <w:tr w:rsidR="00AE6C7B">
        <w:trPr>
          <w:trHeight w:val="327"/>
        </w:trPr>
        <w:tc>
          <w:tcPr>
            <w:tcW w:w="2201" w:type="dxa"/>
            <w:vMerge w:val="restart"/>
            <w:vAlign w:val="center"/>
          </w:tcPr>
          <w:p w:rsidR="00AE6C7B" w:rsidRDefault="00AE6C7B">
            <w:pPr>
              <w:rPr>
                <w:noProof/>
                <w:sz w:val="18"/>
              </w:rPr>
            </w:pPr>
          </w:p>
          <w:p w:rsidR="00AE6C7B" w:rsidRDefault="00103A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 szakértelem és a kiválóság fenntartása és továbbfejlesztése az Unión belül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Készségek</w:t>
            </w:r>
            <w:r>
              <w:rPr>
                <w:noProof/>
                <w:sz w:val="20"/>
              </w:rPr>
              <w:t xml:space="preserve"> 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 részeként szervezett továbbképzési tevékenységekben részt vett kutatók száma (képzés, mobilitás és az infrastruktúrához való hozzáférés révén)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Karrierek</w:t>
            </w:r>
            <w:r>
              <w:rPr>
                <w:noProof/>
                <w:sz w:val="20"/>
              </w:rPr>
              <w:t xml:space="preserve"> 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Az olyan továbbképzett kutatók száma és aránya, akik nagyobb hatással vannak K+I területeikre 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Munkakörülmények –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  <w:szCs w:val="18"/>
              </w:rPr>
              <w:br/>
            </w:r>
            <w:r>
              <w:rPr>
                <w:noProof/>
                <w:sz w:val="20"/>
              </w:rPr>
              <w:t>Az olyan továbbképzett kutatók száma és aránya, akiknek javultak a munkakörülményei</w:t>
            </w:r>
            <w:r>
              <w:rPr>
                <w:noProof/>
                <w:sz w:val="21"/>
              </w:rPr>
              <w:t xml:space="preserve"> </w:t>
            </w:r>
          </w:p>
        </w:tc>
      </w:tr>
      <w:tr w:rsidR="00AE6C7B">
        <w:trPr>
          <w:trHeight w:val="327"/>
        </w:trPr>
        <w:tc>
          <w:tcPr>
            <w:tcW w:w="2201" w:type="dxa"/>
            <w:vMerge/>
            <w:vAlign w:val="center"/>
          </w:tcPr>
          <w:p w:rsidR="00AE6C7B" w:rsidRDefault="00AE6C7B">
            <w:pPr>
              <w:rPr>
                <w:noProof/>
                <w:sz w:val="18"/>
              </w:rPr>
            </w:pP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Azon kutatók száma, akik a program </w:t>
            </w:r>
            <w:r>
              <w:rPr>
                <w:noProof/>
                <w:sz w:val="20"/>
              </w:rPr>
              <w:t>támogatásának köszönhetően férnek hozzá kutatási infrastruktúrához.</w:t>
            </w:r>
          </w:p>
        </w:tc>
      </w:tr>
      <w:tr w:rsidR="00AE6C7B">
        <w:trPr>
          <w:trHeight w:val="327"/>
        </w:trPr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AE6C7B" w:rsidRDefault="00AE6C7B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Könyvtárba átadott referenciaanyagok és beépített referenciamérések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módosított nemzetközi szabványok száma</w:t>
            </w:r>
          </w:p>
        </w:tc>
      </w:tr>
    </w:tbl>
    <w:p w:rsidR="00AE6C7B" w:rsidRDefault="00103ACB">
      <w:pPr>
        <w:keepNext/>
        <w:rPr>
          <w:b/>
          <w:noProof/>
        </w:rPr>
      </w:pPr>
      <w:r>
        <w:rPr>
          <w:b/>
          <w:noProof/>
        </w:rPr>
        <w:t>Társadalmi hatásútvonal-mutatók</w:t>
      </w:r>
    </w:p>
    <w:p w:rsidR="00AE6C7B" w:rsidRDefault="00103ACB">
      <w:pPr>
        <w:rPr>
          <w:noProof/>
        </w:rPr>
      </w:pPr>
      <w:r>
        <w:rPr>
          <w:noProof/>
        </w:rPr>
        <w:t xml:space="preserve">A program a kutatás és innováció révén a </w:t>
      </w:r>
      <w:r>
        <w:rPr>
          <w:noProof/>
        </w:rPr>
        <w:t>nukleáris biztonság és védelem, a sugárvédelem és az ionizáló sugárzás alkalmazásaira vonatkozó uniós szakpolitikai prioritások kezelését segíti, amint azt az e területeken jelentkező kihívások kezeléséhez hozzájáruló outputokat létrehozó projektek is igaz</w:t>
      </w:r>
      <w:r>
        <w:rPr>
          <w:noProof/>
        </w:rPr>
        <w:t>olják. A nukleáris védettség és a nukleáris biztosítékok terén történt konkrét fejlődéssel a társadalmi hatást is mérik.</w:t>
      </w:r>
    </w:p>
    <w:p w:rsidR="00AE6C7B" w:rsidRDefault="00AE6C7B">
      <w:pPr>
        <w:rPr>
          <w:noProof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583"/>
        <w:gridCol w:w="2204"/>
        <w:gridCol w:w="1024"/>
        <w:gridCol w:w="1076"/>
        <w:gridCol w:w="2152"/>
      </w:tblGrid>
      <w:tr w:rsidR="00AE6C7B">
        <w:trPr>
          <w:trHeight w:val="327"/>
        </w:trPr>
        <w:tc>
          <w:tcPr>
            <w:tcW w:w="2583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 társadalmi hatások felé</w:t>
            </w:r>
          </w:p>
        </w:tc>
        <w:tc>
          <w:tcPr>
            <w:tcW w:w="2204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Rövid távú</w:t>
            </w:r>
          </w:p>
        </w:tc>
        <w:tc>
          <w:tcPr>
            <w:tcW w:w="2100" w:type="dxa"/>
            <w:gridSpan w:val="2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ind w:left="-10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Középtávú</w:t>
            </w:r>
          </w:p>
        </w:tc>
        <w:tc>
          <w:tcPr>
            <w:tcW w:w="2152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Hosszabb távú</w:t>
            </w:r>
          </w:p>
        </w:tc>
      </w:tr>
      <w:tr w:rsidR="00AE6C7B">
        <w:trPr>
          <w:trHeight w:val="921"/>
        </w:trPr>
        <w:tc>
          <w:tcPr>
            <w:tcW w:w="2583" w:type="dxa"/>
            <w:vMerge w:val="restart"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ionizáló sugárzás biztonságos és védett nukleáris energetikai és nem</w:t>
            </w:r>
            <w:r>
              <w:rPr>
                <w:noProof/>
                <w:sz w:val="20"/>
              </w:rPr>
              <w:t xml:space="preserve"> energiatermelési célú felhasználásának javítása, ideértve a nukleáris biztonságot, védelmet és biztosítékokat, a sugárvédelmet, a kiégett fűtőelemek és a radioaktív hulladékok biztonságos kezelését, valamint a leszerelést</w:t>
            </w:r>
          </w:p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04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Outputok</w:t>
            </w:r>
            <w:r>
              <w:rPr>
                <w:noProof/>
                <w:sz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Az egyedi uniós szak</w:t>
            </w:r>
            <w:r>
              <w:rPr>
                <w:noProof/>
                <w:sz w:val="18"/>
              </w:rPr>
              <w:t>politikai prioritások kezelését célzó outputok száma és aránya</w:t>
            </w:r>
          </w:p>
        </w:tc>
        <w:tc>
          <w:tcPr>
            <w:tcW w:w="2100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Megoldások</w:t>
            </w:r>
            <w:r>
              <w:rPr>
                <w:noProof/>
                <w:sz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Az egyedi uniós szakpolitikai prioritások kezelését célzó innovációk és tudományos eredmények száma és aránya</w:t>
            </w:r>
          </w:p>
        </w:tc>
        <w:tc>
          <w:tcPr>
            <w:tcW w:w="2152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Előnyök</w:t>
            </w:r>
            <w:r>
              <w:rPr>
                <w:noProof/>
                <w:sz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Az Euratom-program által finanszírozott eredmények használ</w:t>
            </w:r>
            <w:r>
              <w:rPr>
                <w:noProof/>
                <w:sz w:val="18"/>
              </w:rPr>
              <w:t xml:space="preserve">atából eredő összesített becsült hatások az egyes uniós szakpolitikai prioritások kezelése terén, ideértve a jogalkotási és a szakpolitikai döntéshozatali folyamathoz való hozzájárulást </w:t>
            </w:r>
          </w:p>
        </w:tc>
      </w:tr>
      <w:tr w:rsidR="00AE6C7B">
        <w:trPr>
          <w:trHeight w:val="1631"/>
        </w:trPr>
        <w:tc>
          <w:tcPr>
            <w:tcW w:w="2583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nukleáris biztosítékok támogatására nyújtott szolgáltatások száma</w:t>
            </w:r>
            <w:r>
              <w:rPr>
                <w:noProof/>
                <w:sz w:val="20"/>
              </w:rPr>
              <w:t xml:space="preserve"> az Unióban</w:t>
            </w:r>
          </w:p>
        </w:tc>
        <w:tc>
          <w:tcPr>
            <w:tcW w:w="3228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rendelkezésre bocsátott és használatban lévő műszaki rendszerek száma</w:t>
            </w:r>
          </w:p>
        </w:tc>
      </w:tr>
      <w:tr w:rsidR="00AE6C7B">
        <w:trPr>
          <w:trHeight w:val="588"/>
        </w:trPr>
        <w:tc>
          <w:tcPr>
            <w:tcW w:w="2583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6456" w:type="dxa"/>
            <w:gridSpan w:val="4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leginkább érintett tisztviselőknek nyújtott képzések száma</w:t>
            </w:r>
          </w:p>
        </w:tc>
      </w:tr>
      <w:tr w:rsidR="00AE6C7B">
        <w:trPr>
          <w:trHeight w:val="327"/>
        </w:trPr>
        <w:tc>
          <w:tcPr>
            <w:tcW w:w="2583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04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Közös alkotás</w:t>
            </w:r>
            <w:r>
              <w:rPr>
                <w:noProof/>
                <w:sz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 xml:space="preserve">Az Euratom-program azon projektjeinek száma és aránya, amelyekben az uniós polgárok és </w:t>
            </w:r>
            <w:r>
              <w:rPr>
                <w:noProof/>
                <w:sz w:val="18"/>
              </w:rPr>
              <w:t>végfelhasználók hozzájárulnak a K+I tartalmak közös alkotásához</w:t>
            </w:r>
          </w:p>
        </w:tc>
        <w:tc>
          <w:tcPr>
            <w:tcW w:w="2100" w:type="dxa"/>
            <w:gridSpan w:val="2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Részvétel</w:t>
            </w:r>
            <w:r>
              <w:rPr>
                <w:noProof/>
                <w:sz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 xml:space="preserve">Az Euratom-program azon kedvezményezett szervezeteinek száma és aránya, amelyek rendelkeznek polgári és végfelhasználói részvételi mechanizmussal az Euratom-program égisze alatti </w:t>
            </w:r>
            <w:r>
              <w:rPr>
                <w:noProof/>
                <w:sz w:val="18"/>
              </w:rPr>
              <w:t>projektet követően</w:t>
            </w:r>
          </w:p>
        </w:tc>
        <w:tc>
          <w:tcPr>
            <w:tcW w:w="2152" w:type="dxa"/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u w:val="single"/>
              </w:rPr>
              <w:t>A K+I társadalmi elterjedése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Az Euratom-program égisze alatt közösen alkotott tudományos eredmények és innovatív megoldások elterjedése és elérhetősége</w:t>
            </w:r>
          </w:p>
        </w:tc>
      </w:tr>
    </w:tbl>
    <w:p w:rsidR="00AE6C7B" w:rsidRDefault="00AE6C7B">
      <w:pPr>
        <w:rPr>
          <w:noProof/>
        </w:rPr>
      </w:pPr>
    </w:p>
    <w:p w:rsidR="00AE6C7B" w:rsidRDefault="00103ACB">
      <w:pPr>
        <w:keepNext/>
        <w:spacing w:before="0"/>
        <w:rPr>
          <w:b/>
          <w:noProof/>
        </w:rPr>
      </w:pPr>
      <w:r>
        <w:rPr>
          <w:b/>
          <w:noProof/>
        </w:rPr>
        <w:t>Innovációs hatásútvonal-mutatók</w:t>
      </w:r>
    </w:p>
    <w:p w:rsidR="00AE6C7B" w:rsidRDefault="00103ACB">
      <w:pPr>
        <w:spacing w:before="0"/>
        <w:rPr>
          <w:noProof/>
        </w:rPr>
      </w:pPr>
      <w:r>
        <w:rPr>
          <w:noProof/>
        </w:rPr>
        <w:t xml:space="preserve">A program várhatóan olyan innovációs hatásokat </w:t>
      </w:r>
      <w:r>
        <w:rPr>
          <w:noProof/>
        </w:rPr>
        <w:t>eredményez, amelyek elősegítik az egyedi célkitűzései megvalósítását. Az e területen elért haladást a szellemitulajdon-jogokra, az innovatív termékekre, módszerekre és eljárásokra, valamint azok felhasználására, továbbá a munkahelyteremtésre vonatkozó muta</w:t>
      </w:r>
      <w:r>
        <w:rPr>
          <w:noProof/>
        </w:rPr>
        <w:t>tókkal mérik majd.</w:t>
      </w:r>
    </w:p>
    <w:p w:rsidR="00AE6C7B" w:rsidRDefault="00AE6C7B">
      <w:pPr>
        <w:rPr>
          <w:noProof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01"/>
        <w:gridCol w:w="2294"/>
        <w:gridCol w:w="2352"/>
        <w:gridCol w:w="2050"/>
      </w:tblGrid>
      <w:tr w:rsidR="00AE6C7B">
        <w:trPr>
          <w:trHeight w:val="327"/>
        </w:trPr>
        <w:tc>
          <w:tcPr>
            <w:tcW w:w="2201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 gazdasági/innovációs hatás felé</w:t>
            </w:r>
          </w:p>
        </w:tc>
        <w:tc>
          <w:tcPr>
            <w:tcW w:w="2294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Rövid távú</w:t>
            </w:r>
          </w:p>
        </w:tc>
        <w:tc>
          <w:tcPr>
            <w:tcW w:w="2352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ind w:left="-10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Középtávú</w:t>
            </w:r>
          </w:p>
        </w:tc>
        <w:tc>
          <w:tcPr>
            <w:tcW w:w="2050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Hosszabb távú</w:t>
            </w:r>
          </w:p>
        </w:tc>
      </w:tr>
      <w:tr w:rsidR="00AE6C7B">
        <w:trPr>
          <w:trHeight w:val="327"/>
        </w:trPr>
        <w:tc>
          <w:tcPr>
            <w:tcW w:w="2201" w:type="dxa"/>
            <w:vMerge w:val="restart"/>
            <w:vAlign w:val="center"/>
          </w:tcPr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ionizáló sugárzás biztonságos és védett nukleáris energetikai és nem energiatermelési célú felhasználásának javítása, ideértve a nukleáris biztonságot, védelmet és</w:t>
            </w:r>
            <w:r>
              <w:rPr>
                <w:noProof/>
                <w:sz w:val="20"/>
              </w:rPr>
              <w:t xml:space="preserve"> biztosítékokat, a sugárvédelmet, a kiégett fűtőelemek és a radioaktív hulladékok biztonságos kezelését, valamint a leszerelést</w:t>
            </w:r>
          </w:p>
          <w:p w:rsidR="00AE6C7B" w:rsidRDefault="00AE6C7B">
            <w:pPr>
              <w:rPr>
                <w:noProof/>
                <w:sz w:val="20"/>
              </w:rPr>
            </w:pPr>
          </w:p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fúziós energia fejlesztésének előmozdítása</w:t>
            </w:r>
          </w:p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szakértelem és a kiválóság fenntartása és továbbfejlesztése az Unión belül</w:t>
            </w:r>
          </w:p>
        </w:tc>
        <w:tc>
          <w:tcPr>
            <w:tcW w:w="2294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  <w:u w:val="single"/>
              </w:rPr>
              <w:t>Innov</w:t>
            </w:r>
            <w:r>
              <w:rPr>
                <w:noProof/>
                <w:sz w:val="20"/>
                <w:u w:val="single"/>
              </w:rPr>
              <w:t xml:space="preserve">ációs outputok 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Euratom-programból származó innovatív termékek, eljárások, illetve módszerek száma (az innováció típusa szerint), valamint a szellemitulajdon-jog megszerzésére irányuló kérelmek száma</w:t>
            </w:r>
          </w:p>
        </w:tc>
        <w:tc>
          <w:tcPr>
            <w:tcW w:w="2352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Innovációk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 xml:space="preserve">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 Az Euratom-program projektjeiből – k</w:t>
            </w:r>
            <w:r>
              <w:rPr>
                <w:noProof/>
                <w:sz w:val="18"/>
              </w:rPr>
              <w:t>öztük az elismert szellemitulajdon-jogokból – származó innovációk száma (az innováció típusa szerint)</w:t>
            </w:r>
          </w:p>
        </w:tc>
        <w:tc>
          <w:tcPr>
            <w:tcW w:w="2050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Gazdasági növekedés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 xml:space="preserve">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Olyan vállalkozások létrehozása, növekedése és piaci részesedése, amelyek az Euratom-program által finanszírozott innovációkat fejl</w:t>
            </w:r>
            <w:r>
              <w:rPr>
                <w:noProof/>
                <w:sz w:val="20"/>
              </w:rPr>
              <w:t>esztettek</w:t>
            </w:r>
          </w:p>
        </w:tc>
      </w:tr>
      <w:tr w:rsidR="00AE6C7B">
        <w:trPr>
          <w:trHeight w:val="327"/>
        </w:trPr>
        <w:tc>
          <w:tcPr>
            <w:tcW w:w="2201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94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  <w:u w:val="single"/>
              </w:rPr>
              <w:t xml:space="preserve">Támogatott foglalkoztatás – 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 égisze alatti projekt számára a kedvezményezett szervezeteknél teremtett és megőrzött munkahelyek száma teljes munkaidős egyenértékben (a munkahely típusa szerint)</w:t>
            </w:r>
          </w:p>
        </w:tc>
        <w:tc>
          <w:tcPr>
            <w:tcW w:w="2352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Tartós foglalkoztatás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–</w:t>
            </w:r>
          </w:p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A </w:t>
            </w:r>
            <w:r>
              <w:rPr>
                <w:noProof/>
                <w:sz w:val="18"/>
              </w:rPr>
              <w:t>munkahelyek teljes munkaidős egyenértékben kifejezett számának növekedése (a munkahely típusa szerint) a kedvezményezett szervezeteknél az Euratom-projektet követően</w:t>
            </w:r>
          </w:p>
        </w:tc>
        <w:tc>
          <w:tcPr>
            <w:tcW w:w="2050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u w:val="single"/>
              </w:rPr>
              <w:t>Foglalkoztatottság összesen</w:t>
            </w:r>
            <w:r>
              <w:rPr>
                <w:noProof/>
                <w:sz w:val="20"/>
              </w:rPr>
              <w:t xml:space="preserve"> –Az Euratom-program eredményeinek terjesztése következtében te</w:t>
            </w:r>
            <w:r>
              <w:rPr>
                <w:noProof/>
                <w:sz w:val="20"/>
              </w:rPr>
              <w:t>remtett, illetve megőrzött közvetlen és közvetett munkahelyek száma (a munkahely típusa szerint)</w:t>
            </w:r>
          </w:p>
        </w:tc>
      </w:tr>
      <w:tr w:rsidR="00AE6C7B">
        <w:trPr>
          <w:trHeight w:val="327"/>
        </w:trPr>
        <w:tc>
          <w:tcPr>
            <w:tcW w:w="2201" w:type="dxa"/>
            <w:vMerge/>
            <w:vAlign w:val="center"/>
          </w:tcPr>
          <w:p w:rsidR="00AE6C7B" w:rsidRDefault="00AE6C7B">
            <w:pPr>
              <w:rPr>
                <w:noProof/>
                <w:sz w:val="20"/>
              </w:rPr>
            </w:pPr>
          </w:p>
        </w:tc>
        <w:tc>
          <w:tcPr>
            <w:tcW w:w="2294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 kezdeti beruházása segítségével mobilizált köz- és magánberuházások értéke</w:t>
            </w:r>
          </w:p>
        </w:tc>
        <w:tc>
          <w:tcPr>
            <w:tcW w:w="2352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Euratom-program eredményeinek hasznosítása vagy felfuttatása</w:t>
            </w:r>
            <w:r>
              <w:rPr>
                <w:noProof/>
                <w:sz w:val="20"/>
              </w:rPr>
              <w:t xml:space="preserve"> érdekében mobilizált köz- és magánberuházások értéke</w:t>
            </w:r>
          </w:p>
        </w:tc>
        <w:tc>
          <w:tcPr>
            <w:tcW w:w="2050" w:type="dxa"/>
            <w:tcBorders>
              <w:top w:val="single" w:sz="8" w:space="0" w:color="002060"/>
              <w:bottom w:val="single" w:sz="8" w:space="0" w:color="002060"/>
            </w:tcBorders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GDP 3 %-ára vonatkozó célkitűzés megvalósítása felé tett uniós előrehaladás az Euratom-program következtében</w:t>
            </w:r>
          </w:p>
        </w:tc>
      </w:tr>
    </w:tbl>
    <w:p w:rsidR="00AE6C7B" w:rsidRDefault="00AE6C7B">
      <w:pPr>
        <w:spacing w:before="0"/>
        <w:rPr>
          <w:noProof/>
        </w:rPr>
      </w:pPr>
    </w:p>
    <w:p w:rsidR="00AE6C7B" w:rsidRDefault="00103ACB">
      <w:pPr>
        <w:keepNext/>
        <w:spacing w:before="0"/>
        <w:rPr>
          <w:b/>
          <w:noProof/>
        </w:rPr>
      </w:pPr>
      <w:r>
        <w:rPr>
          <w:b/>
          <w:noProof/>
        </w:rPr>
        <w:t>A szakpolitikai hatásra vonatkozó hatásútvonal-mutatók</w:t>
      </w:r>
    </w:p>
    <w:p w:rsidR="00AE6C7B" w:rsidRDefault="00103ACB">
      <w:pPr>
        <w:spacing w:before="0"/>
        <w:rPr>
          <w:noProof/>
        </w:rPr>
      </w:pPr>
      <w:r>
        <w:rPr>
          <w:noProof/>
        </w:rPr>
        <w:t xml:space="preserve">A program tudományos adatokkal </w:t>
      </w:r>
      <w:r>
        <w:rPr>
          <w:noProof/>
        </w:rPr>
        <w:t>szolgál a szakpolitikai döntéshozatalhoz. Ez különösen a más bizottsági szolgálatok számára nyújtott tudományos támogatást érinti, például az Euratom-biztosítékok, illetve a nukleáris és ionizáló sugárzásra vonatkozó irányelvek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tagállamok által végrehajtá</w:t>
      </w:r>
      <w:r>
        <w:rPr>
          <w:noProof/>
        </w:rPr>
        <w:t>sának támogatását.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73"/>
        <w:gridCol w:w="2253"/>
        <w:gridCol w:w="2305"/>
        <w:gridCol w:w="2166"/>
      </w:tblGrid>
      <w:tr w:rsidR="00AE6C7B">
        <w:trPr>
          <w:trHeight w:val="327"/>
        </w:trPr>
        <w:tc>
          <w:tcPr>
            <w:tcW w:w="2201" w:type="dxa"/>
            <w:shd w:val="clear" w:color="auto" w:fill="B3ABAF" w:themeFill="background1" w:themeFillShade="BF"/>
            <w:vAlign w:val="center"/>
          </w:tcPr>
          <w:p w:rsidR="00AE6C7B" w:rsidRDefault="00103ACB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 szakpolitikai hatás felé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Rövid távú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B3ABAF" w:themeFill="background1" w:themeFillShade="BF"/>
            <w:vAlign w:val="center"/>
          </w:tcPr>
          <w:p w:rsidR="00AE6C7B" w:rsidRDefault="00103ACB">
            <w:pPr>
              <w:keepNext/>
              <w:ind w:left="-10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Középtávú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B3ABAF" w:themeFill="background1" w:themeFillShade="BF"/>
            <w:vAlign w:val="center"/>
          </w:tcPr>
          <w:p w:rsidR="00AE6C7B" w:rsidRDefault="00103ACB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Hosszabb távú</w:t>
            </w:r>
          </w:p>
        </w:tc>
      </w:tr>
      <w:tr w:rsidR="00AE6C7B">
        <w:trPr>
          <w:trHeight w:val="883"/>
        </w:trPr>
        <w:tc>
          <w:tcPr>
            <w:tcW w:w="2201" w:type="dxa"/>
            <w:vAlign w:val="center"/>
          </w:tcPr>
          <w:p w:rsidR="00AE6C7B" w:rsidRDefault="00103A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Unió nukleáris biztonságra, biztosítéki rendszerre és védelemre vonatkozó szakpolitikájának támogatása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 xml:space="preserve">Az Euratom-program azon projektjeinek száma és aránya, amelyek </w:t>
            </w:r>
            <w:r>
              <w:rPr>
                <w:noProof/>
                <w:sz w:val="18"/>
              </w:rPr>
              <w:t>szakpolitikai szempontból releváns megállapításokat eredményeztek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Az EU szakpolitikájára kimutatható hatást gyakorló outputok száma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AE6C7B" w:rsidRDefault="00103AC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18"/>
              </w:rPr>
              <w:t>Az Euratom-program azon projektjeinek száma és aránya, amelyek megállapításait szakpolitikai/programozási dokumentumokban i</w:t>
            </w:r>
            <w:r>
              <w:rPr>
                <w:noProof/>
                <w:sz w:val="18"/>
              </w:rPr>
              <w:t>dézték</w:t>
            </w:r>
          </w:p>
        </w:tc>
      </w:tr>
    </w:tbl>
    <w:p w:rsidR="00AE6C7B" w:rsidRDefault="00AE6C7B">
      <w:pPr>
        <w:rPr>
          <w:noProof/>
        </w:rPr>
      </w:pPr>
    </w:p>
    <w:p w:rsidR="00AE6C7B" w:rsidRDefault="00103ACB">
      <w:pPr>
        <w:spacing w:before="0" w:after="200" w:line="276" w:lineRule="auto"/>
        <w:jc w:val="left"/>
        <w:rPr>
          <w:noProof/>
        </w:rPr>
      </w:pPr>
      <w:r>
        <w:rPr>
          <w:noProof/>
        </w:rPr>
        <w:t>A célkitűzéseket mind a közvetett, mind a közvetlen cselekvésekre vonatkozóan a program egyes részeinek várható eredményei alapján kell meghatározni.</w:t>
      </w:r>
    </w:p>
    <w:sectPr w:rsidR="00AE6C7B" w:rsidSect="00103ACB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7B" w:rsidRDefault="00103ACB">
      <w:pPr>
        <w:spacing w:before="0" w:after="0"/>
      </w:pPr>
      <w:r>
        <w:separator/>
      </w:r>
    </w:p>
  </w:endnote>
  <w:endnote w:type="continuationSeparator" w:id="0">
    <w:p w:rsidR="00AE6C7B" w:rsidRDefault="00103ACB">
      <w:pPr>
        <w:spacing w:before="0" w:after="0"/>
      </w:pPr>
      <w:r>
        <w:continuationSeparator/>
      </w:r>
    </w:p>
  </w:endnote>
  <w:endnote w:type="continuationNotice" w:id="1">
    <w:p w:rsidR="00AE6C7B" w:rsidRDefault="00AE6C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7B" w:rsidRPr="00103ACB" w:rsidRDefault="00103ACB" w:rsidP="00103ACB">
    <w:pPr>
      <w:pStyle w:val="Footer"/>
      <w:rPr>
        <w:rFonts w:ascii="Arial" w:hAnsi="Arial" w:cs="Arial"/>
        <w:b/>
        <w:sz w:val="48"/>
      </w:rPr>
    </w:pPr>
    <w:proofErr w:type="gramStart"/>
    <w:r w:rsidRPr="00103ACB">
      <w:rPr>
        <w:rFonts w:ascii="Arial" w:hAnsi="Arial" w:cs="Arial"/>
        <w:b/>
        <w:sz w:val="48"/>
      </w:rPr>
      <w:t>HU</w:t>
    </w:r>
    <w:proofErr w:type="gramEnd"/>
    <w:r w:rsidRPr="00103ACB">
      <w:rPr>
        <w:rFonts w:ascii="Arial" w:hAnsi="Arial" w:cs="Arial"/>
        <w:b/>
        <w:sz w:val="48"/>
      </w:rPr>
      <w:tab/>
    </w:r>
    <w:r w:rsidRPr="00103ACB">
      <w:rPr>
        <w:rFonts w:ascii="Arial" w:hAnsi="Arial" w:cs="Arial"/>
        <w:b/>
        <w:sz w:val="48"/>
      </w:rPr>
      <w:tab/>
    </w:r>
    <w:r w:rsidRPr="00103ACB">
      <w:tab/>
    </w:r>
    <w:proofErr w:type="spellStart"/>
    <w:r w:rsidRPr="00103ACB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Footer"/>
      <w:rPr>
        <w:rFonts w:ascii="Arial" w:hAnsi="Arial" w:cs="Arial"/>
        <w:b/>
        <w:sz w:val="48"/>
      </w:rPr>
    </w:pPr>
    <w:proofErr w:type="gramStart"/>
    <w:r w:rsidRPr="00103ACB">
      <w:rPr>
        <w:rFonts w:ascii="Arial" w:hAnsi="Arial" w:cs="Arial"/>
        <w:b/>
        <w:sz w:val="48"/>
      </w:rPr>
      <w:t>HU</w:t>
    </w:r>
    <w:proofErr w:type="gramEnd"/>
    <w:r w:rsidRPr="00103AC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 w:rsidRPr="00103ACB">
      <w:tab/>
    </w:r>
    <w:r w:rsidRPr="00103ACB"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7B" w:rsidRDefault="00103ACB">
      <w:pPr>
        <w:spacing w:before="0" w:after="0"/>
      </w:pPr>
      <w:r>
        <w:separator/>
      </w:r>
    </w:p>
  </w:footnote>
  <w:footnote w:type="continuationSeparator" w:id="0">
    <w:p w:rsidR="00AE6C7B" w:rsidRDefault="00103ACB">
      <w:pPr>
        <w:spacing w:before="0" w:after="0"/>
      </w:pPr>
      <w:r>
        <w:continuationSeparator/>
      </w:r>
    </w:p>
  </w:footnote>
  <w:footnote w:type="continuationNotice" w:id="1">
    <w:p w:rsidR="00AE6C7B" w:rsidRDefault="00AE6C7B">
      <w:pPr>
        <w:spacing w:before="0" w:after="0"/>
      </w:pPr>
    </w:p>
  </w:footnote>
  <w:footnote w:id="2">
    <w:p w:rsidR="00AE6C7B" w:rsidRDefault="00103ACB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Különösen a 2014. július 8-i 2014/87/Euratom tanácsi irányelvvel módosított, a nukleáris létesítmények nukleáris biztonsági közösségi keretrendszerének létrehozásáról szóló, 2009. június 25-i 2009/71/Euratom tanácsi irányelv; a kiégett fűtőelemek és a radi</w:t>
      </w:r>
      <w:r>
        <w:t>oaktív hulladékok felelősségteljes és biztonságos kezelését szolgáló közösségi keret létrehozásáról szóló, 2011. július 19-i 2011/70/Euratom tanácsi irányelv; a radioaktív hulladékok és a kiégett fűtőelemek szállításának felügyeletéről és ellenőrzéséről sz</w:t>
      </w:r>
      <w:r>
        <w:t>óló, 2006. november 20-i</w:t>
      </w:r>
      <w:proofErr w:type="gramEnd"/>
      <w:r>
        <w:t xml:space="preserve"> </w:t>
      </w:r>
      <w:hyperlink r:id="rId1">
        <w:r>
          <w:rPr>
            <w:rStyle w:val="Hyperlink"/>
            <w:color w:val="auto"/>
          </w:rPr>
          <w:t>2006/117/</w:t>
        </w:r>
        <w:proofErr w:type="gramStart"/>
        <w:r>
          <w:rPr>
            <w:rStyle w:val="Hyperlink"/>
            <w:color w:val="auto"/>
          </w:rPr>
          <w:t>Euratom tanácsi irányelv</w:t>
        </w:r>
      </w:hyperlink>
      <w:r>
        <w:t>; az ionizáló sugárzás miatti sugárterhelésből származó veszélyekkel szembeni védelmet szolgáló alapv</w:t>
      </w:r>
      <w:r>
        <w:t>ető biztonsági előírások megállapításáról, valamint a 89/618/Euratom, a 90/641/Euratom, a 96/29/Euratom, a 97/43/Euratom és a 2003/122/Euratom irányelv hatályon kívül helyezéséről szóló, 2013. december 5-i 2013/59/Euratom tanácsi irányelv; a lakosság egész</w:t>
      </w:r>
      <w:r>
        <w:t>ségének az emberi fogyasztásra szánt vízben található radioaktív anyagokkal szembeni védelmére vonatkozó követelmények meghatározásáról szóló, 2013. október 22-i 2013/51/Euratom tanácsi irányelv és a nukleáris balesetet</w:t>
      </w:r>
      <w:proofErr w:type="gramEnd"/>
      <w:r>
        <w:t xml:space="preserve"> </w:t>
      </w:r>
      <w:proofErr w:type="gramStart"/>
      <w:r>
        <w:t>vagy</w:t>
      </w:r>
      <w:proofErr w:type="gramEnd"/>
      <w:r>
        <w:t xml:space="preserve"> egyéb radiológiai veszélyhelyze</w:t>
      </w:r>
      <w:r>
        <w:t>tet követően az élelmiszerek és a takarmányok radioaktív szennyezettsége maximális megengedett szintjeinek megállapításáról szóló, 2016. január 15-i (Euratom) 2016/52 tanácsi rendelet végrehajtásában.</w:t>
      </w:r>
    </w:p>
  </w:footnote>
  <w:footnote w:id="3">
    <w:p w:rsidR="00AE6C7B" w:rsidRDefault="00103ACB">
      <w:pPr>
        <w:pStyle w:val="FootnoteText"/>
      </w:pPr>
      <w:r>
        <w:rPr>
          <w:rStyle w:val="FootnoteReference"/>
        </w:rPr>
        <w:footnoteRef/>
      </w:r>
      <w:r>
        <w:tab/>
        <w:t xml:space="preserve">Az </w:t>
      </w:r>
      <w:proofErr w:type="spellStart"/>
      <w:r>
        <w:t>Euratom-Szerződés</w:t>
      </w:r>
      <w:proofErr w:type="spellEnd"/>
      <w:r>
        <w:t xml:space="preserve"> 35</w:t>
      </w:r>
      <w:proofErr w:type="gramStart"/>
      <w:r>
        <w:t>.,</w:t>
      </w:r>
      <w:proofErr w:type="gramEnd"/>
      <w:r>
        <w:t xml:space="preserve"> 36. és 38. cikke; a Tanács </w:t>
      </w:r>
      <w:r>
        <w:t>87/600/Euratom határozata</w:t>
      </w:r>
    </w:p>
  </w:footnote>
  <w:footnote w:id="4">
    <w:p w:rsidR="00AE6C7B" w:rsidRDefault="00103ACB">
      <w:pPr>
        <w:pStyle w:val="Text1"/>
        <w:spacing w:before="0"/>
        <w:ind w:left="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A JRC infrastruktúrájára vonatkozó gördülő beruházási terv alapján.</w:t>
      </w:r>
    </w:p>
  </w:footnote>
  <w:footnote w:id="5">
    <w:p w:rsidR="00AE6C7B" w:rsidRDefault="00103ACB">
      <w:pPr>
        <w:pStyle w:val="Default"/>
        <w:ind w:left="284" w:hanging="284"/>
        <w:jc w:val="both"/>
        <w:rPr>
          <w:bCs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ab/>
      </w:r>
      <w:proofErr w:type="gramStart"/>
      <w:r>
        <w:rPr>
          <w:color w:val="auto"/>
          <w:sz w:val="20"/>
        </w:rPr>
        <w:t>A Tanács 2014/87/Euratom irányelve (2014. július 8.) a nukleáris létesítmények nukleáris biztonsági közösségi keretrendszerének létrehozásáról szóló 2009/71/E</w:t>
      </w:r>
      <w:r>
        <w:rPr>
          <w:color w:val="auto"/>
          <w:sz w:val="20"/>
        </w:rPr>
        <w:t>uratom irányelv módosításáról; a Tanács 2011/70/Euratom irányelve (2011. július 19.) a kiégett fűtőelemek és a radioaktív hulladékok felelősségteljes és biztonságos kezelését szolgáló közösségi keret létrehozásáról; és a Bizottság 302/2005/Euratom rendelet</w:t>
      </w:r>
      <w:r>
        <w:rPr>
          <w:color w:val="auto"/>
          <w:sz w:val="20"/>
        </w:rPr>
        <w:t>e (2005. február 8.) az Euratom biztosítéki rendelkezéseinek alkalmazásáról.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CB" w:rsidRPr="00103ACB" w:rsidRDefault="00103ACB" w:rsidP="0010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D41F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2E16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361D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E6C55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2C6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56A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849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280C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IWINSKI Tomasz (RTD)">
    <w15:presenceInfo w15:providerId="None" w15:userId="SLIWINSKI Tomasz (RTD)"/>
  </w15:person>
  <w15:person w15:author="ZANNAS Ioannis (RTD)">
    <w15:presenceInfo w15:providerId="None" w15:userId="ZANNAS Ioannis (RT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2:46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9"/>
    <w:docVar w:name="DQCResult_UnknownFonts" w:val="0;0"/>
    <w:docVar w:name="DQCResult_UnknownStyles" w:val="0;3"/>
    <w:docVar w:name="DQCStatus" w:val="Yellow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92AAF0D1-965E-4E2F-8589-40713EDBD65F"/>
    <w:docVar w:name="LW_COVERPAGE_TYPE" w:val="1"/>
    <w:docVar w:name="LW_CROSSREFERENCE" w:val="&lt;UNUSED&gt;"/>
    <w:docVar w:name="LW_DocType" w:val="ANNEX"/>
    <w:docVar w:name="LW_EMISSION" w:val="2018.6.7."/>
    <w:docVar w:name="LW_EMISSION_ISODATE" w:val="2018-06-07"/>
    <w:docVar w:name="LW_EMISSION_LOCATION" w:val="BRX"/>
    <w:docVar w:name="LW_EMISSION_PREFIX" w:val="Brüsszel,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TANÁCS RENDELETE_x000b_az Európai Atomenergia-közösségnek a Horizont Európa kutatási és innovációs keretprogramot kiegészít\u337? kutatási és képzési programjának (2021-2025) létrehozásáról"/>
    <w:docVar w:name="LW_OBJETACTEPRINCIPAL.CP" w:val="A TANÁCS RENDELETE_x000b_az Európai Atomenergia-közösségnek a Horizont Európa kutatási és innovációs keretprogramot kiegészít\u337? kutatási és képzési programjának (2021-2025) létrehozásáró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"/>
    <w:docVar w:name="LW_TYPEACTEPRINCIPAL.CP" w:val="Javaslat"/>
  </w:docVars>
  <w:rsids>
    <w:rsidRoot w:val="00AE6C7B"/>
    <w:rsid w:val="00103ACB"/>
    <w:rsid w:val="00A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,Bullet Points,Nad,L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qFormat/>
    <w:locked/>
    <w:rPr>
      <w:rFonts w:ascii="Times New Roman" w:hAnsi="Times New Roman" w:cs="Times New Roman"/>
      <w:sz w:val="24"/>
      <w:lang w:val="hu-H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EBE9E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aliases w:val="Document Table,CV1,Standard table format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leformat1">
    <w:name w:val="Standard table format1"/>
    <w:basedOn w:val="TableNormal"/>
    <w:next w:val="TableGrid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PSParagraphTitle">
    <w:name w:val="PS_Paragraph_Title"/>
    <w:basedOn w:val="Normal"/>
    <w:link w:val="PSParagraphTitleChar"/>
    <w:qFormat/>
    <w:rPr>
      <w:rFonts w:eastAsia="Times New Roman"/>
      <w:b/>
      <w:i/>
      <w:sz w:val="20"/>
      <w:szCs w:val="20"/>
    </w:rPr>
  </w:style>
  <w:style w:type="character" w:customStyle="1" w:styleId="PSParagraphTitleChar">
    <w:name w:val="PS_Paragraph_Title Char"/>
    <w:basedOn w:val="DefaultParagraphFont"/>
    <w:link w:val="PSParagraphTitle"/>
    <w:rPr>
      <w:rFonts w:ascii="Times New Roman" w:eastAsia="Times New Roman" w:hAnsi="Times New Roman" w:cs="Times New Roman"/>
      <w:b/>
      <w:i/>
      <w:sz w:val="20"/>
      <w:szCs w:val="20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C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03AC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03A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3AC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03AC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03AC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,Bullet Points,Nad,L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qFormat/>
    <w:locked/>
    <w:rPr>
      <w:rFonts w:ascii="Times New Roman" w:hAnsi="Times New Roman" w:cs="Times New Roman"/>
      <w:sz w:val="24"/>
      <w:lang w:val="hu-H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EBE9E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aliases w:val="Document Table,CV1,Standard table format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leformat1">
    <w:name w:val="Standard table format1"/>
    <w:basedOn w:val="TableNormal"/>
    <w:next w:val="TableGrid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theme="minorBidi"/>
      <w:color w:val="auto"/>
    </w:rPr>
  </w:style>
  <w:style w:type="paragraph" w:customStyle="1" w:styleId="PSParagraphTitle">
    <w:name w:val="PS_Paragraph_Title"/>
    <w:basedOn w:val="Normal"/>
    <w:link w:val="PSParagraphTitleChar"/>
    <w:qFormat/>
    <w:rPr>
      <w:rFonts w:eastAsia="Times New Roman"/>
      <w:b/>
      <w:i/>
      <w:sz w:val="20"/>
      <w:szCs w:val="20"/>
    </w:rPr>
  </w:style>
  <w:style w:type="character" w:customStyle="1" w:styleId="PSParagraphTitleChar">
    <w:name w:val="PS_Paragraph_Title Char"/>
    <w:basedOn w:val="DefaultParagraphFont"/>
    <w:link w:val="PSParagraphTitle"/>
    <w:rPr>
      <w:rFonts w:ascii="Times New Roman" w:eastAsia="Times New Roman" w:hAnsi="Times New Roman" w:cs="Times New Roman"/>
      <w:b/>
      <w:i/>
      <w:sz w:val="20"/>
      <w:szCs w:val="20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C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03AC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03A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3AC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03AC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03AC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CELEX:32006L0117:HU:N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9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220B9CDD5B4AA251AE0A4FB43EDD" ma:contentTypeVersion="0" ma:contentTypeDescription="Create a new document." ma:contentTypeScope="" ma:versionID="4a3ad58c74ce6b717f7c202ddeb4ce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24AE3-925B-4851-A7A3-D31CEE83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07A8C-9243-4637-8DFA-37002F113C8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3B4BF5-2124-4609-8276-6BE673F02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</Pages>
  <Words>1973</Words>
  <Characters>15302</Characters>
  <Application>Microsoft Office Word</Application>
  <DocSecurity>0</DocSecurity>
  <Lines>507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LADSTAETTER (RTD)</dc:creator>
  <cp:lastModifiedBy>LAGES CARVALHO Patrick (SG)</cp:lastModifiedBy>
  <cp:revision>8</cp:revision>
  <dcterms:created xsi:type="dcterms:W3CDTF">2018-06-10T16:53:00Z</dcterms:created>
  <dcterms:modified xsi:type="dcterms:W3CDTF">2018-06-11T11:02:00Z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0x010100E276220B9CDD5B4AA251AE0A4FB43EDD</vt:lpwstr>
  </property>
  <property fmtid="{D5CDD505-2E9C-101B-9397-08002B2CF9AE}" pid="14" name="IsMyDocuments">
    <vt:bool>true</vt:bool>
  </property>
  <property fmtid="{D5CDD505-2E9C-101B-9397-08002B2CF9AE}" pid="15" name="DQCStatus">
    <vt:lpwstr>Yellow (DQC version 03)</vt:lpwstr>
  </property>
</Properties>
</file>