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87" w:rsidRDefault="00E93272" w:rsidP="00E9327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34C3EA2-5C0C-4E5F-8D0E-ED15B7410ED3" style="width:450.75pt;height:422.25pt">
            <v:imagedata r:id="rId10" o:title=""/>
          </v:shape>
        </w:pict>
      </w:r>
    </w:p>
    <w:p w:rsidR="00AA2887" w:rsidRDefault="00AA2887">
      <w:pPr>
        <w:rPr>
          <w:noProof/>
        </w:rPr>
        <w:sectPr w:rsidR="00AA2887" w:rsidSect="00E93272">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rsidR="00AA2887" w:rsidRDefault="00E93272">
      <w:pPr>
        <w:pStyle w:val="Exposdesmotifstitre"/>
        <w:rPr>
          <w:noProof/>
        </w:rPr>
      </w:pPr>
      <w:bookmarkStart w:id="0" w:name="_GoBack"/>
      <w:bookmarkEnd w:id="0"/>
      <w:r>
        <w:rPr>
          <w:noProof/>
        </w:rPr>
        <w:lastRenderedPageBreak/>
        <w:t>ΑΙΤΙΟΛΟΓΙΚΗ ΕΚΘΕΣΗ</w:t>
      </w:r>
    </w:p>
    <w:p w:rsidR="00AA2887" w:rsidRDefault="00E93272">
      <w:pPr>
        <w:pStyle w:val="ManualHeading1"/>
        <w:rPr>
          <w:noProof/>
        </w:rPr>
      </w:pPr>
      <w:r>
        <w:rPr>
          <w:noProof/>
        </w:rPr>
        <w:t>1.</w:t>
      </w:r>
      <w:r>
        <w:rPr>
          <w:noProof/>
        </w:rPr>
        <w:tab/>
        <w:t>ΠΛΑΙΣΙΟ ΤΗΣ ΠΡΟΤΑΣΗΣ</w:t>
      </w:r>
    </w:p>
    <w:p w:rsidR="00AA2887" w:rsidRDefault="00E93272">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AA2887" w:rsidRDefault="00E93272">
      <w:pPr>
        <w:rPr>
          <w:noProof/>
          <w:szCs w:val="24"/>
        </w:rPr>
      </w:pPr>
      <w:r>
        <w:rPr>
          <w:noProof/>
        </w:rPr>
        <w:t xml:space="preserve">Η παρούσα πρόταση εντάσσεται σε μια ευρύτερη πρωτοβουλία της Επιτροπής </w:t>
      </w:r>
      <w:r>
        <w:rPr>
          <w:noProof/>
        </w:rPr>
        <w:t>για τη βιώσιμη ανάπτυξη. Θέτει τα θεμέλια για ένα πλαίσιο της ΕΕ το οποίο τοποθετεί περιβαλλοντικούς, κοινωνικούς και σχετικούς με τη διακυβέρνηση (ΠΚΔ) προβληματισμούς στο επίκεντρο του χρηματοπιστωτικού συστήματος με στόχο τη μετατροπή της ευρωπαϊκής οικ</w:t>
      </w:r>
      <w:r>
        <w:rPr>
          <w:noProof/>
        </w:rPr>
        <w:t>ονομίας σε ένα πιο οικολογικό, πιο ανθεκτικό και κυκλικό σύστημα. Για να καταστούν οι επενδύσεις περισσότερο βιώσιμες, θα πρέπει κατά τη διαδικασία λήψης επενδυτικών αποφάσεων να λαμβάνονται υπόψη οι παράγοντες ΠΚΔ, λαμβανομένων υπόψη των εκπομπών αερίων τ</w:t>
      </w:r>
      <w:r>
        <w:rPr>
          <w:noProof/>
        </w:rPr>
        <w:t xml:space="preserve">ου θερμοκηπίου, της εξάντλησης των πόρων ή των συνθηκών εργασίας. Η παρούσα πρόταση και οι προτεινόμενες νομοθετικές πράξεις που τη συνοδεύουν αποσκοπούν στην ενσωμάτωση των προβληματισμών ΠΚΔ στην επενδυτική και συμβουλευτική διαδικασία κατά τρόπο συνεπή </w:t>
      </w:r>
      <w:r>
        <w:rPr>
          <w:noProof/>
        </w:rPr>
        <w:t>σε όλους τους τομείς. Με τον τρόπο αυτό θα πρέπει να διασφαλιστεί ότι οι συμμετέχοντες στις χρηματοπιστωτικές αγορές [εταιρείες διαχείρισης ΟΣΕΚΑ (οργανισμοί συλλογικών επενδύσεων σε κινητές αξίες), διαχειριστές οργανισμών εναλλακτικών επενδύσεων (ΔΟΕΕ), α</w:t>
      </w:r>
      <w:r>
        <w:rPr>
          <w:noProof/>
        </w:rPr>
        <w:t>σφαλιστικές επιχειρήσεις, ΙΕΣΠ (ιδρύματα επαγγελματικών συνταξιοδοτικών παροχών), διαχειριστές EuVECA (ευρωπαϊκών εταιρειών επιχειρηματικού κεφαλαίου) και διαχειριστές EuSEF (ευρωπαϊκών ταμείων κοινωνικής επιχειρηματικότητας)], οι διανομείς ασφαλιστικών πρ</w:t>
      </w:r>
      <w:r>
        <w:rPr>
          <w:noProof/>
        </w:rPr>
        <w:t>οϊόντων ή οι σύμβουλοι επενδύσεων, οι οποίοι λαμβάνουν εντολή από τους πελάτες ή τους δικαιούχους τους ώστε να λαμβάνουν επενδυτικές αποφάσεις για λογαριασμό τους, ενσωματώνουν προβληματισμούς ΠΚΔ στις εσωτερικές διαδικασίες τους και ενημερώνουν τους πελάτ</w:t>
      </w:r>
      <w:r>
        <w:rPr>
          <w:noProof/>
        </w:rPr>
        <w:t>ες τους σχετικά. Επιπλέον, οι προτάσεις εισάγουν νέες κατηγορίες δεικτών αναφοράς χαμηλών ανθρακούχων εκπομπών και θετικού αντικτύπου άνθρακα προκειμένου να βοηθήσουν τους επενδυτές να συγκρίνουν το αποτύπωμα άνθρακα των επενδύσεων. Οι εν λόγω αλληλοενισχυ</w:t>
      </w:r>
      <w:r>
        <w:rPr>
          <w:noProof/>
        </w:rPr>
        <w:t>όμενες προτάσεις αναμένεται να διευκολύνουν τις επενδύσεις σε βιώσιμα έργα και στοιχεία ενεργητικού σε ολόκληρη την ΕΕ.</w:t>
      </w:r>
    </w:p>
    <w:p w:rsidR="00AA2887" w:rsidRDefault="00E93272">
      <w:pPr>
        <w:rPr>
          <w:noProof/>
          <w:szCs w:val="24"/>
        </w:rPr>
      </w:pPr>
      <w:r>
        <w:rPr>
          <w:noProof/>
        </w:rPr>
        <w:t>Η δέσμη προτάσεων της Επιτροπής κινείται στην κατεύθυνση των παγκόσμιων προσπαθειών για μια περισσότερο βιώσιμη οικονομία. Οι κυβερνήσει</w:t>
      </w:r>
      <w:r>
        <w:rPr>
          <w:noProof/>
        </w:rPr>
        <w:t xml:space="preserve">ς σε όλον τον κόσμο επέλεξαν μια περισσότερο βιώσιμη πορεία για τον πλανήτη και την οικονομία μας εγκρίνοντας την </w:t>
      </w:r>
      <w:r>
        <w:rPr>
          <w:b/>
          <w:noProof/>
        </w:rPr>
        <w:t>συμφωνία του Παρισιού του 2016 για την κλιματική αλλαγή</w:t>
      </w:r>
      <w:r>
        <w:rPr>
          <w:noProof/>
        </w:rPr>
        <w:t xml:space="preserve"> και το </w:t>
      </w:r>
      <w:r>
        <w:rPr>
          <w:b/>
          <w:noProof/>
        </w:rPr>
        <w:t>Θεματολόγιο για τη Βιώσιμη Ανάπτυξη 2030 των Ηνωμένων Εθνών (ΟΗΕ).</w:t>
      </w:r>
      <w:r>
        <w:rPr>
          <w:noProof/>
        </w:rPr>
        <w:t xml:space="preserve"> </w:t>
      </w:r>
    </w:p>
    <w:p w:rsidR="00AA2887" w:rsidRDefault="00E93272">
      <w:pPr>
        <w:rPr>
          <w:noProof/>
          <w:szCs w:val="24"/>
        </w:rPr>
      </w:pPr>
      <w:r>
        <w:rPr>
          <w:noProof/>
        </w:rPr>
        <w:t xml:space="preserve">Η ΕΕ είναι </w:t>
      </w:r>
      <w:r>
        <w:rPr>
          <w:noProof/>
        </w:rPr>
        <w:t>προσηλωμένη στην ανάπτυξη που καλύπτει τις ανάγκες του παρόντος χωρίς να υπονομεύει την ικανότητα των μελλοντικών γενεών να καλύψουν τις δικές τους ανάγκες. Η βιωσιμότητα βρίσκεται από καιρό στην καρδιά του ευρωπαϊκού εγχειρήματος. Οι Συνθήκες της ΕΕ αναγν</w:t>
      </w:r>
      <w:r>
        <w:rPr>
          <w:noProof/>
        </w:rPr>
        <w:t>ωρίζουν τις κοινωνικές και περιβαλλοντικές διαστάσεις της, οι οποίες θα πρέπει να αντιμετωπίζονται ενιαία.</w:t>
      </w:r>
    </w:p>
    <w:p w:rsidR="00AA2887" w:rsidRDefault="00E93272">
      <w:pPr>
        <w:spacing w:before="0" w:after="0"/>
        <w:rPr>
          <w:noProof/>
          <w:szCs w:val="24"/>
        </w:rPr>
      </w:pPr>
      <w:r>
        <w:rPr>
          <w:noProof/>
        </w:rPr>
        <w:t>Η ανακοίνωση της Επιτροπής του 2016 σχετικά με τα επόμενα βήματα για ένα βιώσιμο ευρωπαϊκό μέλλον</w:t>
      </w:r>
      <w:r>
        <w:rPr>
          <w:b/>
          <w:noProof/>
        </w:rPr>
        <w:t xml:space="preserve"> </w:t>
      </w:r>
      <w:r>
        <w:rPr>
          <w:noProof/>
        </w:rPr>
        <w:t>συνδέει τους στόχους βιώσιμης ανάπτυξης (ΣΒΑ)</w:t>
      </w:r>
      <w:r>
        <w:rPr>
          <w:rStyle w:val="FootnoteReference"/>
          <w:noProof/>
        </w:rPr>
        <w:footnoteReference w:id="2"/>
      </w:r>
      <w:r>
        <w:rPr>
          <w:noProof/>
        </w:rPr>
        <w:t xml:space="preserve"> του </w:t>
      </w:r>
      <w:r>
        <w:rPr>
          <w:noProof/>
        </w:rPr>
        <w:t>θεματολογίου των Ηνωμένων Εθνών του 2030 για τη βιώσιμη ανάπτυξη με το ευρωπαϊκό πλαίσιο πολιτικής, ώστε να διασφαλίζεται ότι όλες οι δράσεις και οι πρωτοβουλίες πολιτικής της ΕΕ, σε ενωσιακό και παγκόσμιο επίπεδο, περιλαμβάνουν τους ΣΒΑ εξαρχής. Επίσης, η</w:t>
      </w:r>
      <w:r>
        <w:rPr>
          <w:noProof/>
        </w:rPr>
        <w:t xml:space="preserve"> ΕΕ δεσμεύεται πλήρως για την επίτευξη των στόχων της ΕΕ για το κλίμα και την ενέργεια το </w:t>
      </w:r>
      <w:r>
        <w:rPr>
          <w:noProof/>
        </w:rPr>
        <w:lastRenderedPageBreak/>
        <w:t xml:space="preserve">2030 και την ενσωμάτωση της βιώσιμης ανάπτυξης στις πολιτικές της ΕΕ, όπως ανακοινώθηκε το 2014 από τον Jean-Claude Juncker στις </w:t>
      </w:r>
      <w:r>
        <w:rPr>
          <w:b/>
          <w:noProof/>
        </w:rPr>
        <w:t>πολιτικές κατευθύνσεις για την Ευρωπα</w:t>
      </w:r>
      <w:r>
        <w:rPr>
          <w:b/>
          <w:noProof/>
        </w:rPr>
        <w:t>ϊκή Επιτροπή</w:t>
      </w:r>
      <w:r>
        <w:rPr>
          <w:rStyle w:val="FootnoteReference"/>
          <w:noProof/>
        </w:rPr>
        <w:footnoteReference w:id="3"/>
      </w:r>
      <w:r>
        <w:rPr>
          <w:noProof/>
        </w:rPr>
        <w:t>. Ως εκ τούτου, πολλές από τις πολιτικές προτεραιότητες της Ευρωπαϊκής Επιτροπής για την περίοδο 2014-2020 ενσωματώνονται στους στόχους της ΕΕ για το κλίμα και υλοποιούν το θεματολόγιο του 2030 για τη βιώσιμη ανάπτυξη. Σε αυτές περιλαμβάνονται</w:t>
      </w:r>
      <w:r>
        <w:rPr>
          <w:noProof/>
        </w:rPr>
        <w:t xml:space="preserve"> το </w:t>
      </w:r>
      <w:r>
        <w:rPr>
          <w:b/>
          <w:noProof/>
        </w:rPr>
        <w:t>επενδυτικό σχέδιο για την Ευρώπη</w:t>
      </w:r>
      <w:r>
        <w:rPr>
          <w:rStyle w:val="FootnoteReference"/>
          <w:noProof/>
        </w:rPr>
        <w:footnoteReference w:id="4"/>
      </w:r>
      <w:r>
        <w:rPr>
          <w:noProof/>
        </w:rPr>
        <w:t xml:space="preserve">, η </w:t>
      </w:r>
      <w:r>
        <w:rPr>
          <w:b/>
          <w:noProof/>
        </w:rPr>
        <w:t>δέσμη μέτρων για την κυκλική οικονομία</w:t>
      </w:r>
      <w:r>
        <w:rPr>
          <w:rStyle w:val="FootnoteReference"/>
          <w:noProof/>
        </w:rPr>
        <w:footnoteReference w:id="5"/>
      </w:r>
      <w:r>
        <w:rPr>
          <w:noProof/>
        </w:rPr>
        <w:t xml:space="preserve">, η </w:t>
      </w:r>
      <w:r>
        <w:rPr>
          <w:b/>
          <w:noProof/>
        </w:rPr>
        <w:t>δέσμη μέτρων για την Ενεργειακή Ένωση</w:t>
      </w:r>
      <w:r>
        <w:rPr>
          <w:rStyle w:val="FootnoteReference"/>
          <w:noProof/>
        </w:rPr>
        <w:footnoteReference w:id="6"/>
      </w:r>
      <w:r>
        <w:rPr>
          <w:noProof/>
        </w:rPr>
        <w:t xml:space="preserve">, η </w:t>
      </w:r>
      <w:r>
        <w:rPr>
          <w:b/>
          <w:noProof/>
        </w:rPr>
        <w:t>επικαιροποίηση της στρατηγικής της ΕΕ για τη βιοοικονομία</w:t>
      </w:r>
      <w:r>
        <w:rPr>
          <w:rStyle w:val="FootnoteReference"/>
          <w:noProof/>
        </w:rPr>
        <w:footnoteReference w:id="7"/>
      </w:r>
      <w:r>
        <w:rPr>
          <w:noProof/>
        </w:rPr>
        <w:t>,</w:t>
      </w:r>
      <w:r>
        <w:rPr>
          <w:noProof/>
          <w:vertAlign w:val="superscript"/>
        </w:rPr>
        <w:t xml:space="preserve"> </w:t>
      </w:r>
      <w:r>
        <w:rPr>
          <w:noProof/>
        </w:rPr>
        <w:t xml:space="preserve">η </w:t>
      </w:r>
      <w:r>
        <w:rPr>
          <w:b/>
          <w:noProof/>
        </w:rPr>
        <w:t>Ένωση Κεφαλαιαγορών</w:t>
      </w:r>
      <w:r>
        <w:rPr>
          <w:rStyle w:val="FootnoteReference"/>
          <w:noProof/>
        </w:rPr>
        <w:footnoteReference w:id="8"/>
      </w:r>
      <w:r>
        <w:rPr>
          <w:noProof/>
          <w:vertAlign w:val="superscript"/>
        </w:rPr>
        <w:t xml:space="preserve"> </w:t>
      </w:r>
      <w:r>
        <w:rPr>
          <w:noProof/>
        </w:rPr>
        <w:t xml:space="preserve">και ο </w:t>
      </w:r>
      <w:r>
        <w:rPr>
          <w:b/>
          <w:noProof/>
        </w:rPr>
        <w:t>προϋπολογισμός της ΕΕ για την περίοδο 201</w:t>
      </w:r>
      <w:r>
        <w:rPr>
          <w:b/>
          <w:noProof/>
        </w:rPr>
        <w:t>4-2020</w:t>
      </w:r>
      <w:r>
        <w:rPr>
          <w:noProof/>
        </w:rPr>
        <w:t xml:space="preserve">, περιλαμβανομένου του </w:t>
      </w:r>
      <w:r>
        <w:rPr>
          <w:b/>
          <w:noProof/>
        </w:rPr>
        <w:t>Ταμείου Συνοχής</w:t>
      </w:r>
      <w:r>
        <w:rPr>
          <w:noProof/>
        </w:rPr>
        <w:t xml:space="preserve"> και ερευνητικών έργων. Επιπλέον, η Επιτροπή δρομολόγησε μια πλειονομερή πλατφόρμα για την παρακολούθηση και την ανταλλαγή βέλτιστων πρακτικών σχετικά με την υλοποίηση των ΣΒΑ.</w:t>
      </w:r>
    </w:p>
    <w:p w:rsidR="00AA2887" w:rsidRDefault="00E93272">
      <w:pPr>
        <w:pBdr>
          <w:top w:val="nil"/>
          <w:left w:val="nil"/>
          <w:bottom w:val="nil"/>
          <w:right w:val="nil"/>
          <w:between w:val="nil"/>
          <w:bar w:val="nil"/>
        </w:pBdr>
        <w:rPr>
          <w:noProof/>
          <w:szCs w:val="24"/>
        </w:rPr>
      </w:pPr>
      <w:r>
        <w:rPr>
          <w:noProof/>
        </w:rPr>
        <w:t xml:space="preserve">Για την επίτευξη των στόχων </w:t>
      </w:r>
      <w:r>
        <w:rPr>
          <w:noProof/>
        </w:rPr>
        <w:t>βιωσιμότητας της ΕΕ απαιτούνται σημαντικές επενδύσεις. Μόνο στο πεδίο του κλίματος και της ενέργειας, εκτιμάται ότι απαιτούνται επιπρόσθετες ετήσιες επενδύσεις ύψους 180 δισ. EUR για την επίτευξη των στόχων για το κλίμα και την ενέργεια έως το 2030</w:t>
      </w:r>
      <w:r>
        <w:rPr>
          <w:rStyle w:val="FootnoteReference"/>
          <w:noProof/>
        </w:rPr>
        <w:footnoteReference w:id="9"/>
      </w:r>
      <w:r>
        <w:rPr>
          <w:noProof/>
        </w:rPr>
        <w:t>. Σημαν</w:t>
      </w:r>
      <w:r>
        <w:rPr>
          <w:noProof/>
        </w:rPr>
        <w:t>τικό μέρος των εν λόγω χρηματοοικονομικών ροών θα πρέπει να προέλθει από τον ιδιωτικό τομέα. Για την κάλυψη αυτού του ελλείμματος επενδύσεων απαιτείται αφενός σημαντικός αναπροσανατολισμός της ροής ιδιωτικών κεφαλαίων προς πιο βιώσιμες επενδύσεις και αφετέ</w:t>
      </w:r>
      <w:r>
        <w:rPr>
          <w:noProof/>
        </w:rPr>
        <w:t>ρου ολοκληρωμένη επανεξέταση του ευρωπαϊκού δημοσιονομικού πλαισίου.</w:t>
      </w:r>
    </w:p>
    <w:p w:rsidR="00AA2887" w:rsidRDefault="00E93272">
      <w:pPr>
        <w:rPr>
          <w:noProof/>
          <w:szCs w:val="24"/>
        </w:rPr>
      </w:pPr>
      <w:r>
        <w:rPr>
          <w:noProof/>
        </w:rPr>
        <w:t xml:space="preserve">Στο πλαίσιο αυτό, η Επιτροπή συγκρότησε τον Δεκέμβριο του 2016 μια </w:t>
      </w:r>
      <w:r>
        <w:rPr>
          <w:b/>
          <w:noProof/>
        </w:rPr>
        <w:t>ομάδα εμπειρογνωμόνων υψηλού επιπέδου (ΟΕΥΕ)</w:t>
      </w:r>
      <w:r>
        <w:rPr>
          <w:noProof/>
        </w:rPr>
        <w:t xml:space="preserve"> επιφορτισμένη με την ανάπτυξη μιας ολοκληρωμένης στρατηγικής της ΕΕ για τη </w:t>
      </w:r>
      <w:r>
        <w:rPr>
          <w:noProof/>
        </w:rPr>
        <w:t>βιώσιμη χρηματοδότηση. Η ΟΕΥΕ δημοσίευσε την τελική έκθεσή της</w:t>
      </w:r>
      <w:r>
        <w:rPr>
          <w:rStyle w:val="FootnoteReference"/>
          <w:noProof/>
        </w:rPr>
        <w:footnoteReference w:id="10"/>
      </w:r>
      <w:r>
        <w:rPr>
          <w:noProof/>
        </w:rPr>
        <w:t xml:space="preserve"> στις 31 Ιανουαρίου 2018. Στη συγκεκριμένη έκθεση παρέχεται ένα ολοκληρωμένο όραμα για τη βιώσιμη χρηματοδότηση για την Ευρώπη και καθορίζονται δύο επιβεβλημένοι στόχοι για το δημοσιονομικό σύσ</w:t>
      </w:r>
      <w:r>
        <w:rPr>
          <w:noProof/>
        </w:rPr>
        <w:t xml:space="preserve">τημα της Ευρώπης. Ο πρώτος είναι η βελτίωση της συμβολής της χρηματοδότησης στη βιώσιμη και χωρίς αποκλεισμούς ανάπτυξη. Ο δεύτερος είναι η ενίσχυση της χρηματοπιστωτικής σταθερότητας, με την </w:t>
      </w:r>
      <w:r>
        <w:rPr>
          <w:noProof/>
        </w:rPr>
        <w:lastRenderedPageBreak/>
        <w:t>ενσωμάτωση περιβαλλοντικών, κοινωνικών και σχετικών με τη διακυβ</w:t>
      </w:r>
      <w:r>
        <w:rPr>
          <w:noProof/>
        </w:rPr>
        <w:t>έρνηση (ΠΚΔ) παραγόντων στις επενδυτικές αποφάσεις. Η ΟΕΥΕ εξέδωσε οκτώ βασικές συστάσεις τις οποίες θεωρεί απαραίτητα συστατικά στοιχεία ενός βιώσιμου ευρωπαϊκού χρηματοπιστωτικού συστήματος. Μεταξύ των συγκεκριμένων συστάσεων, η ΟΕΥΕ κρίνει ότι</w:t>
      </w:r>
      <w:r>
        <w:rPr>
          <w:noProof/>
          <w:sz w:val="25"/>
        </w:rPr>
        <w:t xml:space="preserve"> </w:t>
      </w:r>
      <w:r>
        <w:rPr>
          <w:noProof/>
        </w:rPr>
        <w:t>θα πρέπει</w:t>
      </w:r>
      <w:r>
        <w:rPr>
          <w:noProof/>
        </w:rPr>
        <w:t xml:space="preserve"> να καλούνται οι πάροχοι δεικτών να αποκαλύπτουν λεπτομέρειες σχετικά με την έκθεση του δείκτη σε παραμέτρους βιωσιμότητας βάσει των τίτλων που περιλαμβάνονται στον δείκτη και των σταθμίσεών τους. Παράλληλα, η ΕΑΚΑΑ θα πρέπει, στις κατευθυντήριες γραμμές τ</w:t>
      </w:r>
      <w:r>
        <w:rPr>
          <w:noProof/>
        </w:rPr>
        <w:t xml:space="preserve">ης σχετικά με τη «Δήλωση δείκτη αναφοράς», να συμπεριλάβει παραπομπές στις εκτιμήσεις βιωσιμότητας στις οποίες θα επισημαίνεται σαφώς ο τρόπος με τον οποίο ζητήματα βιωσιμότητας (ΠΚΔ), συμπεριλαμβανομένης της μετάβασης σε μια οικονομία χαμηλών ανθρακούχων </w:t>
      </w:r>
      <w:r>
        <w:rPr>
          <w:noProof/>
        </w:rPr>
        <w:t>εκπομπών, αντικατοπτρίζονται στη μεθοδολογία του δείκτη αναφοράς.</w:t>
      </w:r>
    </w:p>
    <w:p w:rsidR="00AA2887" w:rsidRDefault="00E93272">
      <w:pPr>
        <w:pBdr>
          <w:top w:val="nil"/>
          <w:left w:val="nil"/>
          <w:bottom w:val="nil"/>
          <w:right w:val="nil"/>
          <w:between w:val="nil"/>
          <w:bar w:val="nil"/>
        </w:pBdr>
        <w:rPr>
          <w:noProof/>
          <w:szCs w:val="24"/>
        </w:rPr>
      </w:pPr>
      <w:r>
        <w:rPr>
          <w:noProof/>
        </w:rPr>
        <w:t>Η ΟΕΥΕ επισήμανε ότι οι δείκτες και οι δείκτες αναφοράς έχουν έμμεσο αλλά σημαντικό αντίκτυπο στις επενδύσεις. Πολλοί επενδυτές βασίζονται σε δείκτες αναφοράς, ιδίως για την κατανομή των χαρ</w:t>
      </w:r>
      <w:r>
        <w:rPr>
          <w:noProof/>
        </w:rPr>
        <w:t>τοφυλακίων και τη μέτρηση της απόδοσης των τελικών προϊόντων. Μολονότι ο πάροχοι δεικτών έχουν αναπτύξει ένα ευρύ φάσμα δεικτών για την αποτύπωση ζητημάτων σχετικά με τη βιωσιμότητα και το κλίμα, η σημασία τους για τη συνολική κατανομή των χαρτοφυλακίων πα</w:t>
      </w:r>
      <w:r>
        <w:rPr>
          <w:noProof/>
        </w:rPr>
        <w:t xml:space="preserve">ραμένει περιορισμένη. </w:t>
      </w:r>
    </w:p>
    <w:p w:rsidR="00AA2887" w:rsidRDefault="00E93272">
      <w:pPr>
        <w:pBdr>
          <w:top w:val="nil"/>
          <w:left w:val="nil"/>
          <w:bottom w:val="nil"/>
          <w:right w:val="nil"/>
          <w:between w:val="nil"/>
          <w:bar w:val="nil"/>
        </w:pBdr>
        <w:rPr>
          <w:b/>
          <w:noProof/>
          <w:szCs w:val="24"/>
        </w:rPr>
      </w:pPr>
      <w:r>
        <w:rPr>
          <w:noProof/>
        </w:rPr>
        <w:t xml:space="preserve">Για να δώσει συνέχεια στο έργο της ΟΕΥΕ και να συμβάλει στις ευρύτερες προσπάθειες να συνδεθεί η χρηματοδότηση με τις ανάγκες του πλανήτη και της κοινωνίας, η Επιτροπή δημοσίευσε στις 8 Μαρτίου 2018 </w:t>
      </w:r>
      <w:r>
        <w:rPr>
          <w:b/>
          <w:noProof/>
        </w:rPr>
        <w:t>σχέδιο δράσης για τη χρηματοδότηση</w:t>
      </w:r>
      <w:r>
        <w:rPr>
          <w:b/>
          <w:noProof/>
        </w:rPr>
        <w:t xml:space="preserve"> της αειφόρου ανάπτυξης</w:t>
      </w:r>
      <w:r>
        <w:rPr>
          <w:rStyle w:val="FootnoteReference"/>
          <w:noProof/>
        </w:rPr>
        <w:footnoteReference w:id="11"/>
      </w:r>
      <w:r>
        <w:rPr>
          <w:b/>
          <w:noProof/>
        </w:rPr>
        <w:t xml:space="preserve">. </w:t>
      </w:r>
      <w:r>
        <w:rPr>
          <w:noProof/>
        </w:rPr>
        <w:t>Στο συγκεκριμένο σχέδιο δράσης, η Επιτροπή ανακοίνωσε</w:t>
      </w:r>
      <w:r>
        <w:rPr>
          <w:b/>
          <w:noProof/>
        </w:rPr>
        <w:t xml:space="preserve"> </w:t>
      </w:r>
      <w:r>
        <w:rPr>
          <w:noProof/>
        </w:rPr>
        <w:t>επικείμενα μέτρα</w:t>
      </w:r>
      <w:r>
        <w:rPr>
          <w:b/>
          <w:noProof/>
        </w:rPr>
        <w:t xml:space="preserve"> </w:t>
      </w:r>
      <w:r>
        <w:rPr>
          <w:noProof/>
        </w:rPr>
        <w:t xml:space="preserve">για την ενίσχυση της διαφάνειας των μεθοδολογιών που αφορούν τους δείκτες αναφοράς ΠΚΔ, καθώς και μια πρωτοβουλία για την προώθηση προτύπων για τη μεθοδολογία </w:t>
      </w:r>
      <w:r>
        <w:rPr>
          <w:noProof/>
        </w:rPr>
        <w:t xml:space="preserve">των δεικτών αναφοράς για τις χαμηλές ανθρακούχες εκπομπές στην Ένωση. </w:t>
      </w:r>
    </w:p>
    <w:p w:rsidR="00AA2887" w:rsidRDefault="00E93272">
      <w:pPr>
        <w:pBdr>
          <w:top w:val="nil"/>
          <w:left w:val="nil"/>
          <w:bottom w:val="nil"/>
          <w:right w:val="nil"/>
          <w:between w:val="nil"/>
          <w:bar w:val="nil"/>
        </w:pBdr>
        <w:rPr>
          <w:noProof/>
        </w:rPr>
      </w:pPr>
      <w:r>
        <w:rPr>
          <w:noProof/>
        </w:rPr>
        <w:t>Τα κοινά πρότυπα για τους δείκτες χαμηλών ανθρακούχων εκπομπών αποσκοπούν στην αντιμετώπιση του κινδύνου της «προβολής οικολογικού προσωπείου», στο πλαίσιο του οποίου όλοι οι δείκτες χα</w:t>
      </w:r>
      <w:r>
        <w:rPr>
          <w:noProof/>
        </w:rPr>
        <w:t>μηλών ανθρακούχων εκπομπών προωθούνται ισότιμα ως περιβαλλοντικά σημαντικοί παρά το γεγονός ότι έχουν διαφορετικά χαρακτηριστικά. Επιπλέον, τα διαφορετικά επίπεδα διαφάνειας ΠΚΔ όσον αφορά τη μεθοδολογία δυσκολεύουν τους παράγοντες της αγοράς να κάνουν σύγ</w:t>
      </w:r>
      <w:r>
        <w:rPr>
          <w:noProof/>
        </w:rPr>
        <w:t xml:space="preserve">κριση των δεικτών προκειμένου να επιλέξουν τους κατάλληλους για την επενδυτική στρατηγική τους. </w:t>
      </w:r>
    </w:p>
    <w:p w:rsidR="00AA2887" w:rsidRDefault="00E93272">
      <w:pPr>
        <w:pBdr>
          <w:top w:val="nil"/>
          <w:left w:val="nil"/>
          <w:bottom w:val="nil"/>
          <w:right w:val="nil"/>
          <w:between w:val="nil"/>
          <w:bar w:val="nil"/>
        </w:pBdr>
        <w:spacing w:before="0" w:after="240"/>
        <w:rPr>
          <w:rFonts w:eastAsia="Arial Unicode MS"/>
          <w:noProof/>
        </w:rPr>
      </w:pPr>
      <w:r>
        <w:rPr>
          <w:noProof/>
        </w:rPr>
        <w:t>Για την αντιμετώπιση των εντοπισθέντων προβλημάτων, προωθείται στην παρούσα πρόταση η τροποποίηση του κανονισμού για τους δείκτες αναφοράς. Καθορίζονται δύο κα</w:t>
      </w:r>
      <w:r>
        <w:rPr>
          <w:noProof/>
        </w:rPr>
        <w:t xml:space="preserve">τηγορίες δεικτών αναφοράς: i) οι δείκτες αναφοράς χαμηλών ανθρακούχων εκπομπών και ii) οι δείκτες αναφοράς θετικού αντικτύπου άνθρακα. </w:t>
      </w:r>
    </w:p>
    <w:p w:rsidR="00AA2887" w:rsidRDefault="00E93272">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rsidR="00AA2887" w:rsidRDefault="00E93272">
      <w:pPr>
        <w:pBdr>
          <w:top w:val="nil"/>
          <w:left w:val="nil"/>
          <w:bottom w:val="nil"/>
          <w:right w:val="nil"/>
          <w:between w:val="nil"/>
          <w:bar w:val="nil"/>
        </w:pBdr>
        <w:spacing w:after="240"/>
        <w:rPr>
          <w:noProof/>
          <w:szCs w:val="24"/>
        </w:rPr>
      </w:pPr>
      <w:r>
        <w:rPr>
          <w:noProof/>
        </w:rPr>
        <w:t>Η πρόταση θα τροποποιήσει τον κανονισμό για τους δείκτες αναφ</w:t>
      </w:r>
      <w:r>
        <w:rPr>
          <w:noProof/>
        </w:rPr>
        <w:t>οράς, εισάγοντας κανόνες που θεσπίζουν και διέπουν την παροχή δεικτών αναφοράς χαμηλών ανθρακούχων εκπομπών και θετικού αντικτύπου άνθρακα. Συνάδει με τον στόχο του κανονισμού για τους δείκτες αναφοράς, ο οποίος επιδιώκει να διασφαλίσει ότι οι δείκτες αναφ</w:t>
      </w:r>
      <w:r>
        <w:rPr>
          <w:noProof/>
        </w:rPr>
        <w:t>οράς εξασφαλίζουν την ακριβή και αξιόπιστη αναπαράσταση της οικονομικής πραγματικότητας και ότι μπορούν να γίνουν εύκολα κατανοητοί από όλους τους ενδιαφερόμενους φορείς, στηρίζοντας με τον τρόπο αυτό ένα υψηλό επίπεδο προστασίας των καταναλωτών και των επ</w:t>
      </w:r>
      <w:r>
        <w:rPr>
          <w:noProof/>
        </w:rPr>
        <w:t>ενδυτών. Η πρόταση εισάγει περαιτέρω απαιτήσεις προκειμένου να καταστεί διαφανής η μεθοδολογία των νέων κατηγοριών δεικτών αναφοράς, γεγονός που θα τους προσδώσει μεγαλύτερη δυνατότητα σύγκρισης και θα βελτιώσει τη λήψη αποφάσεων από τους διαχειριστές χαρτ</w:t>
      </w:r>
      <w:r>
        <w:rPr>
          <w:noProof/>
        </w:rPr>
        <w:t xml:space="preserve">οφυλακίων. </w:t>
      </w:r>
    </w:p>
    <w:p w:rsidR="00AA2887" w:rsidRDefault="00E93272">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rsidR="00AA2887" w:rsidRDefault="00E93272">
      <w:pPr>
        <w:pBdr>
          <w:top w:val="nil"/>
          <w:left w:val="nil"/>
          <w:bottom w:val="nil"/>
          <w:right w:val="nil"/>
          <w:between w:val="nil"/>
          <w:bar w:val="nil"/>
        </w:pBdr>
        <w:spacing w:after="240"/>
        <w:rPr>
          <w:noProof/>
          <w:szCs w:val="24"/>
        </w:rPr>
      </w:pPr>
      <w:r>
        <w:rPr>
          <w:noProof/>
        </w:rPr>
        <w:t>Η πρόταση συμπληρώνει τις ισχύουσες πολιτικές της ΕΕ για το περιβάλλον και το κλίμα βελτιώνοντας τη διαφάνεια ΠΚΔ των μεθοδολογιών που αφορούν τους δείκτες αναφοράς και θεσπίζοντας εναρμονισμένους κανόνες σχετικά με τους δείκτες αναφοράς χαμηλών ανθρακούχω</w:t>
      </w:r>
      <w:r>
        <w:rPr>
          <w:noProof/>
        </w:rPr>
        <w:t xml:space="preserve">ν εκπομπών, οι οποίοι εκτιμάται ότι θα οδηγήσουν σε αποτελεσματικότερη διοχέτευση των επενδύσεων σε βιώσιμα στοιχεία ενεργητικού. </w:t>
      </w:r>
    </w:p>
    <w:p w:rsidR="00AA2887" w:rsidRDefault="00E93272">
      <w:pPr>
        <w:rPr>
          <w:noProof/>
          <w:szCs w:val="24"/>
        </w:rPr>
      </w:pPr>
      <w:r>
        <w:rPr>
          <w:noProof/>
        </w:rPr>
        <w:t>Η παρούσα πρόταση ανήκει σε μια δέσμη μέτρων για τη βιώσιμη χρηματοδότηση, η οποία συνιστά δράση προτεραιότητας στο πλαίσιο τ</w:t>
      </w:r>
      <w:r>
        <w:rPr>
          <w:noProof/>
        </w:rPr>
        <w:t>ης Ένωσης Κεφαλαιαγορών. Περιλαμβάνει μέτρα για την αξιοποίηση της μετασχηματιστικής δύναμης της χρηματοπιστωτικής τεχνολογίας και τη μετατόπιση του ιδιωτικού κεφαλαίου προς την κατεύθυνση των βιώσιμων επενδύσεων. Συμβάλλει στην ανάπτυξη μιας περισσότερο ο</w:t>
      </w:r>
      <w:r>
        <w:rPr>
          <w:noProof/>
        </w:rPr>
        <w:t>λοκληρωμένης κεφαλαιαγοράς καθιστώντας ευκολότερο για τους επενδυτές να επωφελούνται από την ενιαία αγορά, λαμβάνοντας παράλληλα τεκμηριωμένες αποφάσεις.</w:t>
      </w:r>
    </w:p>
    <w:p w:rsidR="00AA2887" w:rsidRDefault="00E93272">
      <w:pPr>
        <w:pBdr>
          <w:top w:val="nil"/>
          <w:left w:val="nil"/>
          <w:bottom w:val="nil"/>
          <w:right w:val="nil"/>
          <w:between w:val="nil"/>
          <w:bar w:val="nil"/>
        </w:pBdr>
        <w:spacing w:before="0" w:after="240"/>
        <w:rPr>
          <w:noProof/>
          <w:szCs w:val="24"/>
        </w:rPr>
      </w:pPr>
      <w:r>
        <w:rPr>
          <w:noProof/>
        </w:rPr>
        <w:t>Η παρούσα πρόταση αποτελεί επίσης μέρος μιας περισσότερο ολοκληρωμένης στρατηγικής της ΕΕ για την υλοπ</w:t>
      </w:r>
      <w:r>
        <w:rPr>
          <w:noProof/>
        </w:rPr>
        <w:t>οίηση του θεματολογίου της ΕΕ για το κλίμα και τη βιώσιμη ανάπτυξη και ενσωματώνεται στους στόχους της ΕΕ για την ενέργεια και το κλίμα για την περίοδο 2014-2020, όπως η πολιτική για καθαρότερο αέρα, η δέσμη μέτρων για την κυκλική οικονομία, η στρατηγική γ</w:t>
      </w:r>
      <w:r>
        <w:rPr>
          <w:noProof/>
        </w:rPr>
        <w:t xml:space="preserve">ια την Ενεργειακή Ένωση, περιλαμβανομένης της δέσμης μέτρων για καθαρή ενέργεια για όλους τους Ευρωπαίους, και η ενωσιακή στρατηγική προσαρμογής στην αλλαγή του κλίματος. </w:t>
      </w:r>
    </w:p>
    <w:p w:rsidR="00AA2887" w:rsidRDefault="00E93272">
      <w:pPr>
        <w:pBdr>
          <w:top w:val="nil"/>
          <w:left w:val="nil"/>
          <w:bottom w:val="nil"/>
          <w:right w:val="nil"/>
          <w:between w:val="nil"/>
          <w:bar w:val="nil"/>
        </w:pBdr>
        <w:spacing w:before="0" w:after="240"/>
        <w:rPr>
          <w:noProof/>
          <w:szCs w:val="24"/>
        </w:rPr>
      </w:pPr>
      <w:r>
        <w:rPr>
          <w:noProof/>
        </w:rPr>
        <w:t>Η παρούσα πρόταση συνάδει με την αναθεώρηση του Ευρωπαϊκού Συστήματος Χρηματοπιστωτι</w:t>
      </w:r>
      <w:r>
        <w:rPr>
          <w:noProof/>
        </w:rPr>
        <w:t>κής Εποπτείας</w:t>
      </w:r>
      <w:r>
        <w:rPr>
          <w:rStyle w:val="FootnoteReference"/>
          <w:noProof/>
        </w:rPr>
        <w:footnoteReference w:id="12"/>
      </w:r>
      <w:r>
        <w:rPr>
          <w:noProof/>
        </w:rPr>
        <w:t>, το οποίο προβλέπει ότι η Ευρωπαϊκή Αρχή Τραπεζών,</w:t>
      </w:r>
      <w:r>
        <w:rPr>
          <w:rStyle w:val="FootnoteReference"/>
          <w:noProof/>
        </w:rPr>
        <w:footnoteReference w:id="13"/>
      </w:r>
      <w:r>
        <w:rPr>
          <w:noProof/>
        </w:rPr>
        <w:t xml:space="preserve"> η Ευρωπαϊκή Αρχή Ασφαλίσεων και Επαγγελματικών Συντάξεων</w:t>
      </w:r>
      <w:r>
        <w:rPr>
          <w:rStyle w:val="FootnoteReference"/>
          <w:noProof/>
        </w:rPr>
        <w:footnoteReference w:id="14"/>
      </w:r>
      <w:r>
        <w:rPr>
          <w:noProof/>
        </w:rPr>
        <w:t xml:space="preserve"> και η Ευρωπαϊκή Αρχή Κινητών Αξιών και Αγορών</w:t>
      </w:r>
      <w:r>
        <w:rPr>
          <w:rStyle w:val="FootnoteReference"/>
          <w:noProof/>
        </w:rPr>
        <w:footnoteReference w:id="15"/>
      </w:r>
      <w:r>
        <w:rPr>
          <w:noProof/>
          <w:vertAlign w:val="superscript"/>
        </w:rPr>
        <w:t xml:space="preserve"> </w:t>
      </w:r>
      <w:r>
        <w:rPr>
          <w:noProof/>
        </w:rPr>
        <w:t xml:space="preserve">λαμβάνουν υπόψη τους κινδύνους που σχετίζονται με περιβαλλοντικούς, κοινωνικούς και </w:t>
      </w:r>
      <w:r>
        <w:rPr>
          <w:noProof/>
        </w:rPr>
        <w:t>σχετικούς με τη διακυβέρνηση παράγοντες κατά την εκτέλεση των καθηκόντων τους, ούτως ώστε οι δραστηριότητες των χρηματοπιστωτικών αγορών να είναι πιο συνεπείς με τους στόχους βιωσιμότητας. Τέλος, η παρούσα πρόταση συνάδει με την πρόταση της Επιτροπής σχετι</w:t>
      </w:r>
      <w:r>
        <w:rPr>
          <w:noProof/>
        </w:rPr>
        <w:t>κά με τη θέσπιση πανευρωπαϊκού ατομικού συνταξιοδοτικού προϊόντος (PEPP), η οποία προβλέπει αρκετές γνωστοποιήσεις σχετικά με περιβαλλοντικούς, κοινωνικούς και σχετικούς με τη διακυβέρνηση παράγοντες</w:t>
      </w:r>
      <w:r>
        <w:rPr>
          <w:rStyle w:val="FootnoteReference"/>
          <w:noProof/>
        </w:rPr>
        <w:footnoteReference w:id="16"/>
      </w:r>
      <w:r>
        <w:rPr>
          <w:noProof/>
        </w:rPr>
        <w:t>.</w:t>
      </w:r>
    </w:p>
    <w:p w:rsidR="00AA2887" w:rsidRDefault="00E93272">
      <w:pPr>
        <w:pStyle w:val="ManualHeading1"/>
        <w:rPr>
          <w:noProof/>
        </w:rPr>
      </w:pPr>
      <w:r>
        <w:rPr>
          <w:noProof/>
        </w:rPr>
        <w:t>2.</w:t>
      </w:r>
      <w:r>
        <w:rPr>
          <w:noProof/>
        </w:rPr>
        <w:tab/>
        <w:t>ΝΟΜΙΚΗ ΒΑΣΗ, ΕΠΙΚΟΥΡΙΚΟΤΗΤΑ ΚΑΙ ΑΝΑΛΟΓΙΚΟΤΗΤΑ</w:t>
      </w:r>
    </w:p>
    <w:p w:rsidR="00AA2887" w:rsidRDefault="00E93272">
      <w:pPr>
        <w:pStyle w:val="ManualHeading2"/>
        <w:rPr>
          <w:rFonts w:eastAsia="Arial Unicode MS"/>
          <w:noProof/>
          <w:u w:color="000000"/>
          <w:bdr w:val="nil"/>
        </w:rPr>
      </w:pPr>
      <w:r>
        <w:rPr>
          <w:noProof/>
        </w:rPr>
        <w:t>•</w:t>
      </w:r>
      <w:r>
        <w:rPr>
          <w:noProof/>
        </w:rPr>
        <w:tab/>
      </w:r>
      <w:r>
        <w:rPr>
          <w:noProof/>
        </w:rPr>
        <w:t>Νομική βάση</w:t>
      </w:r>
    </w:p>
    <w:p w:rsidR="00AA2887" w:rsidRDefault="00E93272">
      <w:pPr>
        <w:pBdr>
          <w:top w:val="nil"/>
          <w:left w:val="nil"/>
          <w:bottom w:val="nil"/>
          <w:right w:val="nil"/>
          <w:between w:val="nil"/>
          <w:bar w:val="nil"/>
        </w:pBdr>
        <w:spacing w:after="240"/>
        <w:rPr>
          <w:noProof/>
          <w:szCs w:val="24"/>
        </w:rPr>
      </w:pPr>
      <w:r>
        <w:rPr>
          <w:noProof/>
        </w:rPr>
        <w:t>Το άρθρο 114 της Συνθήκης για τη λειτουργία της Ευρωπαϊκής Ένωσης (ΣΛΕΕ) αναθέτει στο Κοινοβούλιο και το Συμβούλιο την αρμοδιότητα να εγκρίνουν μέτρα για την προσέγγιση των νομοθετικών, κανονιστικών και διοικητικών διατάξεων των κρατών μελών πο</w:t>
      </w:r>
      <w:r>
        <w:rPr>
          <w:noProof/>
        </w:rPr>
        <w:t xml:space="preserve">υ έχουν ως αντικείμενο την εγκαθίδρυση και τη λειτουργία της εσωτερικής αγοράς. Το άρθρο 114 της ΣΛΕΕ επιτρέπει στην ΕΕ να θεσπίζει μέτρα όχι μόνο για την εξάλειψη των υφιστάμενων εμποδίων στην άσκηση των θεμελιωδών ελευθεριών αλλά και για την πρόληψη της </w:t>
      </w:r>
      <w:r>
        <w:rPr>
          <w:noProof/>
        </w:rPr>
        <w:t xml:space="preserve">εμφάνισης τέτοιων εμποδίων, περιλαμβανομένων εμποδίων που καθιστούν δύσκολη για τους οικονομικούς φορείς, περιλαμβανομένων των επενδυτών, την πλήρη αξιοποίηση των οφελών που προκύπτουν από την εσωτερική αγορά. </w:t>
      </w:r>
    </w:p>
    <w:p w:rsidR="00AA2887" w:rsidRDefault="00E93272">
      <w:pPr>
        <w:pBdr>
          <w:top w:val="nil"/>
          <w:left w:val="nil"/>
          <w:bottom w:val="nil"/>
          <w:right w:val="nil"/>
          <w:between w:val="nil"/>
          <w:bar w:val="nil"/>
        </w:pBdr>
        <w:spacing w:before="0" w:after="240"/>
        <w:rPr>
          <w:noProof/>
          <w:szCs w:val="24"/>
        </w:rPr>
      </w:pPr>
      <w:r>
        <w:rPr>
          <w:noProof/>
        </w:rPr>
        <w:t>Η απουσία εναρμονισμένων ενωσιακών κανόνων γι</w:t>
      </w:r>
      <w:r>
        <w:rPr>
          <w:noProof/>
        </w:rPr>
        <w:t>α τους δείκτες αναφοράς χαμηλών ανθρακούχων εκπομπών οδήγησε στη δημιουργία διαφορετικών προτύπων για τους εν λόγω δείκτες, γεγονός που ενδέχεται να προκαλέσει σύγχυση στους επενδυτές και να οδηγήσει σε μη βέλτιστη επιλογή δεικτών για τη μέτρηση της απόδοσ</w:t>
      </w:r>
      <w:r>
        <w:rPr>
          <w:noProof/>
        </w:rPr>
        <w:t>ης των κεφαλαίων και των προϊόντων χαμηλών ανθρακούχων εκπομπών. Το άρθρο 114 της ΣΛΕΕ δίνει στην ΕΕ το δικαίωμα να αναλαμβάνει δράση προκειμένου (i) να διασφαλίσει τη λειτουργία της εσωτερικής αγοράς όσον αφορά τους δείκτες χαμηλών ανθρακούχων εκπομπών πο</w:t>
      </w:r>
      <w:r>
        <w:rPr>
          <w:noProof/>
        </w:rPr>
        <w:t>υ χρησιμοποιούνται για τη μέτρηση της απόδοσης των χαρτοφυλακίων επενδύσεων χαμηλών ανθρακούχων εκπομπών, (ii) να μειώσει τα εμπόδια στην ομαλή λειτουργία της εσωτερικής αγοράς και (iii) να διευκολύνει τις διασυνοριακές επενδύσεις σε βιώσιμες δραστηριότητε</w:t>
      </w:r>
      <w:r>
        <w:rPr>
          <w:noProof/>
        </w:rPr>
        <w:t>ς σε ολόκληρη την Ένωση.</w:t>
      </w:r>
    </w:p>
    <w:p w:rsidR="00AA2887" w:rsidRDefault="00E93272">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rsidR="00AA2887" w:rsidRDefault="00E93272">
      <w:pPr>
        <w:pBdr>
          <w:top w:val="nil"/>
          <w:left w:val="nil"/>
          <w:bottom w:val="nil"/>
          <w:right w:val="nil"/>
          <w:between w:val="nil"/>
          <w:bar w:val="nil"/>
        </w:pBdr>
        <w:spacing w:after="240"/>
        <w:rPr>
          <w:noProof/>
          <w:szCs w:val="24"/>
        </w:rPr>
      </w:pPr>
      <w:r>
        <w:rPr>
          <w:noProof/>
        </w:rPr>
        <w:t>Η πρόταση της Επιτροπής σχετικά με την τροποποίηση του κανονισμού για τους δείκτες αναφοράς συνάδει με την αρχή της επικουρικότητας, όπως ορίζεται στο άρθρο 5 παράγραφο</w:t>
      </w:r>
      <w:r>
        <w:rPr>
          <w:noProof/>
        </w:rPr>
        <w:t xml:space="preserve">ς 3 της Συνθήκης για την Ευρωπαϊκή Ένωση (ΣΕΕ), σύμφωνα με την οποία η Ένωση πρέπει να αναλαμβάνει δράση μόνο εφόσον και κατά τον βαθμό που οι στόχοι της προβλεπόμενης δράσης δεν μπορούν να επιτευχθούν επαρκώς από τα κράτη μέλη, και μπορούν, ως εκ τούτου, </w:t>
      </w:r>
      <w:r>
        <w:rPr>
          <w:noProof/>
        </w:rPr>
        <w:t>λόγω της κλίμακας ή των αποτελεσμάτων της προβλεπόμενης δράσης, να επιτευχθούν καλύτερα στο επίπεδο της Ένωσης.</w:t>
      </w:r>
    </w:p>
    <w:p w:rsidR="00AA2887" w:rsidRDefault="00E93272">
      <w:pPr>
        <w:pBdr>
          <w:top w:val="nil"/>
          <w:left w:val="nil"/>
          <w:bottom w:val="nil"/>
          <w:right w:val="nil"/>
          <w:between w:val="nil"/>
          <w:bar w:val="nil"/>
        </w:pBdr>
        <w:spacing w:before="0" w:after="240"/>
        <w:rPr>
          <w:rFonts w:eastAsia="Arial Unicode MS"/>
          <w:noProof/>
        </w:rPr>
      </w:pPr>
      <w:r>
        <w:rPr>
          <w:noProof/>
        </w:rPr>
        <w:t>Μολονότι ορισμένοι δείκτες αναφοράς είναι εθνικοί, η χρήση δεικτών αναφοράς σε χρηματοοικονομικές συμβάσεις και προϊόντα είναι συχνά διασυνοριακ</w:t>
      </w:r>
      <w:r>
        <w:rPr>
          <w:noProof/>
        </w:rPr>
        <w:t>ού χαρακτήρα. Μολονότι η δράση σε εθνικό επίπεδο σχετικά με κάποιον δείκτη μπορεί να συμβάλει στην κατάλληλη προσαρμογή του σε συγκεκριμένα εθνικά ζητήματα, ενδέχεται να λείπει η διασυνοριακή διάσταση, γεγονός που μπορεί τελικά να οδηγήσει σε ένα συνονθύλε</w:t>
      </w:r>
      <w:r>
        <w:rPr>
          <w:noProof/>
        </w:rPr>
        <w:t>υμα διαφορετικών κανόνων, δημιουργώντας άνισους όρους ανταγωνισμού εντός της ενιαίας αγοράς και οδηγώντας σε ασυνεπή προσέγγιση σε ολόκληρη την ΕΕ. Η δράση σε εθνικό επίπεδο θα ήταν επίσης ασυμβίβαστη με τους στόχους του κανονισμού για τους δείκτες αναφορά</w:t>
      </w:r>
      <w:r>
        <w:rPr>
          <w:noProof/>
        </w:rPr>
        <w:t xml:space="preserve">ς, ο οποίος αποσκοπεί στην εναρμόνιση των κανόνων που διέπουν την παραγωγή και τη χρήση δεικτών αναφοράς σε ολόκληρη την Ένωση. Το συγκεκριμένο πρόβλημα αναγνωρίστηκε από την G20 και το Συμβούλιο χρηματοπιστωτικής σταθερότητας, το οποίο ανέθεσε στη Διεθνή </w:t>
      </w:r>
      <w:r>
        <w:rPr>
          <w:noProof/>
        </w:rPr>
        <w:t>Οργάνωση Επιτροπών Εποπτείας Χρηματιστηρίων (IOSCO) την κατάρτιση ενός παγκοσμίου συνόλου αρχών που θα διέπουν τους χρηματοπιστωτικούς δείκτες. Η τροποποίηση του κανονισμού για τους δείκτες αναφοράς θα συμβάλει στην ενίσχυση της ενιαίας αγοράς μέσω της βελ</w:t>
      </w:r>
      <w:r>
        <w:rPr>
          <w:noProof/>
        </w:rPr>
        <w:t>τίωσης του κοινού πλαισίου για αξιόπιστους δείκτες αναφοράς που χρησιμοποιούνται κατάλληλα σε διάφορα κράτη μέλη.</w:t>
      </w:r>
    </w:p>
    <w:p w:rsidR="00AA2887" w:rsidRDefault="00E93272">
      <w:pPr>
        <w:pStyle w:val="ManualHeading2"/>
        <w:rPr>
          <w:rFonts w:eastAsia="Arial Unicode MS"/>
          <w:noProof/>
          <w:u w:color="000000"/>
          <w:bdr w:val="nil"/>
        </w:rPr>
      </w:pPr>
      <w:r>
        <w:rPr>
          <w:noProof/>
        </w:rPr>
        <w:t>•</w:t>
      </w:r>
      <w:r>
        <w:rPr>
          <w:noProof/>
        </w:rPr>
        <w:tab/>
        <w:t>Αναλογικότητα</w:t>
      </w:r>
    </w:p>
    <w:p w:rsidR="00AA2887" w:rsidRDefault="00E93272">
      <w:pPr>
        <w:pBdr>
          <w:top w:val="nil"/>
          <w:left w:val="nil"/>
          <w:bottom w:val="nil"/>
          <w:right w:val="nil"/>
          <w:between w:val="nil"/>
          <w:bar w:val="nil"/>
        </w:pBdr>
        <w:spacing w:after="240"/>
        <w:rPr>
          <w:noProof/>
          <w:szCs w:val="24"/>
        </w:rPr>
      </w:pPr>
      <w:r>
        <w:rPr>
          <w:noProof/>
        </w:rPr>
        <w:t>Η προτεινόμενη τροποποίηση του κανονισμού για τους δείκτες αναφοράς είναι αναλογική, όπως απαιτείται από το άρθρο 5 παράγραφος</w:t>
      </w:r>
      <w:r>
        <w:rPr>
          <w:noProof/>
        </w:rPr>
        <w:t xml:space="preserve"> 4 της ΣΕΕ. Επικεντρώνεται στους δείκτες εκείνους που περιλαμβάνουν ζητήματα βιωσιμότητας, ιδίως τους δείκτες χαμηλών ανθρακούχων εκπομπών. Μόνο οι συγκεκριμένοι πάροχοι επηρεάζονται από την παρούσα πρόταση.</w:t>
      </w:r>
    </w:p>
    <w:p w:rsidR="00AA2887" w:rsidRDefault="00E93272">
      <w:pPr>
        <w:pBdr>
          <w:top w:val="nil"/>
          <w:left w:val="nil"/>
          <w:bottom w:val="nil"/>
          <w:right w:val="nil"/>
          <w:between w:val="nil"/>
          <w:bar w:val="nil"/>
        </w:pBdr>
        <w:spacing w:before="0" w:after="240"/>
        <w:rPr>
          <w:rFonts w:eastAsia="Arial Unicode MS"/>
          <w:noProof/>
        </w:rPr>
      </w:pPr>
      <w:r>
        <w:rPr>
          <w:noProof/>
        </w:rPr>
        <w:t>Η πρόταση ακολουθεί μια αναλογική προσέγγιση, δι</w:t>
      </w:r>
      <w:r>
        <w:rPr>
          <w:noProof/>
        </w:rPr>
        <w:t xml:space="preserve">ασφαλίζοντας την επιβολή νέων υποχρεώσεων στους διαχειριστές δεικτών αναφοράς που υπόκεινται ήδη σε παρόμοιες απαιτήσεις στο πλαίσιο του κανονισμού για τους δείκτες αναφοράς. Συνεπώς, ο διοικητικός φόρτος δεν αναμένεται να αυξηθεί δυσανάλογα. Επιπλέον, σε </w:t>
      </w:r>
      <w:r>
        <w:rPr>
          <w:noProof/>
        </w:rPr>
        <w:t>ορισμένες περιπτώσεις ενδέχεται ακόμα και να μειωθεί ο φόρτος των διαχειριστών των δεικτών αναφοράς για τις χαμηλές ανθρακούχες εκπομπές, δεδομένου ότι η πρόταση προωθεί σαφείς και εναρμονισμένους κανόνες για τους εν λόγω δείκτες αναφοράς, οδηγώντας ενδεχο</w:t>
      </w:r>
      <w:r>
        <w:rPr>
          <w:noProof/>
        </w:rPr>
        <w:t>μένως σε μείωση του κόστους ανάπτυξης εσωτερικών πολιτικών.</w:t>
      </w:r>
    </w:p>
    <w:p w:rsidR="00AA2887" w:rsidRDefault="00E93272">
      <w:pPr>
        <w:pStyle w:val="ManualHeading2"/>
        <w:rPr>
          <w:rFonts w:eastAsia="Arial Unicode MS"/>
          <w:noProof/>
          <w:u w:color="000000"/>
          <w:bdr w:val="nil"/>
        </w:rPr>
      </w:pPr>
      <w:r>
        <w:rPr>
          <w:noProof/>
        </w:rPr>
        <w:t>•</w:t>
      </w:r>
      <w:r>
        <w:rPr>
          <w:noProof/>
        </w:rPr>
        <w:tab/>
        <w:t>Επιλογή της νομικής πράξης</w:t>
      </w:r>
    </w:p>
    <w:p w:rsidR="00AA2887" w:rsidRDefault="00E93272">
      <w:pPr>
        <w:pBdr>
          <w:top w:val="nil"/>
          <w:left w:val="nil"/>
          <w:bottom w:val="nil"/>
          <w:right w:val="nil"/>
          <w:between w:val="nil"/>
          <w:bar w:val="nil"/>
        </w:pBdr>
        <w:spacing w:before="0" w:after="240"/>
        <w:rPr>
          <w:rFonts w:eastAsia="Arial Unicode MS"/>
          <w:noProof/>
        </w:rPr>
      </w:pPr>
      <w:r>
        <w:rPr>
          <w:noProof/>
        </w:rPr>
        <w:t xml:space="preserve">Η τροποποίηση του κανονισμού για τους δείκτες αναφοράς αποτελεί το πλέον κατάλληλο νομικό μέσο για τη θέσπιση κανόνων κοινοποίησης ΠΚΔ καθώς και εναρμονισμένων </w:t>
      </w:r>
      <w:r>
        <w:rPr>
          <w:noProof/>
        </w:rPr>
        <w:t>ελάχιστων προτύπων για δείκτες αναφοράς για χαμηλές ανθρακούχες εκπομπές σε ολόκληρη την Ένωση, δεδομένης της διασυνοριακής φύσης πολλών δεικτών αναφοράς. Η χρήση κανονισμού, ο οποίος είναι άμεσα εφαρμόσιμος χωρίς να απαιτείται εθνική νομοθεσία, θα περιορί</w:t>
      </w:r>
      <w:r>
        <w:rPr>
          <w:noProof/>
        </w:rPr>
        <w:t>σει το ενδεχόμενο θέσπισης διαφορετικών μέτρων εκ μέρους των αρμόδιων αρχών σε εθνικό επίπεδο και θα διασφαλίσει τη συνέπεια όσον αφορά την προσέγγιση, καθώς και μεγαλύτερη ασφάλεια δικαίου σε ολόκληρη την ΕΕ.</w:t>
      </w:r>
    </w:p>
    <w:p w:rsidR="00AA2887" w:rsidRDefault="00E93272">
      <w:pPr>
        <w:pStyle w:val="ManualHeading1"/>
        <w:rPr>
          <w:noProof/>
        </w:rPr>
      </w:pPr>
      <w:r>
        <w:rPr>
          <w:noProof/>
        </w:rPr>
        <w:t>3.</w:t>
      </w:r>
      <w:r>
        <w:rPr>
          <w:noProof/>
        </w:rPr>
        <w:tab/>
        <w:t>ΑΠΟΤΕΛΕΣΜΑΤΑ ΤΩΝ ΕΚ ΤΩΝ ΥΣΤΕΡΩΝ ΑΞΙΟΛΟΓΗΣΕΩ</w:t>
      </w:r>
      <w:r>
        <w:rPr>
          <w:noProof/>
        </w:rPr>
        <w:t>Ν, ΤΩΝ ΔΙΑΒΟΥΛΕΥΣΕΩΝ ΜΕ ΤΑ ΕΝΔΙΑΦΕΡΟΜΕΝΑ ΜΕΡΗ ΚΑΙ ΤΩΝ ΕΚΤΙΜΗΣΕΩΝ ΕΠΙΠΤΩΣΕΩΝ</w:t>
      </w:r>
    </w:p>
    <w:p w:rsidR="00AA2887" w:rsidRDefault="00E93272">
      <w:pPr>
        <w:pStyle w:val="ManualHeading2"/>
        <w:rPr>
          <w:rFonts w:eastAsia="Arial Unicode MS"/>
          <w:noProof/>
          <w:u w:color="000000"/>
          <w:bdr w:val="nil"/>
        </w:rPr>
      </w:pPr>
      <w:r>
        <w:rPr>
          <w:noProof/>
        </w:rPr>
        <w:t>•</w:t>
      </w:r>
      <w:r>
        <w:rPr>
          <w:noProof/>
        </w:rPr>
        <w:tab/>
        <w:t>Διαβουλεύσεις με τα ενδιαφερόμενα μέρη</w:t>
      </w:r>
    </w:p>
    <w:p w:rsidR="00AA2887" w:rsidRDefault="00E93272">
      <w:pPr>
        <w:pBdr>
          <w:top w:val="nil"/>
          <w:left w:val="nil"/>
          <w:bottom w:val="nil"/>
          <w:right w:val="nil"/>
          <w:between w:val="nil"/>
          <w:bar w:val="nil"/>
        </w:pBdr>
        <w:spacing w:before="0" w:after="240"/>
        <w:rPr>
          <w:rFonts w:ascii="Times" w:hAnsi="Times"/>
          <w:noProof/>
          <w:szCs w:val="24"/>
        </w:rPr>
      </w:pPr>
      <w:r>
        <w:rPr>
          <w:noProof/>
        </w:rPr>
        <w:t>Η ΟΕΥΕ συγκροτήθηκε τον Δεκέμβριο του 2016 με σκοπό να συνδράμει στην ανάπτυξη μιας στρατηγικής της ΕΕ για τη βιώσιμη χρηματοδότηση μέσω τη</w:t>
      </w:r>
      <w:r>
        <w:rPr>
          <w:noProof/>
        </w:rPr>
        <w:t>ς έκδοσης συστάσεων: δημοσίευσε μια ενδιάμεση έκθεση με τίτλο «Financing a Sustainable European Economy» (Χρηματοδότηση της βιώσιμης ευρωπαϊκής οικονομίας) στα μέσα Ιουλίου του 2017 και την παρουσίασε σε εκδήλωση για τα ενδιαφερόμενα μέρη η οποία πραγματοπ</w:t>
      </w:r>
      <w:r>
        <w:rPr>
          <w:noProof/>
        </w:rPr>
        <w:t>οιήθηκε στις 18 Ιουλίου 2017, ενώ ακολούθησε ένα ερωτηματολόγιο διαβούλευσης. Μια ενημερωτική δήλωση δημοσιεύτηκε μαζί με την τελική έκθεση της ΟΕΥΕ σχετικά με τη χρηματοδότηση της βιώσιμης οικονομίας στις 31 Ιανουαρίου 2018. Η ενημερωτική δήλωση συνοψίζει</w:t>
      </w:r>
      <w:r>
        <w:rPr>
          <w:noProof/>
        </w:rPr>
        <w:t xml:space="preserve"> τις απαντήσεις των ερωτηθέντων, ιδίως όσον αφορά τον ρόλο των δεικτών αναφοράς ΠΚΔ.</w:t>
      </w:r>
    </w:p>
    <w:p w:rsidR="00AA2887" w:rsidRDefault="00E93272">
      <w:pPr>
        <w:pBdr>
          <w:top w:val="nil"/>
          <w:left w:val="nil"/>
          <w:bottom w:val="nil"/>
          <w:right w:val="nil"/>
          <w:between w:val="nil"/>
          <w:bar w:val="nil"/>
        </w:pBdr>
        <w:spacing w:before="0" w:after="240"/>
        <w:rPr>
          <w:noProof/>
          <w:szCs w:val="24"/>
        </w:rPr>
      </w:pPr>
      <w:r>
        <w:rPr>
          <w:noProof/>
        </w:rPr>
        <w:t>Επιπλέον, η Επιτροπή ζήτησε τη γνώμη ορισμένων ενδιαφερόμενων μερών σχετικά με i) την ανάγκη εναρμονισμού των προτύπων για τις μεθοδολογίες σε ευρωπαϊκό επίπεδο· ii) τα εμ</w:t>
      </w:r>
      <w:r>
        <w:rPr>
          <w:noProof/>
        </w:rPr>
        <w:t>πόδια όσον αφορά τη χρήση δεικτών χαμηλών ανθρακούχων εκπομπών· και iii) τα βασικά στοιχεία που θα πρέπει να συμπεριληφθούν σε μια μεθοδολογία για δείκτες αναφοράς χαμηλών ανθρακούχων εκπομπών. Οι γνώμες των ενδιαφερόμενων μερών συνοψίζονται στη συνέχεια.</w:t>
      </w:r>
    </w:p>
    <w:p w:rsidR="00AA2887" w:rsidRDefault="00E93272">
      <w:pPr>
        <w:pStyle w:val="ManualHeading3"/>
        <w:rPr>
          <w:noProof/>
        </w:rPr>
      </w:pPr>
      <w:r>
        <w:rPr>
          <w:noProof/>
        </w:rPr>
        <w:t xml:space="preserve">Στοχευμένες συνεντεύξεις με ενδιαφερόμενα μέρη </w:t>
      </w:r>
    </w:p>
    <w:p w:rsidR="00AA2887" w:rsidRDefault="00E93272">
      <w:pPr>
        <w:adjustRightInd w:val="0"/>
        <w:rPr>
          <w:rFonts w:eastAsia="Times New Roman"/>
          <w:noProof/>
          <w:szCs w:val="24"/>
        </w:rPr>
      </w:pPr>
      <w:r>
        <w:rPr>
          <w:noProof/>
        </w:rPr>
        <w:t>Πραγματοποιήθηκαν συνεντεύξεις με ετερογενή ομάδα ενδιαφερόμενων μερών η οποία περιλάμβανε άτομα από τον κλάδο της διαχείρισης στοιχείων ενεργητικού, διαχειριστές δεικτών αναφοράς, άτομα από τον κλάδο της υπο</w:t>
      </w:r>
      <w:r>
        <w:rPr>
          <w:noProof/>
        </w:rPr>
        <w:t xml:space="preserve">δομής αγοράς, τον τραπεζικό τομέα και τις δεξαμενές προώθησης/σκέψης. </w:t>
      </w:r>
    </w:p>
    <w:p w:rsidR="00AA2887" w:rsidRDefault="00E93272">
      <w:pPr>
        <w:adjustRightInd w:val="0"/>
        <w:rPr>
          <w:rFonts w:eastAsia="Times New Roman"/>
          <w:noProof/>
          <w:szCs w:val="24"/>
        </w:rPr>
      </w:pPr>
      <w:r>
        <w:rPr>
          <w:noProof/>
        </w:rPr>
        <w:t>Από τις συνεντεύξεις προέκυψε ότι οι διαχειριστές στοιχείων ενεργητικού χρησιμοποιούν γενικά δύο τύπους δεικτών χαμηλών ανθρακούχων εκπομπών: έναν «βασικό δείκτη χαμηλών ανθρακούχων εκπ</w:t>
      </w:r>
      <w:r>
        <w:rPr>
          <w:noProof/>
        </w:rPr>
        <w:t>ομπών» και έναν «αποκλειστικό δείκτη χαμηλών ανθρακούχων εκπομπών». Οι διαχειριστές στοιχείων ενεργητικού αντιμετωπίζουν τους δείκτες χαμηλών ανθρακούχων εκπομπών ως εργαλείο διαχείρισης του κινδύνου πιθανής μελλοντικής ρυθμιστικής παρέμβασης που ενδεχομέν</w:t>
      </w:r>
      <w:r>
        <w:rPr>
          <w:noProof/>
        </w:rPr>
        <w:t>ως να οδηγήσει σε «μη αξιοποιήσιμα» στοιχεία ενεργητικού. Επικεντρώνονται κυρίως σε δείκτες «απαλλαγής από τις ανθρακούχες εκπομπές». Οι δείκτες αυτοί ερμηνεύονται με βάση έναν τυποποιημένο ή «μητρικό» δείκτη αναφοράς, απομακρύνοντας ή υποβαθμίζοντας τις ε</w:t>
      </w:r>
      <w:r>
        <w:rPr>
          <w:noProof/>
        </w:rPr>
        <w:t>ταιρείες με σχετικά υψηλά αποτυπώματα ανθρακούχων εκπομπών. </w:t>
      </w:r>
    </w:p>
    <w:p w:rsidR="00AA2887" w:rsidRDefault="00E93272">
      <w:pPr>
        <w:adjustRightInd w:val="0"/>
        <w:rPr>
          <w:rFonts w:eastAsia="Times New Roman"/>
          <w:noProof/>
          <w:szCs w:val="24"/>
        </w:rPr>
      </w:pPr>
      <w:r>
        <w:rPr>
          <w:noProof/>
        </w:rPr>
        <w:t>Οι πάροχοι δεικτών χαμηλών ανθρακούχων εκπομπών επιδιώκουν να μειώσουν το συνολικό αποτύπωμα άνθρακα του χαρτοφυλακίου του δείκτη σε σύγκριση με τυποποιημένους δείκτες που γενικά εφαρμόζουν τη στ</w:t>
      </w:r>
      <w:r>
        <w:rPr>
          <w:noProof/>
        </w:rPr>
        <w:t>άθμιση βάσει της χρηματιστηριακής αξίας. Για παράδειγμα, θα μπορούσαν να θέσουν ως στόχο τη μείωση κατά 40 % του αποτυπώματος άνθρακα σε σύγκριση με τον τυποποιημένο ή τον «μητρικό» δείκτη. Οι πάροχοι «αποκλειστικού δείκτη χαμηλών ανθρακούχων εκπομπών» υπο</w:t>
      </w:r>
      <w:r>
        <w:rPr>
          <w:noProof/>
        </w:rPr>
        <w:t>στηρίζουν ότι οι συγκεκριμένοι βασικοί «απαλλαγμένοι από τις ανθρακούχες εκπομπές» δείκτες δεν ευθυγραμμίζονται με τους στόχους των 2C° της Συμφωνίας του Παρισιού για το κλίμα· τάσσονται υπέρ μιας περισσότερο αυστηρής μεθοδολογίας για την επιλογή των συνισ</w:t>
      </w:r>
      <w:r>
        <w:rPr>
          <w:noProof/>
        </w:rPr>
        <w:t>τωσών των δεικτών αναφοράς, όπως η αναλογία αντίκτυπου στις ανθρακούχες εκπομπές. </w:t>
      </w:r>
    </w:p>
    <w:p w:rsidR="00AA2887" w:rsidRDefault="00E93272">
      <w:pPr>
        <w:adjustRightInd w:val="0"/>
        <w:rPr>
          <w:rFonts w:eastAsia="Times New Roman"/>
          <w:noProof/>
          <w:szCs w:val="24"/>
        </w:rPr>
      </w:pPr>
      <w:r>
        <w:rPr>
          <w:noProof/>
        </w:rPr>
        <w:t>Από τις συνεντεύξεις προέκυψαν επίσης σημαντικές διαφορές στον τρόπο με τον οποίο οι πάροχοι δεικτών μετρούν το αποτύπωμα άνθρακα. Οι περισσότεροι πάροχοι βασικών δεικτών τε</w:t>
      </w:r>
      <w:r>
        <w:rPr>
          <w:noProof/>
        </w:rPr>
        <w:t>ίνουν να εξετάζουν τις ανθρακούχες εκπομπές που προκαλούνται άμεσα από τις παραγωγικές δραστηριότητες μιας εταιρείας («εκπομπές πεδίου 1») και τις έμμεσες εκπομπές που παράγονται από την προμήθεια πρώτων υλών ή άλλων «εισροών» που προμηθεύει σε προηγούμενο</w:t>
      </w:r>
      <w:r>
        <w:rPr>
          <w:noProof/>
        </w:rPr>
        <w:t xml:space="preserve"> στάδιο η εταιρεία για την παραγωγή των προϊόντων της ή την εκτέλεση των υπηρεσιών της («εκπομπές πεδίου 2»). Ωστόσο, οι εκπρόσωποι των παρόχων «αποκλειστικού δείκτη χαμηλών ανθρακούχων εκπομπών» πιστεύουν ότι η συγκεκριμένη προσέγγιση δεν αντικατοπτρίζει </w:t>
      </w:r>
      <w:r>
        <w:rPr>
          <w:noProof/>
        </w:rPr>
        <w:t>επαρκώς το αποτύπωμα άνθρακα μιας εταιρείας, διότι δεν υπολογίζονται καθόλου οι εκπομπές που προέρχονται από τους πελάτες μιας εταιρείας («εκπομπές πεδίου 3»).</w:t>
      </w:r>
    </w:p>
    <w:p w:rsidR="00AA2887" w:rsidRDefault="00E93272">
      <w:pPr>
        <w:pStyle w:val="ManualHeading3"/>
        <w:rPr>
          <w:noProof/>
        </w:rPr>
      </w:pPr>
      <w:r>
        <w:rPr>
          <w:noProof/>
        </w:rPr>
        <w:t xml:space="preserve">Ερωτηματολόγιο </w:t>
      </w:r>
    </w:p>
    <w:p w:rsidR="00AA2887" w:rsidRDefault="00E93272">
      <w:pPr>
        <w:adjustRightInd w:val="0"/>
        <w:rPr>
          <w:rFonts w:eastAsia="Times New Roman"/>
          <w:noProof/>
          <w:szCs w:val="24"/>
        </w:rPr>
      </w:pPr>
      <w:r>
        <w:rPr>
          <w:noProof/>
        </w:rPr>
        <w:t>Διαχειριστές στοιχείων ενεργητικού, αντασφαλιστικές εταιρείες, πάροχοι δεικτών α</w:t>
      </w:r>
      <w:r>
        <w:rPr>
          <w:noProof/>
        </w:rPr>
        <w:t xml:space="preserve">ναφοράς και μία ένωση τραπεζών απάντησαν στο ερωτηματολόγιο σχετικά με τη χρησιμότητα των εναρμονισμένων προτύπων για τη μεθοδολογία των δεικτών χαμηλών ανθρακούχων εκπομπών. </w:t>
      </w:r>
    </w:p>
    <w:p w:rsidR="00AA2887" w:rsidRDefault="00E93272">
      <w:pPr>
        <w:adjustRightInd w:val="0"/>
        <w:rPr>
          <w:rFonts w:eastAsia="Times New Roman"/>
          <w:noProof/>
          <w:szCs w:val="24"/>
        </w:rPr>
      </w:pPr>
      <w:r>
        <w:rPr>
          <w:noProof/>
        </w:rPr>
        <w:t>Οι ερωτηθέντες δήλωσαν ότι δεν χρησιμοποιούν δείκτη χαμηλών ανθρακούχων εκπομπών</w:t>
      </w:r>
      <w:r>
        <w:rPr>
          <w:noProof/>
        </w:rPr>
        <w:t xml:space="preserve"> διότι: i) οι υφιστάμενες μεθοδολογίες δεν αντικατοπτρίζουν όλες τις πηγές ανθρακούχων εκπομπών· ii) οι πελάτες τους (επενδυτές) δεν εμπιστεύονται τη μεθοδολογία που εφαρμόζουν οι διαθέσιμοι δείκτες χαμηλών ανθρακούχων εκπομπών· και iii) δεν υπάρχουν δείκτ</w:t>
      </w:r>
      <w:r>
        <w:rPr>
          <w:noProof/>
        </w:rPr>
        <w:t xml:space="preserve">ες χαμηλών ανθρακούχων εκπομπών οι οποίοι αντικατοπτρίζουν την προσέγγιση και το ύφος των επενδύσεών τους. </w:t>
      </w:r>
    </w:p>
    <w:p w:rsidR="00AA2887" w:rsidRDefault="00E93272">
      <w:pPr>
        <w:adjustRightInd w:val="0"/>
        <w:rPr>
          <w:rFonts w:eastAsia="Times New Roman"/>
          <w:noProof/>
          <w:szCs w:val="24"/>
        </w:rPr>
      </w:pPr>
      <w:r>
        <w:rPr>
          <w:noProof/>
        </w:rPr>
        <w:t>Οι ερωτηθέντες παρατήρησαν ότι αξίζει να αναπτυχθούν εναρμονισμένα πρότυπα για τη μεθοδολογία των δεικτών χαμηλών ανθρακούχων εκπομπών σε ενωσιακό ε</w:t>
      </w:r>
      <w:r>
        <w:rPr>
          <w:noProof/>
        </w:rPr>
        <w:t xml:space="preserve">πίπεδο και τόνισαν τη σημασία της ύπαρξης αξιόπιστων δεδομένων σχετικά με τις έμμεσες ανθρακούχες εκπομπές από τους χρήστες ή τους προμηθευτές μιας εταιρείας. </w:t>
      </w:r>
    </w:p>
    <w:p w:rsidR="00AA2887" w:rsidRDefault="00E93272">
      <w:pPr>
        <w:adjustRightInd w:val="0"/>
        <w:rPr>
          <w:rFonts w:eastAsia="Times New Roman"/>
          <w:noProof/>
          <w:szCs w:val="24"/>
        </w:rPr>
      </w:pPr>
      <w:r>
        <w:rPr>
          <w:noProof/>
        </w:rPr>
        <w:t>Όταν ρωτήθηκαν ποια είναι τα βασικά χαρακτηριστικά των δεικτών χαμηλών ανθρακούχων εκπομπών, η π</w:t>
      </w:r>
      <w:r>
        <w:rPr>
          <w:noProof/>
        </w:rPr>
        <w:t>λειονότητα των ερωτηθέντων παρατήρησε ότι οι εκπομπές του πεδίου 3 θα πρέπει να συμπεριληφθούν στην αξιολόγηση των ανθρακούχων εκπομπών. Ορισμένοι ερωτηθέντες επισήμαναν ότι η μεθοδολογία ενός δείκτη χαμηλών ανθρακούχων εκπομπών θα πρέπει να ευθυγραμμιστεί</w:t>
      </w:r>
      <w:r>
        <w:rPr>
          <w:noProof/>
        </w:rPr>
        <w:t xml:space="preserve"> με μια δυνητική επικείμενη ταξινόμηση της ΕΕ. Ωστόσο, ορισμένοι ερωτηθέντες ήταν επιφυλακτικοί όσον αφορά την ανάπτυξη μιας εναρμονισμένης μεθοδολογίας σε ενωσιακό επίπεδο, εκφράζοντας ανησυχίες για τα διαθέσιμα δεδομένα, την ασαφή σύνδεση μεταξύ του αποτ</w:t>
      </w:r>
      <w:r>
        <w:rPr>
          <w:noProof/>
        </w:rPr>
        <w:t>υπώματος άνθρακα και των περιβαλλοντικών κινδύνων με δημοσιονομικές επιπτώσεις (π.χ. κίνδυνος μετάβασης), και τον παρωχημένο χαρακτήρα των περισσότερων μεθόδων.</w:t>
      </w:r>
    </w:p>
    <w:p w:rsidR="00AA2887" w:rsidRDefault="00E93272">
      <w:pPr>
        <w:pStyle w:val="ManualHeading2"/>
        <w:rPr>
          <w:rFonts w:eastAsia="Arial Unicode MS"/>
          <w:noProof/>
          <w:u w:color="000000"/>
          <w:bdr w:val="nil"/>
        </w:rPr>
      </w:pPr>
      <w:r>
        <w:rPr>
          <w:noProof/>
        </w:rPr>
        <w:t>•</w:t>
      </w:r>
      <w:r>
        <w:rPr>
          <w:noProof/>
        </w:rPr>
        <w:tab/>
        <w:t>Συλλογή και χρήση εμπειρογνωσίας</w:t>
      </w:r>
    </w:p>
    <w:p w:rsidR="00AA2887" w:rsidRDefault="00E93272">
      <w:pPr>
        <w:pBdr>
          <w:top w:val="nil"/>
          <w:left w:val="nil"/>
          <w:bottom w:val="nil"/>
          <w:right w:val="nil"/>
          <w:between w:val="nil"/>
          <w:bar w:val="nil"/>
        </w:pBdr>
        <w:spacing w:after="240"/>
        <w:rPr>
          <w:noProof/>
        </w:rPr>
      </w:pPr>
      <w:r>
        <w:rPr>
          <w:noProof/>
        </w:rPr>
        <w:t>Η πρόταση βασίζεται στην έκθεση της ομάδας εμπειρογνωμόνων υψηλού επιπέδου σχετικά με τη βιώσιμη χρηματοδότηση, η οποία συνιστά τη λήψη μέτρων για τη βελτίωση της διαφάνειας και την καθοδήγηση όσον αφορά τους δείκτες αναφοράς για τις χρηματοπιστωτικές αγορ</w:t>
      </w:r>
      <w:r>
        <w:rPr>
          <w:noProof/>
        </w:rPr>
        <w:t xml:space="preserve">ές. Η παρούσα πρόταση εξετάζει προσεκτικά την εναρμόνιση με άλλες συστάσεις της ομάδας εμπειρογνωμόνων υψηλού επιπέδου, όπως η δημοσιοποίηση και η ταξινόμηση των ενεργειών που θεωρούνται βιώσιμες. </w:t>
      </w:r>
    </w:p>
    <w:p w:rsidR="00AA2887" w:rsidRDefault="00E93272">
      <w:pPr>
        <w:pBdr>
          <w:top w:val="nil"/>
          <w:left w:val="nil"/>
          <w:bottom w:val="nil"/>
          <w:right w:val="nil"/>
          <w:between w:val="nil"/>
          <w:bar w:val="nil"/>
        </w:pBdr>
        <w:spacing w:after="240"/>
        <w:rPr>
          <w:noProof/>
        </w:rPr>
      </w:pPr>
      <w:r>
        <w:rPr>
          <w:noProof/>
        </w:rPr>
        <w:t xml:space="preserve">Η πρόταση βασίζεται επίσης στη μελέτη με τίτλο </w:t>
      </w:r>
      <w:r>
        <w:rPr>
          <w:i/>
          <w:noProof/>
        </w:rPr>
        <w:t>Defining “g</w:t>
      </w:r>
      <w:r>
        <w:rPr>
          <w:i/>
          <w:noProof/>
        </w:rPr>
        <w:t>reen” in the context of green finance</w:t>
      </w:r>
      <w:r>
        <w:rPr>
          <w:noProof/>
        </w:rPr>
        <w:t>, η οποία εκπονήθηκε κατόπιν ανάθεσης της Επιτροπής το 2017. Η μελέτη παρουσιάζει:</w:t>
      </w:r>
    </w:p>
    <w:p w:rsidR="00AA2887" w:rsidRDefault="00E93272">
      <w:pPr>
        <w:pStyle w:val="Bullet0"/>
        <w:numPr>
          <w:ilvl w:val="0"/>
          <w:numId w:val="8"/>
        </w:numPr>
        <w:rPr>
          <w:noProof/>
        </w:rPr>
      </w:pPr>
      <w:r>
        <w:rPr>
          <w:noProof/>
        </w:rPr>
        <w:t>επισκόπηση και ανάλυση των προσπαθειών που καταβάλλονται σε παγκόσμιο επίπεδο για τον προσδιορισμό του «πράσινου χαρακτήρα» των πράσινων</w:t>
      </w:r>
      <w:r>
        <w:rPr>
          <w:noProof/>
        </w:rPr>
        <w:t xml:space="preserve"> ομολόγων, του δανεισμού και των εισηγμένων τίτλων·</w:t>
      </w:r>
    </w:p>
    <w:p w:rsidR="00AA2887" w:rsidRDefault="00E93272">
      <w:pPr>
        <w:pStyle w:val="Bullet0"/>
        <w:numPr>
          <w:ilvl w:val="0"/>
          <w:numId w:val="17"/>
        </w:numPr>
        <w:rPr>
          <w:noProof/>
        </w:rPr>
      </w:pPr>
      <w:r>
        <w:rPr>
          <w:noProof/>
        </w:rPr>
        <w:t>τα μέσα και το πεδίο για τον εντοπισμό πράσινων στοιχείων ενεργητικού και δραστηριοτήτων μέσω εννοιολογικών ορισμών, ταξινομήσεων, μεθοδολογιών αξιολόγησης και άλλων μηχανισμών και την ανάγκη να αντικατοπ</w:t>
      </w:r>
      <w:r>
        <w:rPr>
          <w:noProof/>
        </w:rPr>
        <w:t>τρίζονται στις μεθόδους που χρησιμοποιούνται για την δημιουργία πράσινων δεικτών αναφοράς και κεφαλαίων, και</w:t>
      </w:r>
    </w:p>
    <w:p w:rsidR="00AA2887" w:rsidRDefault="00E93272">
      <w:pPr>
        <w:pStyle w:val="Bullet0"/>
        <w:numPr>
          <w:ilvl w:val="0"/>
          <w:numId w:val="17"/>
        </w:numPr>
        <w:rPr>
          <w:noProof/>
        </w:rPr>
      </w:pPr>
      <w:r>
        <w:rPr>
          <w:noProof/>
        </w:rPr>
        <w:t xml:space="preserve">σύγκριση των τεράστιων διαφορών μεταξύ των μεθοδολογιών που διέπουν τους δείκτες πράσινων τίτλων και πράσινων ομολόγων </w:t>
      </w:r>
    </w:p>
    <w:p w:rsidR="00AA2887" w:rsidRDefault="00E93272">
      <w:pPr>
        <w:pBdr>
          <w:top w:val="nil"/>
          <w:left w:val="nil"/>
          <w:bottom w:val="nil"/>
          <w:right w:val="nil"/>
          <w:between w:val="nil"/>
          <w:bar w:val="nil"/>
        </w:pBdr>
        <w:spacing w:before="0" w:after="240"/>
        <w:rPr>
          <w:rFonts w:eastAsia="Arial Unicode MS"/>
          <w:noProof/>
        </w:rPr>
      </w:pPr>
      <w:r>
        <w:rPr>
          <w:noProof/>
        </w:rPr>
        <w:t>Για την προετοιμασία των κα</w:t>
      </w:r>
      <w:r>
        <w:rPr>
          <w:noProof/>
        </w:rPr>
        <w:t>τ’ εξουσιοδότηση πράξεων με τις οποίες σχεδιάζονται οι παράμετροι της μεθοδολογίας για την επιλογή υποκείμενων στοιχείων ενεργητικού για τους δείκτες χαμηλών ανθρακούχων εκπομπών και θετικού αντικτύπου άνθρακα, η Επιτροπή θα βασιστεί στις συμβουλές της ομά</w:t>
      </w:r>
      <w:r>
        <w:rPr>
          <w:noProof/>
        </w:rPr>
        <w:t>δας τεχνικών εμπειρογνωμόνων για τη βιώσιμη χρηματοδότηση, η οποία συγκροτήθηκε από την Επιτροπή.</w:t>
      </w:r>
    </w:p>
    <w:p w:rsidR="00AA2887" w:rsidRDefault="00E93272">
      <w:pPr>
        <w:pStyle w:val="ManualHeading2"/>
        <w:rPr>
          <w:rFonts w:eastAsia="Arial Unicode MS"/>
          <w:noProof/>
          <w:u w:color="000000"/>
          <w:bdr w:val="nil"/>
        </w:rPr>
      </w:pPr>
      <w:r>
        <w:rPr>
          <w:noProof/>
        </w:rPr>
        <w:t>•</w:t>
      </w:r>
      <w:r>
        <w:rPr>
          <w:noProof/>
        </w:rPr>
        <w:tab/>
        <w:t>Εκτίμηση επιπτώσεων</w:t>
      </w:r>
    </w:p>
    <w:p w:rsidR="00AA2887" w:rsidRDefault="00E93272">
      <w:pPr>
        <w:pBdr>
          <w:top w:val="nil"/>
          <w:left w:val="nil"/>
          <w:bottom w:val="nil"/>
          <w:right w:val="nil"/>
          <w:between w:val="nil"/>
          <w:bar w:val="nil"/>
        </w:pBdr>
        <w:spacing w:after="240"/>
        <w:rPr>
          <w:noProof/>
        </w:rPr>
      </w:pPr>
      <w:r>
        <w:rPr>
          <w:noProof/>
        </w:rPr>
        <w:t>Σύμφωνα με την πολιτική για τη βελτίωση της νομοθεσίας, η Επιτροπή διενήργησε εκτίμηση επιπτώσεων των εναλλακτικών επιλογών πολιτικής.</w:t>
      </w:r>
    </w:p>
    <w:p w:rsidR="00AA2887" w:rsidRDefault="00E93272">
      <w:pPr>
        <w:autoSpaceDE w:val="0"/>
        <w:adjustRightInd w:val="0"/>
        <w:spacing w:after="0"/>
        <w:rPr>
          <w:noProof/>
          <w:color w:val="000000"/>
          <w:szCs w:val="24"/>
        </w:rPr>
      </w:pPr>
      <w:r>
        <w:rPr>
          <w:noProof/>
          <w:color w:val="000000"/>
        </w:rPr>
        <w:t>Οι γενικές εναλλακτικές επιλογές πολιτικής που εξετάστηκαν στην εκτίμηση επιπτώσεων ήταν οι ακόλουθες:</w:t>
      </w:r>
    </w:p>
    <w:p w:rsidR="00AA2887" w:rsidRDefault="00E93272">
      <w:pPr>
        <w:pStyle w:val="Point1number"/>
        <w:numPr>
          <w:ilvl w:val="2"/>
          <w:numId w:val="7"/>
        </w:numPr>
        <w:rPr>
          <w:noProof/>
        </w:rPr>
      </w:pPr>
      <w:r>
        <w:rPr>
          <w:noProof/>
        </w:rPr>
        <w:t>καμία ενέργεια εκ μέρους της ΕΕ (επιλογή 1)·</w:t>
      </w:r>
    </w:p>
    <w:p w:rsidR="00AA2887" w:rsidRDefault="00E93272">
      <w:pPr>
        <w:pStyle w:val="Point1number"/>
        <w:numPr>
          <w:ilvl w:val="2"/>
          <w:numId w:val="16"/>
        </w:numPr>
        <w:rPr>
          <w:noProof/>
        </w:rPr>
      </w:pPr>
      <w:r>
        <w:rPr>
          <w:noProof/>
        </w:rPr>
        <w:t>βελτίωση της διαφάνειας της μεθοδολογίας και θέσπιση ελάχιστων προτύπων για «απαλλαγμένους από τις ανθρακούχ</w:t>
      </w:r>
      <w:r>
        <w:rPr>
          <w:noProof/>
        </w:rPr>
        <w:t>ες εκπομπές» δείκτες ή δείκτες «χαμηλών ανθρακούχων εκπομπών»</w:t>
      </w:r>
      <w:r>
        <w:rPr>
          <w:rStyle w:val="FootnoteReference"/>
          <w:noProof/>
        </w:rPr>
        <w:footnoteReference w:id="17"/>
      </w:r>
      <w:r>
        <w:rPr>
          <w:noProof/>
        </w:rPr>
        <w:t xml:space="preserve"> - γενικευμένη προσέγγιση με ελάχιστη εναρμόνιση (επιλογή 2)·</w:t>
      </w:r>
    </w:p>
    <w:p w:rsidR="00AA2887" w:rsidRDefault="00E93272">
      <w:pPr>
        <w:pStyle w:val="Point1number"/>
        <w:numPr>
          <w:ilvl w:val="2"/>
          <w:numId w:val="16"/>
        </w:numPr>
        <w:rPr>
          <w:noProof/>
        </w:rPr>
      </w:pPr>
      <w:r>
        <w:rPr>
          <w:noProof/>
        </w:rPr>
        <w:t>εναρμονισμένοι ενωσιακοί κανόνες για «αποκλειστικούς» δείκτες χαμηλών ανθρακούχων εκπομπών ή για δείκτες «θετικού αντικτύπου άνθρακα</w:t>
      </w:r>
      <w:r>
        <w:rPr>
          <w:noProof/>
        </w:rPr>
        <w:t>», οι οποίοι ευθυγραμμίζονται με τον στόχο των 2°C - εξειδικευμένη προσέγγιση με λεπτομερές εγχειρίδιο κανόνων (επιλογή 3)·</w:t>
      </w:r>
    </w:p>
    <w:p w:rsidR="00AA2887" w:rsidRDefault="00E93272">
      <w:pPr>
        <w:pStyle w:val="Point1number"/>
        <w:numPr>
          <w:ilvl w:val="2"/>
          <w:numId w:val="16"/>
        </w:numPr>
        <w:rPr>
          <w:noProof/>
        </w:rPr>
      </w:pPr>
      <w:r>
        <w:rPr>
          <w:noProof/>
        </w:rPr>
        <w:t>ελάχιστα πρότυπα για τον εναρμονισμό της μεθοδολογίας που πρόκειται να εφαρμοστεί στους δείκτες χαμηλών ανθρακούχων εκπομπών και στο</w:t>
      </w:r>
      <w:r>
        <w:rPr>
          <w:noProof/>
        </w:rPr>
        <w:t>υς δείκτες «θετικού αντικτύπου άνθρακα» (επιλογή 4, υποεπιλογή α) ή εναρμονισμένοι ενωσιακοί κανόνες για διαφορετικούς τύπους δεικτών χαμηλών ανθρακούχων εκπομπών - συνολική ρυθμιστική προσέγγιση (επιλογή 4, υποεπιλογή β).</w:t>
      </w:r>
    </w:p>
    <w:p w:rsidR="00AA2887" w:rsidRDefault="00E93272">
      <w:pPr>
        <w:adjustRightInd w:val="0"/>
        <w:rPr>
          <w:rFonts w:ascii="Times" w:hAnsi="Times"/>
          <w:noProof/>
          <w:color w:val="000000" w:themeColor="text1"/>
          <w:szCs w:val="24"/>
        </w:rPr>
      </w:pPr>
      <w:r>
        <w:rPr>
          <w:noProof/>
        </w:rPr>
        <w:t xml:space="preserve">Σύμφωνα με την </w:t>
      </w:r>
      <w:r>
        <w:rPr>
          <w:b/>
          <w:noProof/>
        </w:rPr>
        <w:t>επιλογή 1</w:t>
      </w:r>
      <w:r>
        <w:rPr>
          <w:noProof/>
        </w:rPr>
        <w:t xml:space="preserve">, ο κατακερματισμός της αγοράς πιθανόν να αυξηθεί περαιτέρω με την πάροδο των ετών, ενώ το σχετικό κόστος αναζήτησης για τους επενδυτές θα παραμείνει υψηλό. Οι επενδυτές που επιθυμούν να επενδύσουν με πραγματικό αντίκτυπο σε στοιχεία ενεργητικού που είναι </w:t>
      </w:r>
      <w:r>
        <w:rPr>
          <w:noProof/>
        </w:rPr>
        <w:t>εναρμονισμένα με τον στόχο των 2°C δεν διαθέτουν ακόμη τα κατάλληλα εργαλεία (δείκτες αναφοράς) για την αξιολόγηση της απόδοσης των κεφαλαίων/του χαρτοφυλακίου χαμηλών ανθρακούχων εκπομπών. Η έλλειψη εναρμόνισης των μεθοδολογιών που διέπουν τους δείκτες χα</w:t>
      </w:r>
      <w:r>
        <w:rPr>
          <w:noProof/>
        </w:rPr>
        <w:t xml:space="preserve">μηλών ανθρακούχων εκπομπών θα συνεχίσει να επηρεάζει τη συγκρισιμότητα και τη σημασία τους. Επιπλέον, δεν θα παρέχονται κίνητρα προκειμένου οι εταιρείες να ευθυγραμμίσουν τις εταιρικές στρατηγικές τους με τους στόχους για το κλίμα. </w:t>
      </w:r>
    </w:p>
    <w:p w:rsidR="00AA2887" w:rsidRDefault="00E93272">
      <w:pPr>
        <w:adjustRightInd w:val="0"/>
        <w:rPr>
          <w:noProof/>
          <w:color w:val="000000" w:themeColor="text1"/>
          <w:szCs w:val="24"/>
        </w:rPr>
      </w:pPr>
      <w:r>
        <w:rPr>
          <w:noProof/>
        </w:rPr>
        <w:t xml:space="preserve">Η </w:t>
      </w:r>
      <w:r>
        <w:rPr>
          <w:b/>
          <w:noProof/>
        </w:rPr>
        <w:t>επιλογή 2</w:t>
      </w:r>
      <w:r>
        <w:rPr>
          <w:noProof/>
        </w:rPr>
        <w:t xml:space="preserve"> θα βελτιώσε</w:t>
      </w:r>
      <w:r>
        <w:rPr>
          <w:noProof/>
        </w:rPr>
        <w:t>ι τη διαφάνεια της μεθοδολογίας των δεικτών αναφοράς και θα ευθυγραμμίσει ορισμένα από τα στοιχεία της. Σύμφωνα με τη συγκεκριμένη επιλογή, θα παρέχονται στους επενδυτές λεπτομέρειες σχετικά με τη συμπερίληψη παραμέτρων σχετικών με το κλίμα, η περιγραφή τω</w:t>
      </w:r>
      <w:r>
        <w:rPr>
          <w:noProof/>
        </w:rPr>
        <w:t>ν συστατικών στοιχείων των δεικτών αναφοράς, και τα κριτήρια που χρησιμοποιούνται για την επιλογή και τη στάθμισή τους. Η υιοθέτηση της συγκεκριμένης επιλογής θα είναι σχετικά απλή και αποδοτική από οικονομικής πλευράς για τους διαχειριστές δεικτών αναφορά</w:t>
      </w:r>
      <w:r>
        <w:rPr>
          <w:noProof/>
        </w:rPr>
        <w:t>ς, δεδομένου ότι το μόνο που απαιτεί από αυτούς είναι να συμμορφώνονται με ελάχιστα πρότυπα στη μεθοδολογία τους ενώ τους παρέχει ορισμένη ευελιξία να προσθέτουν άλλα στοιχεία/κριτήρια. Ωστόσο, η συγκεκριμένη εναρμονισμένη μεθοδολογία εφαρμόζεται μόνο σε έ</w:t>
      </w:r>
      <w:r>
        <w:rPr>
          <w:noProof/>
        </w:rPr>
        <w:t>να τμήμα των δεικτών χαμηλών ανθρακούχων εκπομπών οι οποίοι δεν αποσκοπούν στην ευθυγράμμιση με τον στόχο των 2</w:t>
      </w:r>
      <w:r>
        <w:rPr>
          <w:noProof/>
          <w:vertAlign w:val="superscript"/>
        </w:rPr>
        <w:t>o</w:t>
      </w:r>
      <w:r>
        <w:rPr>
          <w:noProof/>
        </w:rPr>
        <w:t xml:space="preserve"> C και, συνεπώς, ενδέχεται να μην συμβάλλουν σημαντικά σε πολιτικές μετριασμού των επιπτώσεων της κλιματικής αλλαγής καθώς δεν θα δημιουργούν σα</w:t>
      </w:r>
      <w:r>
        <w:rPr>
          <w:noProof/>
        </w:rPr>
        <w:t xml:space="preserve">φήνεια σε ενωσιακό επίπεδο σχετικά με τα βιώσιμα στοιχεία ενεργητικού/τις βιώσιμες επενδύσεις. Ως εκ τούτου, η συγκεκριμένη επιλογή δεν ευθυγραμμίζεται με την πλήρη επίτευξη των στόχων βιωσιμότητας της ΕΕ. </w:t>
      </w:r>
    </w:p>
    <w:p w:rsidR="00AA2887" w:rsidRDefault="00E93272">
      <w:pPr>
        <w:rPr>
          <w:noProof/>
          <w:szCs w:val="24"/>
          <w:highlight w:val="yellow"/>
        </w:rPr>
      </w:pPr>
      <w:r>
        <w:rPr>
          <w:noProof/>
        </w:rPr>
        <w:t xml:space="preserve">Σύμφωνα με την </w:t>
      </w:r>
      <w:r>
        <w:rPr>
          <w:b/>
          <w:noProof/>
        </w:rPr>
        <w:t>επιλογή 3</w:t>
      </w:r>
      <w:r>
        <w:rPr>
          <w:noProof/>
        </w:rPr>
        <w:t>, η Επιτροπή θα δημιουργή</w:t>
      </w:r>
      <w:r>
        <w:rPr>
          <w:noProof/>
        </w:rPr>
        <w:t>σει ένα εναρμονισμένο σύνολο κανόνων που καλύπτουν τους αποκλειστικούς δείκτες χαμηλών ανθρακούχων εκπομπών ή τους δείκτες «θετικού αντικτύπου άνθρακα»</w:t>
      </w:r>
      <w:r>
        <w:rPr>
          <w:rStyle w:val="FootnoteReference"/>
          <w:noProof/>
        </w:rPr>
        <w:footnoteReference w:id="18"/>
      </w:r>
      <w:r>
        <w:rPr>
          <w:noProof/>
        </w:rPr>
        <w:t xml:space="preserve">. Οι δείκτες αυτοί θα δώσουν τη δυνατότητα στους διαχειριστές στοιχείων ενεργητικού/θεσμικούς επενδυτές </w:t>
      </w:r>
      <w:r>
        <w:rPr>
          <w:noProof/>
        </w:rPr>
        <w:t>να παρακολουθούν σωστά/να αξιολογούν τις αποδόσεις των κεφαλαίων τους που έχουν επιλεγεί σύμφωνα με τον στόχο των 2</w:t>
      </w:r>
      <w:r>
        <w:rPr>
          <w:noProof/>
          <w:vertAlign w:val="superscript"/>
        </w:rPr>
        <w:t>o</w:t>
      </w:r>
      <w:r>
        <w:rPr>
          <w:noProof/>
        </w:rPr>
        <w:t xml:space="preserve">C της Συμφωνίας του Παρισιού για το κλίμα και να επιδεικνύουν συμμόρφωση με αυτήν την επενδυτική στρατηγική στους πελάτες/δικαιούχους τους. </w:t>
      </w:r>
      <w:r>
        <w:rPr>
          <w:noProof/>
        </w:rPr>
        <w:t>Σε αντίθεση με την επιλογή 2, η συγκεκριμένη μεθοδολογία θα καταστήσει δυνατή τη συμπερίληψη των στοιχείων ενεργητικού των εταιρειών που συμβάλλουν σημαντικά στη μείωση των εκπομπών, διοχετεύοντας συνεπώς περισσότερες επενδυτικές ροές στους εν λόγω εκδότες</w:t>
      </w:r>
      <w:r>
        <w:rPr>
          <w:rStyle w:val="FootnoteReference"/>
          <w:noProof/>
        </w:rPr>
        <w:footnoteReference w:id="19"/>
      </w:r>
      <w:r>
        <w:rPr>
          <w:noProof/>
        </w:rPr>
        <w:t>. Ωστόσο, οι «αποκλειστικοί» δείκτες χαμηλών ανθρακούχων εκπομπών μπορούν να συγκεντρώσουν επενδύσεις μόνο σε ορισμένους τομείς και δεν θεωρούνται κατάλληλοι για τη δημιουργία βασικού χαρτοφυλακίου τίτλων από μεγάλη ομάδα ενδιαφερόμενων μερών, γεγονός που</w:t>
      </w:r>
      <w:r>
        <w:rPr>
          <w:noProof/>
        </w:rPr>
        <w:t xml:space="preserve"> ενέχει τον κίνδυνο περιορισμένης αξιοποίησης του δείκτη αναφοράς στην αγορά. </w:t>
      </w:r>
    </w:p>
    <w:p w:rsidR="00AA2887" w:rsidRDefault="00E93272">
      <w:pPr>
        <w:rPr>
          <w:noProof/>
          <w:szCs w:val="24"/>
        </w:rPr>
      </w:pPr>
      <w:r>
        <w:rPr>
          <w:b/>
          <w:noProof/>
        </w:rPr>
        <w:t>Σύμφωνα με την επιλογή 4,</w:t>
      </w:r>
      <w:r>
        <w:rPr>
          <w:noProof/>
        </w:rPr>
        <w:t xml:space="preserve"> θα θεσπιστούν εναρμονισμένοι κανόνες για (1) εκδοχές τυποποιημένων δεικτών που είναι «απαλλαγμένες από τις ανθρακούχες εκπομπές» ή «χαμηλών ανθρακούχων</w:t>
      </w:r>
      <w:r>
        <w:rPr>
          <w:noProof/>
        </w:rPr>
        <w:t xml:space="preserve"> εκπομπών» και (2) «αποκλειστικούς» δείκτες χαμηλών ανθρακούχων εκπομπών ή «θετικού αντικτύπου άνθρακα». Συνεπώς, η συγκεκριμένη επιλογή θα εφαρμόζεται σε ευρύτερο φάσμα δεικτών σε σύγκριση με τις επιλογές 2 ή 3. Θα επιτρέπει στους θεσμικούς επενδυτές και </w:t>
      </w:r>
      <w:r>
        <w:rPr>
          <w:noProof/>
        </w:rPr>
        <w:t>στους διαχειριστές στοιχείων ενεργητικού να παρακολουθούν σωστά/να αξιολογούν τις αποδόσεις περισσότερων τύπων κεφαλαίων χαμηλών ανθρακούχων εκπομπών και να παρέχουν μια σχετικά μεγάλη επιλογή εργαλείων προς επίδειξη της συμμόρφωσής τους με τις προτιμήσεις</w:t>
      </w:r>
      <w:r>
        <w:rPr>
          <w:noProof/>
        </w:rPr>
        <w:t xml:space="preserve"> χαμηλών ανθρακούχων εκπομπών των πελατών τους. </w:t>
      </w:r>
    </w:p>
    <w:p w:rsidR="00AA2887" w:rsidRDefault="00E93272">
      <w:pPr>
        <w:rPr>
          <w:noProof/>
        </w:rPr>
      </w:pPr>
      <w:r>
        <w:rPr>
          <w:noProof/>
        </w:rPr>
        <w:t xml:space="preserve">Η συγκεκριμένη επιλογή αποτελείται από δύο διαφορετικές υποεπιλογές. </w:t>
      </w:r>
    </w:p>
    <w:p w:rsidR="00AA2887" w:rsidRDefault="00E93272">
      <w:pPr>
        <w:rPr>
          <w:noProof/>
        </w:rPr>
      </w:pPr>
      <w:r>
        <w:rPr>
          <w:i/>
          <w:noProof/>
          <w:u w:val="single"/>
        </w:rPr>
        <w:t>Υποεπιλογή 4a</w:t>
      </w:r>
      <w:r>
        <w:rPr>
          <w:noProof/>
        </w:rPr>
        <w:t xml:space="preserve"> (</w:t>
      </w:r>
      <w:r>
        <w:rPr>
          <w:b/>
          <w:noProof/>
        </w:rPr>
        <w:t>προτιμώμενη επιλογή</w:t>
      </w:r>
      <w:r>
        <w:rPr>
          <w:noProof/>
        </w:rPr>
        <w:t>): σύμφωνα με την προσέγγιση που προτείνεται στην εν λόγω υποεπιλογή, το νέο πλαίσιο θα θεσπίσει ελάχισ</w:t>
      </w:r>
      <w:r>
        <w:rPr>
          <w:noProof/>
        </w:rPr>
        <w:t>τα πρότυπα για την εναρμόνιση της εφαρμοζόμενης μεθοδολογίας στους δείκτες χαμηλών ανθρακούχων εκπομπών και στους δείκτες «θετικού αντικτύπου άνθρακα».</w:t>
      </w:r>
      <w:r>
        <w:rPr>
          <w:rFonts w:ascii="Times" w:hAnsi="Times"/>
          <w:noProof/>
        </w:rPr>
        <w:t xml:space="preserve"> </w:t>
      </w:r>
      <w:r>
        <w:rPr>
          <w:noProof/>
        </w:rPr>
        <w:t xml:space="preserve">Η επιλογή αυτή θα θέσει ορισμένα ελάχιστα βασικά στοιχεία της μεθοδολογίας που χρησιμοποιείται για τον </w:t>
      </w:r>
      <w:r>
        <w:rPr>
          <w:noProof/>
        </w:rPr>
        <w:t>καθορισμό των «απαλλαγμένων από τις ανθρακούχες εκπομπές» δεικτών αναφοράς και των δεικτών «θετικού αντικτύπου άνθρακα», παρέχοντας πρότυπα για τα κριτήρια και τις μεθόδους που χρησιμοποιούνται για την επιλογή και στάθμιση των υποκείμενων στοιχείων ενεργητ</w:t>
      </w:r>
      <w:r>
        <w:rPr>
          <w:noProof/>
        </w:rPr>
        <w:t>ικού του δείκτη αναφοράς, καθώς και για τον υπολογισμό του αποτυπώματος άνθρακα και της εξοικονόμησης άνθρακα που συνδέονται με τα υποκείμενα στοιχεία ενεργητικού, αξιοποιώντας τις υφιστάμενες ευρωπαϊκές μεθοδολογίες που έχουν εγκριθεί από την Επιτροπή και</w:t>
      </w:r>
      <w:r>
        <w:rPr>
          <w:noProof/>
        </w:rPr>
        <w:t xml:space="preserve"> που χρησιμοποιούνται σε μεγάλο βαθμό από τις εταιρείες για τον υπολογισμό των περιβαλλοντικών τους επιδόσεων, όπως το περιβαλλοντικό αποτύπωμα προϊόντος (PEF) και το περιβαλλοντικό αποτύπωμα του οργανισμού (OEF)</w:t>
      </w:r>
      <w:r>
        <w:rPr>
          <w:rStyle w:val="FootnoteReference"/>
          <w:noProof/>
        </w:rPr>
        <w:footnoteReference w:id="20"/>
      </w:r>
      <w:r>
        <w:rPr>
          <w:noProof/>
        </w:rPr>
        <w:t>.</w:t>
      </w:r>
    </w:p>
    <w:p w:rsidR="00AA2887" w:rsidRDefault="00E93272">
      <w:pPr>
        <w:rPr>
          <w:noProof/>
        </w:rPr>
      </w:pPr>
      <w:r>
        <w:rPr>
          <w:i/>
          <w:noProof/>
          <w:u w:val="single"/>
        </w:rPr>
        <w:t>Υποεπιλογή 4β:</w:t>
      </w:r>
      <w:r>
        <w:rPr>
          <w:i/>
          <w:noProof/>
        </w:rPr>
        <w:t xml:space="preserve"> </w:t>
      </w:r>
      <w:r>
        <w:rPr>
          <w:noProof/>
        </w:rPr>
        <w:t>βάσει αυτής θεσπίζονται ρυ</w:t>
      </w:r>
      <w:r>
        <w:rPr>
          <w:noProof/>
        </w:rPr>
        <w:t>θμίσεις για μέγιστη εναρμόνιση, όπου η μεθοδολογία των δύο νέων κατηγοριών δεικτών αναφοράς θα εναρμονιστεί πλήρως βάσει ενός λεπτομερούς και ολοκληρωμένου συνόλου κανόνων που παρέχονται στο επίπεδο 1 και καθορίζονται περαιτέρω με λεπτομερείς απαιτήσεις στ</w:t>
      </w:r>
      <w:r>
        <w:rPr>
          <w:noProof/>
        </w:rPr>
        <w:t>ο επίπεδο 2. Οι κανόνες αυτοί θα θεσπίσουν λεπτομερή κριτήρια για την επιλογή και τη στάθμιση των υποκείμενων στοιχείων ενεργητικού των δεικτών αναφοράς χαμηλών ανθρακούχων εκπομπών και θετικού αντικτύπου άνθρακα.</w:t>
      </w:r>
    </w:p>
    <w:p w:rsidR="00AA2887" w:rsidRDefault="00E93272">
      <w:pPr>
        <w:rPr>
          <w:noProof/>
        </w:rPr>
      </w:pPr>
      <w:r>
        <w:rPr>
          <w:noProof/>
        </w:rPr>
        <w:t>Η εν λόγω προσέγγιση θα επιτρέψει υψηλό βα</w:t>
      </w:r>
      <w:r>
        <w:rPr>
          <w:noProof/>
        </w:rPr>
        <w:t>θμό συγκρισιμότητας των μεθοδολογιών των νέων κατηγοριών δεικτών αναφοράς. Ωστόσο, οι διαχειριστές των δεικτών αναφοράς δεν θα έχουν σχετική ευελιξία στον σχεδιασμό της μεθοδολογίας τους και θα επιβαρυνθούν με σημαντικό κόστος συμμόρφωσης με τις νέες αυστη</w:t>
      </w:r>
      <w:r>
        <w:rPr>
          <w:noProof/>
        </w:rPr>
        <w:t>ρές απαιτήσεις που ορίζει η ενωσιακή νομοθεσία.</w:t>
      </w:r>
    </w:p>
    <w:p w:rsidR="00AA2887" w:rsidRDefault="00E93272">
      <w:pPr>
        <w:rPr>
          <w:noProof/>
        </w:rPr>
      </w:pPr>
      <w:r>
        <w:rPr>
          <w:noProof/>
        </w:rPr>
        <w:t>Σύμφωνα με την υποεπιλογή 4α, ενώ οι επενδυτές θα διαθέτουν λίγο μικρότερο βαθμό συγκρισιμότητας όσον αφορά τις μεθοδολογίες των δεικτών αναφοράς, θα παρέχεται σημαντική ευελιξία στους διαχειριστές δεικτών αν</w:t>
      </w:r>
      <w:r>
        <w:rPr>
          <w:noProof/>
        </w:rPr>
        <w:t>αφοράς για τον σχεδιασμό του τύπου υπολογισμού της μεθοδολογίας τους. Σε γενικότερο πλαίσιο, η εν λόγω προσέγγιση θα αφήσει περιθώριο ώστε οι παράγοντες της αγοράς να αναπτύξουν νέες στρατηγικές για την αντιμετώπιση των περιβαλλοντικών ζητημάτων. Επιπλέον,</w:t>
      </w:r>
      <w:r>
        <w:rPr>
          <w:noProof/>
        </w:rPr>
        <w:t xml:space="preserve"> οι διαχειριστές των δεικτών αναφοράς θα επιβαρυνθούν με μικρότερες δαπάνες για την προσαρμογή των καθιερωμένων μεθοδολογιών τους στα ελάχιστα πρότυπα που προβλέπονται από την ενωσιακή νομοθεσία. </w:t>
      </w:r>
    </w:p>
    <w:p w:rsidR="00AA2887" w:rsidRDefault="00E93272">
      <w:pPr>
        <w:rPr>
          <w:noProof/>
          <w:szCs w:val="24"/>
        </w:rPr>
      </w:pPr>
      <w:r>
        <w:rPr>
          <w:noProof/>
        </w:rPr>
        <w:t>Η συγκεκριμένη υποεπιλογή είναι επίσης συμβατή με τις άλλες</w:t>
      </w:r>
      <w:r>
        <w:rPr>
          <w:noProof/>
        </w:rPr>
        <w:t xml:space="preserve"> προτάσεις της Επιτροπής στον τομέα της βιώσιμης χρηματοδότησης</w:t>
      </w:r>
      <w:r>
        <w:rPr>
          <w:rStyle w:val="FootnoteReference"/>
          <w:noProof/>
        </w:rPr>
        <w:footnoteReference w:id="21"/>
      </w:r>
      <w:r>
        <w:rPr>
          <w:noProof/>
        </w:rPr>
        <w:t>, δεδομένου ότι θα συμβάλει στη βελτίωση της ποιότητας των πληροφοριών που παρέχουν οι διαχειριστές στοιχείων ενεργητικού στους τελικούς επενδυτές σύμφωνα με τον επενδυτικό στόχο. Ομοίως με τη</w:t>
      </w:r>
      <w:r>
        <w:rPr>
          <w:noProof/>
        </w:rPr>
        <w:t xml:space="preserve">ν επιλογή 3, η υποεπιλογή 4α θα μπορούσε επίσης να διοχετεύσει περισσότερες επενδύσεις σε εταιρείες προερχόμενες από τομείς μεγάλης έντασης άνθρακα οι οποίες συμβάλλουν σημαντικά στη μείωση των εκπομπών. Υπάρχουν, ωστόσο, αρκετές προκλήσεις που συνδέονται </w:t>
      </w:r>
      <w:r>
        <w:rPr>
          <w:noProof/>
        </w:rPr>
        <w:t>με την εν λόγω επιλογή: i) τα διαθέσιμα στοιχεία δεν είναι σταθερά και συνήθως δεν είναι πλήρη· ii) η σύγκριση των ανθρακούχων εκπομπών εταιρειών που προέρχονται από διαφορετικούς τομείς ενδέχεται να αποβεί πολύπλοκη· και iii) υπάρχει δυνητικά κίνδυνος η θ</w:t>
      </w:r>
      <w:r>
        <w:rPr>
          <w:noProof/>
        </w:rPr>
        <w:t>έσπιση εναρμονισμένων μεθοδολογιών να παρεμποδίσει την καινοτομία.</w:t>
      </w:r>
    </w:p>
    <w:p w:rsidR="00AA2887" w:rsidRDefault="00E93272">
      <w:pPr>
        <w:rPr>
          <w:noProof/>
          <w:szCs w:val="24"/>
          <w:highlight w:val="yellow"/>
        </w:rPr>
      </w:pPr>
      <w:r>
        <w:rPr>
          <w:noProof/>
        </w:rPr>
        <w:t>Η Επιτροπή προβλέπει τις ακόλουθες επιπτώσεις της προτιμώμενης επιλογής από οικονομική, περιβαλλοντική και κοινωνική άποψη:</w:t>
      </w:r>
    </w:p>
    <w:p w:rsidR="00AA2887" w:rsidRDefault="00E93272">
      <w:pPr>
        <w:rPr>
          <w:noProof/>
        </w:rPr>
      </w:pPr>
      <w:r>
        <w:rPr>
          <w:noProof/>
        </w:rPr>
        <w:t>Όσον αφορά τις οικονομικές επιπτώσεις, τα εναρμονισμένα πρότυπα γ</w:t>
      </w:r>
      <w:r>
        <w:rPr>
          <w:noProof/>
        </w:rPr>
        <w:t>ια διαφανείς μεθοδολογίες για τους δείκτες χαμηλών ανθρακούχων εκπομπών και θετικού αντικτύπου άνθρακα, σε συνδυασμό με τις συνολικά περισσότερο λεπτομερείς δημοσιοποιήσεις ΠΚΔ για άλλους δείκτες αναφοράς, θα έχουν τον ακόλουθο αντίκτυπο: i) θα μειωθεί η α</w:t>
      </w:r>
      <w:r>
        <w:rPr>
          <w:noProof/>
        </w:rPr>
        <w:t>συμμετρία της πληροφόρησης μεταξύ επενδυτών και παρόχων δεικτών, δεδομένου ότι οι διαχειριστές στοιχείων ενεργητικού και οι διαχειριστές χαρτοφυλακίων θα διαθέτουν όλες τις αναγκαίες πληροφορίες για την επιλογή ενός δείκτη χαμηλών ανθρακούχων εκπομπών ή εν</w:t>
      </w:r>
      <w:r>
        <w:rPr>
          <w:noProof/>
        </w:rPr>
        <w:t xml:space="preserve">ός δείκτη θετικού αντικτύπου άνθρακα ο οποίος αντικατοπτρίζει το ύφος των επενδύσεών τους· ii) θα μειωθεί ο υφιστάμενος κατακερματισμός της αγοράς διότι οι μεθοδολογίες για τους δείκτες χαμηλών ανθρακούχων εκπομπών δεν έχουν ακόμη τυποποιηθεί· και iii) θα </w:t>
      </w:r>
      <w:r>
        <w:rPr>
          <w:noProof/>
        </w:rPr>
        <w:t>βελτιωθεί η ποιότητα και η συγκρισιμότητα των σχετικών με το κλίμα πληροφοριών που αποκαλύπτουν οι εταιρείες, οι οποίες θα ενθαρρύνονται πλέον να κοινοποιούν τις εν λόγω πληροφορίες που θα συμπεριληφθούν στον δείκτη. Συνεπώς, η χρήση εναρμονισμένων ενωσιακ</w:t>
      </w:r>
      <w:r>
        <w:rPr>
          <w:noProof/>
        </w:rPr>
        <w:t>ών προτύπων για διαφανείς μεθοδολογίες θα οδηγήσει στην ανάπτυξη δεικτών αναφοράς που θα εξυπηρετούν καλύτερα τις ανάγκες μέτρησης της απόδοσης ενός χαρτοφυλακίου ή ενός χρηματοπιστωτικού προϊόντος που ακολουθεί μια επενδυτική στρατηγική «χαμηλών ανθρακούχ</w:t>
      </w:r>
      <w:r>
        <w:rPr>
          <w:noProof/>
        </w:rPr>
        <w:t>ων εκπομπών» ή «στόχου 2</w:t>
      </w:r>
      <w:r>
        <w:rPr>
          <w:noProof/>
          <w:vertAlign w:val="superscript"/>
        </w:rPr>
        <w:t>o</w:t>
      </w:r>
      <w:r>
        <w:rPr>
          <w:noProof/>
        </w:rPr>
        <w:t xml:space="preserve"> C», αντιστοίχως.</w:t>
      </w:r>
    </w:p>
    <w:p w:rsidR="00AA2887" w:rsidRDefault="00E93272">
      <w:pPr>
        <w:rPr>
          <w:noProof/>
          <w:szCs w:val="24"/>
        </w:rPr>
      </w:pPr>
      <w:r>
        <w:rPr>
          <w:noProof/>
        </w:rPr>
        <w:t xml:space="preserve">Όσον αφορά τις </w:t>
      </w:r>
      <w:r>
        <w:rPr>
          <w:b/>
          <w:noProof/>
        </w:rPr>
        <w:t>περιβαλλοντικές επιπτώσεις</w:t>
      </w:r>
      <w:r>
        <w:rPr>
          <w:noProof/>
        </w:rPr>
        <w:t>, η εν λόγω επιλογή θα προσανατολίσει εκ νέου και σχετικά γρήγορα τη χρηματοδότηση σε στοιχεία ενεργητικού και έργα με βιώσιμους στόχους τα οποία έχουν θετικό αντίκτυπο όσο</w:t>
      </w:r>
      <w:r>
        <w:rPr>
          <w:noProof/>
        </w:rPr>
        <w:t>ν αφορά τις εκπομπές αερίων του θερμοκηπίου και θα συμβάλουν στους στόχους της Συμφωνίας του Παρισιού για το κλίμα. Για τον λόγο αυτό, η εναρμόνιση των προτύπων και των κοινοποιήσεων της μεθοδολογίας για διάφορους τύπους δεικτών αναφοράς χαμηλών ανθρακούχω</w:t>
      </w:r>
      <w:r>
        <w:rPr>
          <w:noProof/>
        </w:rPr>
        <w:t xml:space="preserve">ν εκπομπών και θετικού αντικτύπου άνθρακα θα παρέχει στους επενδυτές που εφαρμόζουν διάφορες στρατηγικές χαμηλών ανθρακούχων εκπομπών τα κατάλληλα εργαλεία για την αξιολόγηση της συνέπειας μεταξύ των κεφαλαίων/χαρτοφυλακίων τους και του επιλεγμένου δείκτη </w:t>
      </w:r>
      <w:r>
        <w:rPr>
          <w:noProof/>
        </w:rPr>
        <w:t xml:space="preserve">αναφοράς, και θα δώσει τη δυνατότητα στους εν λόγω επενδυτές να παρακολουθούν καλύτερα/να μετρούν την απόδοση με βάση τον κατάλληλο δείκτη αναφοράς χαμηλών ανθρακούχων εκπομπών. </w:t>
      </w:r>
    </w:p>
    <w:p w:rsidR="00AA2887" w:rsidRDefault="00E93272">
      <w:pPr>
        <w:pBdr>
          <w:top w:val="nil"/>
          <w:left w:val="nil"/>
          <w:bottom w:val="nil"/>
          <w:right w:val="nil"/>
          <w:between w:val="nil"/>
          <w:bar w:val="nil"/>
        </w:pBdr>
        <w:spacing w:before="0" w:after="240"/>
        <w:rPr>
          <w:noProof/>
          <w:szCs w:val="24"/>
        </w:rPr>
      </w:pPr>
      <w:r>
        <w:rPr>
          <w:noProof/>
        </w:rPr>
        <w:t xml:space="preserve">Η πρόταση δεν έχει σημαντικές άμεσες ή έμμεσες </w:t>
      </w:r>
      <w:r>
        <w:rPr>
          <w:b/>
          <w:noProof/>
        </w:rPr>
        <w:t>κοινωνικές επιπτώσεις</w:t>
      </w:r>
      <w:r>
        <w:rPr>
          <w:noProof/>
        </w:rPr>
        <w:t>.</w:t>
      </w:r>
    </w:p>
    <w:p w:rsidR="00AA2887" w:rsidRDefault="00E93272">
      <w:pPr>
        <w:rPr>
          <w:iCs/>
          <w:noProof/>
        </w:rPr>
      </w:pPr>
      <w:r>
        <w:rPr>
          <w:noProof/>
        </w:rPr>
        <w:t>Η πρότα</w:t>
      </w:r>
      <w:r>
        <w:rPr>
          <w:noProof/>
        </w:rPr>
        <w:t>ση λαμβάνει υπόψη τις γνώμες (τη θετική γνώμη με επιφυλάξεις που εκδόθηκε στις 14 Μαΐου 2018 και τις δύο προηγούμενες αρνητικές γνώμες) που εξέδωσε η επιτροπή ρυθμιστικού ελέγχου (RSB). Η πρόταση και η αναθεωρημένη εκτίμηση επιπτώσεων εξετάζει τις παρατηρή</w:t>
      </w:r>
      <w:r>
        <w:rPr>
          <w:noProof/>
        </w:rPr>
        <w:t>σεις της επιτροπής ρυθμιστικού ελέγχου, η οποία απεφάνθη ότι απαιτούνται προσαρμογές προτού προχωρήσει περαιτέρω η συγκεκριμένη πρωτοβουλία (σύνδεσμος).</w:t>
      </w:r>
    </w:p>
    <w:p w:rsidR="00AA2887" w:rsidRDefault="00E93272">
      <w:pPr>
        <w:rPr>
          <w:iCs/>
          <w:noProof/>
        </w:rPr>
      </w:pPr>
      <w:r>
        <w:rPr>
          <w:noProof/>
        </w:rPr>
        <w:t>Στις παρατηρήσεις της, η επιτροπή ρυθμιστικού ελέγχου επισήμανε ότι η εκτίμηση επιπτώσεων δεν έλαβε δεό</w:t>
      </w:r>
      <w:r>
        <w:rPr>
          <w:noProof/>
        </w:rPr>
        <w:t>ντως υπόψη τους κινδύνους που απορρέουν από την απαίτηση να χρησιμοποιείται η ταξινόμηση από τους διαχειριστές δεικτών αναφοράς χαμηλών ανθρακούχων εκπομπών. Η επιτροπή εξέφρασε επίσης ανησυχία υποστηρίζοντας ότι, όσον αφορά τη μελλοντική ανάπτυξη της μεθο</w:t>
      </w:r>
      <w:r>
        <w:rPr>
          <w:noProof/>
        </w:rPr>
        <w:t>δολογίας για τους δείκτες αναφοράς χαμηλών ανθρακούχων εκπομπών, η εκτίμηση επιπτώσεων δεν έλαβε επαρκώς υπόψη τα ζητήματα κόστους για τους διαχειριστές και τους χρήστες των συγκεκριμένων δεικτών αναφοράς.</w:t>
      </w:r>
    </w:p>
    <w:p w:rsidR="00AA2887" w:rsidRDefault="00E93272">
      <w:pPr>
        <w:pBdr>
          <w:top w:val="nil"/>
          <w:left w:val="nil"/>
          <w:bottom w:val="nil"/>
          <w:right w:val="nil"/>
          <w:between w:val="nil"/>
          <w:bar w:val="nil"/>
        </w:pBdr>
        <w:spacing w:before="0" w:after="240"/>
        <w:rPr>
          <w:rFonts w:eastAsia="Arial Unicode MS"/>
          <w:noProof/>
        </w:rPr>
      </w:pPr>
      <w:r>
        <w:rPr>
          <w:noProof/>
        </w:rPr>
        <w:t>Λαμβάνοντας υπόψη τις ανησυχίες της επιτροπής, η Ε</w:t>
      </w:r>
      <w:r>
        <w:rPr>
          <w:noProof/>
        </w:rPr>
        <w:t>πιτροπή απέσυρε την υποχρέωση των διαχειριστών δεικτών αναφοράς χαμηλών ανθρακούχων εκπομπών και θετικού αντικτύπου άνθρακα να χρησιμοποιούν την ταξινόμηση της ΕΕ κατά τον σχεδιασμό των παραμέτρων της μεθοδολογίας για την επιλογή υποκείμενων στοιχείων ενερ</w:t>
      </w:r>
      <w:r>
        <w:rPr>
          <w:noProof/>
        </w:rPr>
        <w:t>γητικού και τη συμμόρφωση με τις υποχρεώσεις κοινοποίησης. Επιπλέον, η παρούσα πρόταση έχει προσαρμοστεί περαιτέρω προκειμένου να διασφαλίσει ότι τα ζητήματα κόστους λαμβάνονται δεόντως υπόψη κατά την ανάπτυξη της μεθοδολογίας για τους δείκτες αναφοράς χαμ</w:t>
      </w:r>
      <w:r>
        <w:rPr>
          <w:noProof/>
        </w:rPr>
        <w:t xml:space="preserve">ηλών ανθρακούχων εκπομπών και θετικού αντικτύπου άνθρακα. Η Επιτροπή εξουσιοδοτείται να εκδίδει κατ’ εξουσιοδότηση πράξεις που θα καθορίζουν απλώς τα ελάχιστα πρότυπα για την εναρμονισμένη μεθοδολογία για τους δείκτες αναφοράς χαμηλών ανθρακούχων εκπομπών </w:t>
      </w:r>
      <w:r>
        <w:rPr>
          <w:noProof/>
        </w:rPr>
        <w:t>και θετικού αντικτύπου άνθρακα. Συνεπώς, οι εν λόγω κατ’ εξουσιοδότηση πράξεις δεν θα εισάγουν μια πλήρως εναρμονισμένη μεθοδολογία, αλλά ελάχιστα κριτήρια, αφήνοντας το αναγκαίο περιθώριο ευελιξίας στους διαχειριστές των δεικτών αναφοράς. Ως εκ τούτου, θα</w:t>
      </w:r>
      <w:r>
        <w:rPr>
          <w:noProof/>
        </w:rPr>
        <w:t xml:space="preserve"> περιοριστεί το κόστος της συμμόρφωσης.</w:t>
      </w:r>
    </w:p>
    <w:p w:rsidR="00AA2887" w:rsidRDefault="00E93272">
      <w:pPr>
        <w:pStyle w:val="ManualHeading2"/>
        <w:rPr>
          <w:rFonts w:eastAsia="Arial Unicode MS"/>
          <w:noProof/>
          <w:u w:color="000000"/>
          <w:bdr w:val="nil"/>
        </w:rPr>
      </w:pPr>
      <w:r>
        <w:rPr>
          <w:noProof/>
        </w:rPr>
        <w:t>•</w:t>
      </w:r>
      <w:r>
        <w:rPr>
          <w:noProof/>
        </w:rPr>
        <w:tab/>
        <w:t>Θεμελιώδη δικαιώματα</w:t>
      </w:r>
    </w:p>
    <w:p w:rsidR="00AA2887" w:rsidRDefault="00E93272">
      <w:pPr>
        <w:pBdr>
          <w:top w:val="nil"/>
          <w:left w:val="nil"/>
          <w:bottom w:val="nil"/>
          <w:right w:val="nil"/>
          <w:between w:val="nil"/>
          <w:bar w:val="nil"/>
        </w:pBdr>
        <w:spacing w:after="240"/>
        <w:rPr>
          <w:noProof/>
          <w:szCs w:val="24"/>
        </w:rPr>
      </w:pPr>
      <w:r>
        <w:rPr>
          <w:noProof/>
        </w:rPr>
        <w:t>Η πρόταση σέβεται τα θεμελιώδη δικαιώματα και τηρεί τις αρχές που αναγνωρίζονται από τον Χάρτη των Θεμελιωδών Δικαιωμάτων της Ευρωπαϊκής Ένωσης, δεδομένης της υποχρέωσης ότι η προσδιορισθείσα περιβαλλοντικά βιώσιμη οικονομική δραστηριότητα πρέπει να εκτελε</w:t>
      </w:r>
      <w:r>
        <w:rPr>
          <w:noProof/>
        </w:rPr>
        <w:t>ίται σύμφωνα με τις ελάχιστες κοινωνικές και δεοντολογικές διασφαλίσεις καθώς και τις διασφαλίσεις διακυβέρνησης.</w:t>
      </w:r>
    </w:p>
    <w:p w:rsidR="00AA2887" w:rsidRDefault="00E93272">
      <w:pPr>
        <w:pBdr>
          <w:top w:val="nil"/>
          <w:left w:val="nil"/>
          <w:bottom w:val="nil"/>
          <w:right w:val="nil"/>
          <w:between w:val="nil"/>
          <w:bar w:val="nil"/>
        </w:pBdr>
        <w:spacing w:before="0" w:after="240"/>
        <w:rPr>
          <w:rFonts w:eastAsia="Arial Unicode MS"/>
          <w:noProof/>
        </w:rPr>
      </w:pPr>
      <w:r>
        <w:rPr>
          <w:noProof/>
        </w:rPr>
        <w:t>Το δικαίωμα στην ελευθερία έκφρασης και πληροφόρησης προϋποθέτει τον σεβασμό στην ελευθερία των μέσων μαζικής ενημέρωσης. Ο παρών κανονισμός θ</w:t>
      </w:r>
      <w:r>
        <w:rPr>
          <w:noProof/>
        </w:rPr>
        <w:t>α πρέπει να ερμηνεύεται και να εφαρμόζεται σύμφωνα με το εν λόγω θεμελιώδες δικαίωμα. Συνεπώς, όταν ένα πρόσωπο απλώς δημοσιεύει ή αναφέρεται σε δείκτη αναφοράς χαμηλών ανθρακούχων εκπομπών ή θετικού αντικτύπου άνθρακα στο πλαίσιο της δημοσιογραφικής δραστ</w:t>
      </w:r>
      <w:r>
        <w:rPr>
          <w:noProof/>
        </w:rPr>
        <w:t>ηριότητάς του, αλλά δεν ελέγχει την παροχή του συγκεκριμένου δείκτη αναφοράς, το πρόσωπο αυτό δεν θα πρέπει να υπόκειται στις απαιτήσεις που επιβάλλονται στους διαχειριστές βάσει του παρόντος κανονισμού. Στο πλαίσιο αυτό, οι δημοσιογράφοι είναι ελεύθεροι κ</w:t>
      </w:r>
      <w:r>
        <w:rPr>
          <w:noProof/>
        </w:rPr>
        <w:t xml:space="preserve">ατά την άσκηση των δημοσιογραφικών δραστηριοτήτων τους να καλύπτουν δημοσιογραφικά τις χρηματοπιστωτικές αγορές και τα χρηματιστήρια εμπορευμάτων. Κατά συνέπεια, έχει καθοριστεί αυστηρά ο ορισμός του διαχειριστή δείκτη αναφοράς προκειμένου να διασφαλιστεί </w:t>
      </w:r>
      <w:r>
        <w:rPr>
          <w:noProof/>
        </w:rPr>
        <w:t>ότι ενσωματώνει την παροχή δείκτη αναφοράς, ωστόσο το πεδίο εφαρμογής του δεν καλύπτει της δημοσιογραφικές δραστηριότητες.</w:t>
      </w:r>
    </w:p>
    <w:p w:rsidR="00AA2887" w:rsidRDefault="00E93272">
      <w:pPr>
        <w:pStyle w:val="ManualHeading1"/>
        <w:rPr>
          <w:noProof/>
        </w:rPr>
      </w:pPr>
      <w:r>
        <w:rPr>
          <w:noProof/>
        </w:rPr>
        <w:t>4.</w:t>
      </w:r>
      <w:r>
        <w:rPr>
          <w:noProof/>
        </w:rPr>
        <w:tab/>
        <w:t>ΔΗΜΟΣΙΟΝΟΜΙΚΕΣ ΕΠΙΠΤΩΣΕΙΣ</w:t>
      </w:r>
    </w:p>
    <w:p w:rsidR="00AA2887" w:rsidRDefault="00E93272">
      <w:pPr>
        <w:pBdr>
          <w:top w:val="nil"/>
          <w:left w:val="nil"/>
          <w:bottom w:val="nil"/>
          <w:right w:val="nil"/>
          <w:between w:val="nil"/>
          <w:bar w:val="nil"/>
        </w:pBdr>
        <w:spacing w:before="0" w:after="240"/>
        <w:rPr>
          <w:rFonts w:eastAsia="Arial Unicode MS"/>
          <w:noProof/>
        </w:rPr>
      </w:pPr>
      <w:r>
        <w:rPr>
          <w:noProof/>
        </w:rPr>
        <w:t>Η πρωτοβουλία δεν αναμένεται να έχει αντίκτυπο στον προϋπολογισμό της ΕΕ. Οι απαιτήσεις για τους δείκτες</w:t>
      </w:r>
      <w:r>
        <w:rPr>
          <w:noProof/>
        </w:rPr>
        <w:t xml:space="preserve"> αναφοράς χαμηλών ανθρακούχων εκπομπών και θετικού αντικτύπου άνθρακα θα συμπληρώσουν τις ήδη υπάρχουσες απαιτήσεις για τους διαχειριστές δεικτών αναφοράς και, συνεπώς, δεν θα έχουν σημαντικό αντίκτυπο στο κόστος που βαρύνει τις αρμόδιες εποπτικές αρχές, δ</w:t>
      </w:r>
      <w:r>
        <w:rPr>
          <w:noProof/>
        </w:rPr>
        <w:t>εδομένης της τρέχουσας ικανότητας και των πόρων τους βάσει του κανονισμού για τους δείκτες αναφοράς.</w:t>
      </w:r>
    </w:p>
    <w:p w:rsidR="00AA2887" w:rsidRDefault="00E93272">
      <w:pPr>
        <w:pStyle w:val="ManualHeading1"/>
        <w:rPr>
          <w:noProof/>
        </w:rPr>
      </w:pPr>
      <w:r>
        <w:rPr>
          <w:noProof/>
        </w:rPr>
        <w:t>5.</w:t>
      </w:r>
      <w:r>
        <w:rPr>
          <w:noProof/>
        </w:rPr>
        <w:tab/>
        <w:t>ΛΟΙΠΑ ΣΤΟΙΧΕΙΑ</w:t>
      </w:r>
    </w:p>
    <w:p w:rsidR="00AA2887" w:rsidRDefault="00E93272">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rsidR="00AA2887" w:rsidRDefault="00E93272">
      <w:pPr>
        <w:pBdr>
          <w:top w:val="nil"/>
          <w:left w:val="nil"/>
          <w:bottom w:val="nil"/>
          <w:right w:val="nil"/>
          <w:between w:val="nil"/>
          <w:bar w:val="nil"/>
        </w:pBdr>
        <w:spacing w:after="240"/>
        <w:rPr>
          <w:noProof/>
          <w:szCs w:val="24"/>
        </w:rPr>
      </w:pPr>
      <w:r>
        <w:rPr>
          <w:noProof/>
        </w:rPr>
        <w:t>Η Επιτροπή θα καταρτίσει πρόγραμμα για την παρακολούθη</w:t>
      </w:r>
      <w:r>
        <w:rPr>
          <w:noProof/>
        </w:rPr>
        <w:t>ση των εκροών, των αποτελεσμάτων και των επιπτώσεων της συγκεκριμένης πρωτοβουλίας ένα έτος μετά την έναρξη ισχύος του νομικού μέσου. Το πρόγραμμα παρακολούθησης καθορίζει τα μέσα συλλογής δεδομένων και άλλων απαραίτητων αποδεικτικών στοιχείων. Προβλέπεται</w:t>
      </w:r>
      <w:r>
        <w:rPr>
          <w:noProof/>
        </w:rPr>
        <w:t xml:space="preserve"> η διενέργεια αξιολόγησης πέντε έτη μετά την εφαρμογή των μέτρων. Στόχος είναι να αξιολογηθεί, μεταξύ άλλων, ο βαθμός αποτελεσματικότητας και αποδοτικότητας των μέτρων όσον αφορά την επίτευξη των στόχων που παρουσιάζονται στην εκτίμηση επιπτώσεων και να δι</w:t>
      </w:r>
      <w:r>
        <w:rPr>
          <w:noProof/>
        </w:rPr>
        <w:t>απιστωθεί εάν απαιτούνται νέα μέτρα ή τροποποιήσεις.</w:t>
      </w:r>
    </w:p>
    <w:p w:rsidR="00AA2887" w:rsidRDefault="00E93272">
      <w:pPr>
        <w:pBdr>
          <w:top w:val="nil"/>
          <w:left w:val="nil"/>
          <w:bottom w:val="nil"/>
          <w:right w:val="nil"/>
          <w:between w:val="nil"/>
          <w:bar w:val="nil"/>
        </w:pBdr>
        <w:spacing w:after="240"/>
        <w:rPr>
          <w:noProof/>
          <w:szCs w:val="24"/>
        </w:rPr>
      </w:pPr>
      <w:r>
        <w:rPr>
          <w:noProof/>
        </w:rPr>
        <w:t>Οι ειδικοί κύριοι δείκτες επιδόσεων (KPIs) που αποσκοπούν στη μέτρηση της εφαρμογής και της συμβολής των δεικτών αναφοράς χαμηλών ανθρακούχων εκπομπών και θετικού αντικτύπου άνθρακα στους στόχους που περ</w:t>
      </w:r>
      <w:r>
        <w:rPr>
          <w:noProof/>
        </w:rPr>
        <w:t>ιγράφονται στο σχέδιο δράσης για τη χρηματοδότηση της αειφόρου ανάπτυξης και στην επίλυση των προβλημάτων που περιγράφονται στο τμήμα 1 της παρούσας αιτιολογικής έκθεσης είναι οι ακόλουθοι:</w:t>
      </w:r>
    </w:p>
    <w:p w:rsidR="00AA2887" w:rsidRDefault="00E93272">
      <w:pPr>
        <w:pStyle w:val="Bullet0"/>
        <w:numPr>
          <w:ilvl w:val="0"/>
          <w:numId w:val="17"/>
        </w:numPr>
        <w:rPr>
          <w:noProof/>
        </w:rPr>
      </w:pPr>
      <w:r>
        <w:rPr>
          <w:noProof/>
        </w:rPr>
        <w:t>η εξέλιξη του αριθμού και του μεγέθους των κεφαλαίων/χαρτοφυλακίων</w:t>
      </w:r>
      <w:r>
        <w:rPr>
          <w:noProof/>
        </w:rPr>
        <w:t xml:space="preserve"> που χρησιμοποιούν δείκτες αναφοράς χαμηλών ανθρακούχων εκπομπών και θετικού αντικτύπου άνθρακα·</w:t>
      </w:r>
    </w:p>
    <w:p w:rsidR="00AA2887" w:rsidRDefault="00E93272">
      <w:pPr>
        <w:pStyle w:val="Bullet0"/>
        <w:numPr>
          <w:ilvl w:val="0"/>
          <w:numId w:val="17"/>
        </w:numPr>
        <w:rPr>
          <w:noProof/>
        </w:rPr>
      </w:pPr>
      <w:r>
        <w:rPr>
          <w:noProof/>
        </w:rPr>
        <w:t xml:space="preserve">ο αριθμός των καταγγελιών που έχουν υποβληθεί στην Επιτροπή από τους χρήστες δεικτών αναφοράς χαμηλών ανθρακούχων εκπομπών και θετικού αντικτύπου άνθρακα· </w:t>
      </w:r>
    </w:p>
    <w:p w:rsidR="00AA2887" w:rsidRDefault="00E93272">
      <w:pPr>
        <w:pStyle w:val="Bullet0"/>
        <w:numPr>
          <w:ilvl w:val="0"/>
          <w:numId w:val="17"/>
        </w:numPr>
        <w:rPr>
          <w:noProof/>
        </w:rPr>
      </w:pPr>
      <w:r>
        <w:rPr>
          <w:noProof/>
        </w:rPr>
        <w:t xml:space="preserve">το κόστος της παραγωγής δεικτών αναφοράς χαμηλών ανθρακούχων εκπομπών και θετικού αντικτύπου άνθρακα· </w:t>
      </w:r>
    </w:p>
    <w:p w:rsidR="00AA2887" w:rsidRDefault="00E93272">
      <w:pPr>
        <w:pStyle w:val="Bullet0"/>
        <w:numPr>
          <w:ilvl w:val="0"/>
          <w:numId w:val="17"/>
        </w:numPr>
        <w:rPr>
          <w:noProof/>
        </w:rPr>
      </w:pPr>
      <w:r>
        <w:rPr>
          <w:noProof/>
        </w:rPr>
        <w:t>έκθεση της Επιτροπής στο πλαίσιο του κανονισμού για τους δείκτες αναφοράς στην οποία επανεξετάζεται η λειτουργία και η αποτελεσματικότητα των δεικτών ανα</w:t>
      </w:r>
      <w:r>
        <w:rPr>
          <w:noProof/>
        </w:rPr>
        <w:t>φοράς χαμηλών ανθρακούχων εκπομπών και η καταλληλότητα της εποπτείας τους (ρήτρα αναθεώρησης άρθρο 54).</w:t>
      </w:r>
    </w:p>
    <w:p w:rsidR="00AA2887" w:rsidRDefault="00E93272">
      <w:pPr>
        <w:pStyle w:val="ManualHeading2"/>
        <w:rPr>
          <w:rFonts w:eastAsia="Arial Unicode MS"/>
          <w:noProof/>
          <w:u w:color="000000"/>
          <w:bdr w:val="nil"/>
        </w:rPr>
      </w:pPr>
      <w:r>
        <w:rPr>
          <w:noProof/>
        </w:rPr>
        <w:t>Αναλυτική επεξήγηση των επιμέρους διατάξεων της πρότασης</w:t>
      </w:r>
    </w:p>
    <w:p w:rsidR="00AA2887" w:rsidRDefault="00E93272">
      <w:pPr>
        <w:rPr>
          <w:noProof/>
        </w:rPr>
      </w:pPr>
      <w:r>
        <w:rPr>
          <w:noProof/>
        </w:rPr>
        <w:t>Το άρθρο 1 παράγραφος 1 εισάγει στον κανονισμό για τους δείκτες αναφοράς τους ορισμούς των νέων</w:t>
      </w:r>
      <w:r>
        <w:rPr>
          <w:noProof/>
        </w:rPr>
        <w:t xml:space="preserve"> κατηγοριών δεικτών αναφοράς, δηλαδή τον «δείκτη αναφοράς χαμηλών ανθρακούχων εκπομπών» και τον «δείκτη αναφοράς θετικού αντικτύπου άνθρακα».</w:t>
      </w:r>
    </w:p>
    <w:p w:rsidR="00AA2887" w:rsidRDefault="00E93272">
      <w:pPr>
        <w:rPr>
          <w:noProof/>
        </w:rPr>
      </w:pPr>
      <w:r>
        <w:rPr>
          <w:noProof/>
        </w:rPr>
        <w:t>Το άρθρο 1 παράγραφος 2 τροποποιεί το άρθρο 13 παράγραφος 1 του κανονισμού για τους δείκτες αναφοράς («</w:t>
      </w:r>
      <w:r>
        <w:rPr>
          <w:i/>
          <w:noProof/>
        </w:rPr>
        <w:t>Διαφάνεια τ</w:t>
      </w:r>
      <w:r>
        <w:rPr>
          <w:i/>
          <w:noProof/>
        </w:rPr>
        <w:t>ης μεθοδολογίας</w:t>
      </w:r>
      <w:r>
        <w:rPr>
          <w:noProof/>
        </w:rPr>
        <w:t>»), προσθέτοντας ένα νέο στοιχείο δ) στον κατάλογο των πληροφοριών που πρέπει να δημοσιεύει ή να διαθέτει ο διαχειριστής του δείκτη αναφοράς. Ειδικότερα, σύμφωνα με τη νέα υποχρέωση, εκτός από τις λοιπές πληροφορίες που πρέπει ήδη να δημοσιο</w:t>
      </w:r>
      <w:r>
        <w:rPr>
          <w:noProof/>
        </w:rPr>
        <w:t>ποιούνται, οι διαχειριστές δεικτών αναφοράς ή ομάδας δεικτών αναφοράς που επιδιώκουν ή λαμβάνουν υπόψη τους στόχους ΠΚΔ θα πρέπει να παρέχουν εξήγηση σχετικά με τον τρόπο με τον οποίο τα βασικά στοιχεία της μεθοδολογίας αντικατοπτρίζουν τους παράγοντες ΠΚΔ</w:t>
      </w:r>
      <w:r>
        <w:rPr>
          <w:noProof/>
        </w:rPr>
        <w:t xml:space="preserve">. Η Επιτροπή εξουσιοδοτείται να καθορίσει περαιτέρω το ελάχιστο περιεχόμενο της εν λόγω κοινοποίησης. </w:t>
      </w:r>
    </w:p>
    <w:p w:rsidR="00AA2887" w:rsidRDefault="00E93272">
      <w:pPr>
        <w:rPr>
          <w:noProof/>
        </w:rPr>
      </w:pPr>
      <w:r>
        <w:rPr>
          <w:noProof/>
        </w:rPr>
        <w:t xml:space="preserve">Σύμφωνα με το άρθρο 1 παράγραφος 3, προστίθεται νέο κεφάλαιο 3Α στον τίτλο ΙΙΙ του κανονισμού για τους δείκτες αναφοράς, με ένα και μόνο άρθρο, (άρθρο </w:t>
      </w:r>
      <w:r>
        <w:rPr>
          <w:noProof/>
        </w:rPr>
        <w:t>19α) που θα καθορίζει τις βασικές απαιτήσεις που ισχύουν στη μεθοδολογία για τους δείκτες αναφοράς χαμηλών ανθρακούχων εκπομπών ή θετικού αντικτύπου άνθρακα (παρατίθενται σε νέο παράρτημα). Η Επιτροπή αρχικά εξέτασε την καθιέρωση ενός πλήρως εναρμονισμένου</w:t>
      </w:r>
      <w:r>
        <w:rPr>
          <w:noProof/>
        </w:rPr>
        <w:t xml:space="preserve"> καθεστώτος για τη μεθοδολογία των νέων κατηγοριών δεικτών αναφοράς βάσει ολοκληρωμένου συνόλου κανόνων. Σύμφωνα με την προσέγγιση αυτή, τα βασικά στοιχεία της μεθοδολογίας που καθορίζονται στην παρούσα νομοθετική πρόταση θα έπρεπε να διευκρινιστούν περαιτ</w:t>
      </w:r>
      <w:r>
        <w:rPr>
          <w:noProof/>
        </w:rPr>
        <w:t>έρω με λεπτομερείς απαιτήσεις για την επιλογή και στάθμιση των υποκείμενων στοιχείων ενεργητικού στο πλαίσιο κατ’ εξουσιοδότηση πράξεων που θα εκδώσει η Επιτροπή βάσει των συμβουλών της ομάδας εμπειρογνωμόνων. Επιπλέον, στόχος των ειδικών κατ’ εξουσιοδότησ</w:t>
      </w:r>
      <w:r>
        <w:rPr>
          <w:noProof/>
        </w:rPr>
        <w:t>η πράξεων ήταν να υποχρεώσουν τους διαχειριστές δεικτών αναφοράς χαμηλών ανθρακούχων εκπομπών και θετικού αντικτύπου άνθρακα να χρησιμοποιούν τον κανονισμό της ΕΕ για την ταξινόμηση κατά τον σχεδιασμό των παραμέτρων της μεθοδολογίας για την επιλογή υποκείμ</w:t>
      </w:r>
      <w:r>
        <w:rPr>
          <w:noProof/>
        </w:rPr>
        <w:t>ενων στοιχείων ενεργητικού.</w:t>
      </w:r>
    </w:p>
    <w:p w:rsidR="00AA2887" w:rsidRDefault="00E93272">
      <w:pPr>
        <w:rPr>
          <w:noProof/>
          <w:szCs w:val="24"/>
        </w:rPr>
      </w:pPr>
      <w:r>
        <w:rPr>
          <w:noProof/>
        </w:rPr>
        <w:t>Ωστόσο, προκειμένου να αντιμετωπιστούν οι ανησυχίες της επιτροπής ρυθμιστικού ελέγχου σχετικά με τις πιθανές δαπάνες που συνεπάγεται η μελλοντική ανάπτυξη μιας τέτοιας αυστηρής μεθοδολογίας, η Επιτροπή έχει προσαρμόσει την συγκε</w:t>
      </w:r>
      <w:r>
        <w:rPr>
          <w:noProof/>
        </w:rPr>
        <w:t>κριμένη πρόταση ώστε να προβλέπει ότι η εξουσιοδότηση για την έκδοση κατ’ εξουσιοδότηση πράξεων περιορίζεται στον περαιτέρω καθορισμό ελάχιστων προτύπων για δείκτες αναφοράς χαμηλών ανθρακούχων εκπομπών και θετικού αντικτύπου άνθρακα. Δίνεται προτεραιότητα</w:t>
      </w:r>
      <w:r>
        <w:rPr>
          <w:noProof/>
        </w:rPr>
        <w:t xml:space="preserve"> στη συγκεκριμένη προσέγγιση, μεταξύ άλλων, διότι παρέχει σημαντικό επίπεδο συγκρισιμότητας των μεθοδολογιών των δεικτών αναφοράς χαμηλών ανθρακούχων εκπομπών. Παράλληλα, οι διαχειριστές των δεικτών αναφοράς δεν θα επιβαρυνθούν με υψηλό κόστος για την ευθυ</w:t>
      </w:r>
      <w:r>
        <w:rPr>
          <w:noProof/>
        </w:rPr>
        <w:t xml:space="preserve">γράμμιση της μεθοδολογίας τους με το ενωσιακό πρότυπο και θα διατηρήσουν έναν συγκεκριμένο βαθμό ευελιξίας όσον αφορά τον σχεδιασμό της μεθοδολογίας τους. Σε γενικότερο πλαίσιο, η εν λόγω προσέγγιση θα αφήσει περιθώριο ώστε η αγορά να αναπτύξει καινοτόμες </w:t>
      </w:r>
      <w:r>
        <w:rPr>
          <w:noProof/>
        </w:rPr>
        <w:t xml:space="preserve">στρατηγικές για την αντιμετώπιση των περιβαλλοντικών ζητημάτων. </w:t>
      </w:r>
    </w:p>
    <w:p w:rsidR="00AA2887" w:rsidRDefault="00E93272">
      <w:pPr>
        <w:rPr>
          <w:noProof/>
        </w:rPr>
      </w:pPr>
      <w:r>
        <w:rPr>
          <w:noProof/>
        </w:rPr>
        <w:t>Προκειμένου να ληφθούν υπόψη οι ανησυχίες που εξέφρασε η επιτροπή σχετικά με τους κινδύνους της υποχρεωτικής χρήσης της ταξινόμησης από τους διαχειριστές των δεικτών αναφοράς χαμηλών ανθρακού</w:t>
      </w:r>
      <w:r>
        <w:rPr>
          <w:noProof/>
        </w:rPr>
        <w:t>χων εκπομπών , η πρόταση προσαρμόστηκε περαιτέρω ώστε οι κατ’ εξουσιοδότηση πράξεις που καθορίζουν τα ελάχιστα πρότυπα εναρμόνισης να μην απαιτούν από τους διαχειριστές δεικτών αναφοράς για χαμηλών ανθρακούχων εκπομπών και θετικού αντικτύπου άνθρακα να χρη</w:t>
      </w:r>
      <w:r>
        <w:rPr>
          <w:noProof/>
        </w:rPr>
        <w:t xml:space="preserve">σιμοποιούν την ταξινόμηση της ΕΕ κατά τον σχεδιασμό των παραμέτρων της μεθοδολογίας για την επιλογή υποκείμενων στοιχείων ενεργητικού. Ο διαχωρισμός της μεθοδολογίας από την ταξινόμηση της ΕΕ θα δώσει επίσης στους διαχειριστές τον αναγκαίο βαθμό ευελιξίας </w:t>
      </w:r>
      <w:r>
        <w:rPr>
          <w:noProof/>
        </w:rPr>
        <w:t>που χρειάζονται.</w:t>
      </w:r>
    </w:p>
    <w:p w:rsidR="00AA2887" w:rsidRDefault="00E93272">
      <w:pPr>
        <w:rPr>
          <w:noProof/>
          <w:szCs w:val="24"/>
        </w:rPr>
      </w:pPr>
      <w:r>
        <w:rPr>
          <w:noProof/>
        </w:rPr>
        <w:t>Το άρθρο 1 παράγραφος 4 προσθέτει στο άρθρο 27 του κανονισμού για τους δείκτες αναφοράς («</w:t>
      </w:r>
      <w:r>
        <w:rPr>
          <w:i/>
          <w:noProof/>
        </w:rPr>
        <w:t>Δήλωση δείκτη αναφοράς</w:t>
      </w:r>
      <w:r>
        <w:rPr>
          <w:noProof/>
        </w:rPr>
        <w:t xml:space="preserve">») μια νέα παράγραφο η οποία ως στόχο έχει να υποχρεώσει τους διαχειριστές να εξηγούν στη δήλωση δείκτη αναφοράς με ποιο τρόπο </w:t>
      </w:r>
      <w:r>
        <w:rPr>
          <w:noProof/>
        </w:rPr>
        <w:t xml:space="preserve">οι περιβαλλοντικοί και κοινωνικοί παράγοντες, καθώς και οι παράγοντες διακυβέρνησης αντικατοπτρίζονται σε κάθε παρεχόμενο δείκτη αναφοράς, ή οικογένεια δεικτών αναφοράς, που λαμβάνει υπόψη ή επιδιώκει την επίτευξη στόχων ΠΚΔ. Η Επιτροπή εξουσιοδοτείται να </w:t>
      </w:r>
      <w:r>
        <w:rPr>
          <w:noProof/>
        </w:rPr>
        <w:t>καθορίσει περαιτέρω τις πληροφορίες που πρέπει να παρέχονται.</w:t>
      </w:r>
    </w:p>
    <w:p w:rsidR="00AA2887" w:rsidRDefault="00E93272">
      <w:pPr>
        <w:rPr>
          <w:noProof/>
        </w:rPr>
      </w:pPr>
      <w:r>
        <w:rPr>
          <w:noProof/>
        </w:rPr>
        <w:t>Η παράγραφος 5 προσθέτει νέο παράρτημα ΙΙΙ στον κανονισμό για τους δείκτες αναφοράς, στο οποίο καθορίζονται οι βασικές απαιτήσεις για τη μεθοδολογία των δεικτών αναφοράς χαμηλών ανθρακούχων εκπο</w:t>
      </w:r>
      <w:r>
        <w:rPr>
          <w:noProof/>
        </w:rPr>
        <w:t>μπών και θετικού αντικτύπου άνθρακα, παραθέτοντας τα στοιχεία που πρέπει να κοινοποιούν οι διαχειριστές καθώς και τη διαδικασία που θα ακολουθείται για την τροποποίηση της μεθοδολογίας τους.</w:t>
      </w:r>
    </w:p>
    <w:p w:rsidR="00AA2887" w:rsidRDefault="00E93272">
      <w:pPr>
        <w:rPr>
          <w:noProof/>
        </w:rPr>
      </w:pPr>
      <w:r>
        <w:rPr>
          <w:noProof/>
        </w:rPr>
        <w:t>Δυνάμει του άρθρου 2, ο παρών κανονισμός θα τεθεί σε ισχύ την επο</w:t>
      </w:r>
      <w:r>
        <w:rPr>
          <w:noProof/>
        </w:rPr>
        <w:t>μένη της δημοσίευσής του στην Επίσημη Εφημερίδα της Ευρωπαϊκής Ένωσης.</w:t>
      </w:r>
    </w:p>
    <w:p w:rsidR="00AA2887" w:rsidRDefault="00AA2887">
      <w:pPr>
        <w:rPr>
          <w:noProof/>
        </w:rPr>
        <w:sectPr w:rsidR="00AA2887" w:rsidSect="00E93272">
          <w:footerReference w:type="default" r:id="rId17"/>
          <w:footerReference w:type="first" r:id="rId18"/>
          <w:pgSz w:w="11907" w:h="16839"/>
          <w:pgMar w:top="1134" w:right="1417" w:bottom="1134" w:left="1417" w:header="709" w:footer="709" w:gutter="0"/>
          <w:cols w:space="708"/>
          <w:docGrid w:linePitch="360"/>
        </w:sectPr>
      </w:pPr>
    </w:p>
    <w:p w:rsidR="00AA2887" w:rsidRDefault="00E93272" w:rsidP="00E93272">
      <w:pPr>
        <w:pStyle w:val="Rfrenceinterinstitutionnelle"/>
        <w:rPr>
          <w:noProof/>
        </w:rPr>
      </w:pPr>
      <w:r w:rsidRPr="00E93272">
        <w:t>2018/0180 (COD)</w:t>
      </w:r>
    </w:p>
    <w:p w:rsidR="00AA2887" w:rsidRDefault="00E93272" w:rsidP="00E93272">
      <w:pPr>
        <w:pStyle w:val="Statut"/>
        <w:rPr>
          <w:noProof/>
        </w:rPr>
      </w:pPr>
      <w:r w:rsidRPr="00E93272">
        <w:t>Πρόταση</w:t>
      </w:r>
    </w:p>
    <w:p w:rsidR="00AA2887" w:rsidRDefault="00E93272" w:rsidP="00E93272">
      <w:pPr>
        <w:pStyle w:val="Typedudocument"/>
        <w:rPr>
          <w:noProof/>
        </w:rPr>
      </w:pPr>
      <w:r w:rsidRPr="00E93272">
        <w:t>ΚΑΝΟΝΙΣΜΟΣ ΤΟΥ ΕΥΡΩΠΑΪΚΟΥ ΚΟΙΝΟΒΟΥΛΙΟΥ ΚΑΙ ΤΟΥ ΣΥΜΒΟΥΛΙΟΥ</w:t>
      </w:r>
    </w:p>
    <w:p w:rsidR="00AA2887" w:rsidRDefault="00E93272" w:rsidP="00E93272">
      <w:pPr>
        <w:pStyle w:val="Titreobjet"/>
        <w:rPr>
          <w:noProof/>
        </w:rPr>
      </w:pPr>
      <w:r w:rsidRPr="00E93272">
        <w:t xml:space="preserve">για την τροποποίηση του κανονισμού (ΕΕ) 2016/1011 σχετικά με τους δείκτες αναφοράς χαμηλών ανθρακούχων εκπομπών και τους δείκτες αναφοράς θετικού </w:t>
      </w:r>
      <w:proofErr w:type="spellStart"/>
      <w:r w:rsidRPr="00E93272">
        <w:t>αντικτύπου</w:t>
      </w:r>
      <w:proofErr w:type="spellEnd"/>
      <w:r w:rsidRPr="00E93272">
        <w:t xml:space="preserve"> άνθρακα</w:t>
      </w:r>
    </w:p>
    <w:p w:rsidR="00AA2887" w:rsidRDefault="00E93272" w:rsidP="00E93272">
      <w:pPr>
        <w:pStyle w:val="IntrtEEE"/>
        <w:rPr>
          <w:noProof/>
        </w:rPr>
      </w:pPr>
      <w:r w:rsidRPr="00E93272">
        <w:t>(Κείμενο που παρουσιάζει ενδιαφέρον για τον ΕΟΧ)</w:t>
      </w:r>
    </w:p>
    <w:p w:rsidR="00AA2887" w:rsidRDefault="00E93272">
      <w:pPr>
        <w:pStyle w:val="Institutionquiagit"/>
        <w:rPr>
          <w:noProof/>
        </w:rPr>
      </w:pPr>
      <w:r>
        <w:rPr>
          <w:noProof/>
        </w:rPr>
        <w:t>ΤΟ ΕΥΡΩΠΑΪΚΟ ΚΟΙΝΟΒΟΥΛΙΟ ΚΑΙ ΤΟ ΣΥΜΒΟΥΛΙΟ ΤΗΣ ΕΥΡΩΠΑΪΚΗΣ ΕΝΩΣΗΣ,</w:t>
      </w:r>
    </w:p>
    <w:p w:rsidR="00AA2887" w:rsidRDefault="00E93272">
      <w:pPr>
        <w:rPr>
          <w:noProof/>
        </w:rPr>
      </w:pPr>
      <w:r>
        <w:rPr>
          <w:noProof/>
        </w:rPr>
        <w:t>Έχοντας υπόψη τη Συνθήκη γ</w:t>
      </w:r>
      <w:r>
        <w:rPr>
          <w:noProof/>
        </w:rPr>
        <w:t>ια τη λειτουργία της Ευρωπαϊκής Ένωσης, και ιδίως το άρθρο 114,</w:t>
      </w:r>
    </w:p>
    <w:p w:rsidR="00AA2887" w:rsidRDefault="00E93272">
      <w:pPr>
        <w:rPr>
          <w:noProof/>
        </w:rPr>
      </w:pPr>
      <w:r>
        <w:rPr>
          <w:noProof/>
        </w:rPr>
        <w:t>Έχοντας υπόψη την πρόταση της Ευρωπαϊκής Επιτροπής,</w:t>
      </w:r>
    </w:p>
    <w:p w:rsidR="00AA2887" w:rsidRDefault="00E93272">
      <w:pPr>
        <w:rPr>
          <w:noProof/>
        </w:rPr>
      </w:pPr>
      <w:r>
        <w:rPr>
          <w:noProof/>
        </w:rPr>
        <w:t>Κατόπιν διαβίβασης του σχεδίου νομοθετικής πράξης στα εθνικά κοινοβούλια,</w:t>
      </w:r>
    </w:p>
    <w:p w:rsidR="00AA2887" w:rsidRDefault="00E93272">
      <w:pPr>
        <w:rPr>
          <w:noProof/>
        </w:rPr>
      </w:pPr>
      <w:r>
        <w:rPr>
          <w:noProof/>
        </w:rPr>
        <w:t>Έχοντας υπόψη τη γνώμη της Ευρωπαϊκής Κεντρικής Τράπεζας</w:t>
      </w:r>
      <w:r>
        <w:rPr>
          <w:rStyle w:val="FootnoteReference"/>
          <w:noProof/>
        </w:rPr>
        <w:footnoteReference w:id="22"/>
      </w:r>
      <w:r>
        <w:rPr>
          <w:noProof/>
        </w:rPr>
        <w:t>,</w:t>
      </w:r>
    </w:p>
    <w:p w:rsidR="00AA2887" w:rsidRDefault="00E93272">
      <w:pPr>
        <w:rPr>
          <w:noProof/>
        </w:rPr>
      </w:pPr>
      <w:r>
        <w:rPr>
          <w:noProof/>
        </w:rPr>
        <w:t>Έχοντας</w:t>
      </w:r>
      <w:r>
        <w:rPr>
          <w:noProof/>
        </w:rPr>
        <w:t xml:space="preserve"> υπόψη τη γνώμη της Ευρωπαϊκής Οικονομικής και Κοινωνικής Επιτροπής</w:t>
      </w:r>
      <w:r>
        <w:rPr>
          <w:rStyle w:val="FootnoteReference"/>
          <w:noProof/>
        </w:rPr>
        <w:footnoteReference w:id="23"/>
      </w:r>
      <w:r>
        <w:rPr>
          <w:noProof/>
        </w:rPr>
        <w:t>,</w:t>
      </w:r>
    </w:p>
    <w:p w:rsidR="00AA2887" w:rsidRDefault="00E93272">
      <w:pPr>
        <w:rPr>
          <w:noProof/>
        </w:rPr>
      </w:pPr>
      <w:r>
        <w:rPr>
          <w:noProof/>
        </w:rPr>
        <w:t>Αποφασίζοντας σύμφωνα με τη συνήθη νομοθετική διαδικασία,</w:t>
      </w:r>
    </w:p>
    <w:p w:rsidR="00AA2887" w:rsidRDefault="00E93272">
      <w:pPr>
        <w:rPr>
          <w:noProof/>
        </w:rPr>
      </w:pPr>
      <w:r>
        <w:rPr>
          <w:noProof/>
        </w:rPr>
        <w:t>Εκτιμώντας τα ακόλουθα:</w:t>
      </w:r>
    </w:p>
    <w:p w:rsidR="00AA2887" w:rsidRDefault="00E93272">
      <w:pPr>
        <w:pStyle w:val="ManualConsidrant"/>
        <w:rPr>
          <w:rStyle w:val="None"/>
          <w:noProof/>
        </w:rPr>
      </w:pPr>
      <w:r>
        <w:rPr>
          <w:rStyle w:val="None"/>
        </w:rPr>
        <w:t>(1)</w:t>
      </w:r>
      <w:r>
        <w:rPr>
          <w:rStyle w:val="None"/>
        </w:rPr>
        <w:tab/>
      </w:r>
      <w:r>
        <w:rPr>
          <w:rStyle w:val="None"/>
          <w:noProof/>
        </w:rPr>
        <w:t xml:space="preserve">Στις 25 Σεπτεμβρίου 2015, η Γενική Συνέλευση των Ηνωμένων Εθνών ενέκρινε ένα νέο παγκόσμιο πλαίσιο </w:t>
      </w:r>
      <w:r>
        <w:rPr>
          <w:rStyle w:val="None"/>
          <w:noProof/>
        </w:rPr>
        <w:t>για τη βιώσιμη ανάπτυξη: το θεματολόγιο του 2030 για τη βιώσιμη ανάπτυξη</w:t>
      </w:r>
      <w:r>
        <w:rPr>
          <w:rStyle w:val="None"/>
          <w:noProof/>
          <w:vertAlign w:val="superscript"/>
        </w:rPr>
        <w:footnoteReference w:id="24"/>
      </w:r>
      <w:r>
        <w:rPr>
          <w:rStyle w:val="None"/>
          <w:noProof/>
        </w:rPr>
        <w:t xml:space="preserve"> στον πυρήνα του οποίου βρίσκονται οι στόχοι βιώσιμης ανάπτυξης (ΣΒΑ). Η ανακοίνωση του 2016 της Επιτροπής σχετικά με τα επόμενα βήματα για ένα βιώσιμο ευρωπαϊκό μέλλον</w:t>
      </w:r>
      <w:r>
        <w:rPr>
          <w:rStyle w:val="None"/>
          <w:noProof/>
          <w:vertAlign w:val="superscript"/>
        </w:rPr>
        <w:footnoteReference w:id="25"/>
      </w:r>
      <w:r>
        <w:rPr>
          <w:rStyle w:val="None"/>
          <w:noProof/>
        </w:rPr>
        <w:t xml:space="preserve"> συνδέει τους </w:t>
      </w:r>
      <w:r>
        <w:rPr>
          <w:rStyle w:val="None"/>
          <w:noProof/>
        </w:rPr>
        <w:t>στόχους βιώσιμης ανάπτυξης (ΣΒΑ) με το ενωσιακό πλαίσιο πολιτικής, ώστε να διασφαλίζεται ότι όλες οι δράσεις και πρωτοβουλίες πολιτικής της Ένωσης, σε ενωσιακό και παγκόσμιο επίπεδο, περιλαμβάνουν τους ΣΒΑ εξαρχής. Τα συμπεράσματα του Ευρωπαϊκού Συμβουλίου</w:t>
      </w:r>
      <w:r>
        <w:rPr>
          <w:rStyle w:val="None"/>
          <w:noProof/>
        </w:rPr>
        <w:t xml:space="preserve"> της 20ής Ιουνίου 2017</w:t>
      </w:r>
      <w:r>
        <w:rPr>
          <w:rStyle w:val="None"/>
          <w:noProof/>
          <w:vertAlign w:val="superscript"/>
        </w:rPr>
        <w:footnoteReference w:id="26"/>
      </w:r>
      <w:r>
        <w:rPr>
          <w:rStyle w:val="None"/>
          <w:noProof/>
        </w:rPr>
        <w:t xml:space="preserve"> επιβεβαίωσαν τη δέσμευση της Ένωσης και των κρατών μελών για εφαρμογή του θεματολογίου του 2030 με ολοκληρωμένο, συνεπή, περιεκτικό, ενσωματωμένο και αποτελεσματικό τρόπο και σε στενή συνεργασία με εταίρους και άλλους ενδιαφερομένου</w:t>
      </w:r>
      <w:r>
        <w:rPr>
          <w:rStyle w:val="None"/>
          <w:noProof/>
        </w:rPr>
        <w:t>ς.</w:t>
      </w:r>
    </w:p>
    <w:p w:rsidR="00AA2887" w:rsidRDefault="00E93272">
      <w:pPr>
        <w:pStyle w:val="ManualConsidrant"/>
        <w:rPr>
          <w:rStyle w:val="None"/>
          <w:noProof/>
        </w:rPr>
      </w:pPr>
      <w:r>
        <w:rPr>
          <w:rStyle w:val="None"/>
        </w:rPr>
        <w:t>(2)</w:t>
      </w:r>
      <w:r>
        <w:rPr>
          <w:rStyle w:val="None"/>
        </w:rPr>
        <w:tab/>
      </w:r>
      <w:r>
        <w:rPr>
          <w:rStyle w:val="None"/>
          <w:noProof/>
        </w:rPr>
        <w:t>Το 2015, το Συμβούλιο συνήψε τη Συμφωνία του Παρισιού για το κλίμα</w:t>
      </w:r>
      <w:r>
        <w:rPr>
          <w:rStyle w:val="None"/>
          <w:noProof/>
          <w:vertAlign w:val="superscript"/>
        </w:rPr>
        <w:footnoteReference w:id="27"/>
      </w:r>
      <w:r>
        <w:rPr>
          <w:rStyle w:val="None"/>
          <w:noProof/>
        </w:rPr>
        <w:t xml:space="preserve">. Το άρθρο 2 στοιχείο γ) της συγκεκριμένης Συμφωνίας θέτει ως στόχο την ενίσχυση της αντιμετώπισης της κλιματικής αλλαγής, μεταξύ άλλων, καθιστώντας τις χρηματοδοτικές ροές συμβατές </w:t>
      </w:r>
      <w:r>
        <w:rPr>
          <w:rStyle w:val="None"/>
          <w:noProof/>
        </w:rPr>
        <w:t>με την πορεία προς τις με χαμηλές εκπομπές αερίων του θερμοκηπίου και την ανάπτυξη με ανθεκτικότητα στις κλιματικές μεταβολές.</w:t>
      </w:r>
    </w:p>
    <w:p w:rsidR="00AA2887" w:rsidRDefault="00E93272">
      <w:pPr>
        <w:pStyle w:val="ManualConsidrant"/>
        <w:rPr>
          <w:rStyle w:val="None"/>
          <w:noProof/>
        </w:rPr>
      </w:pPr>
      <w:r>
        <w:rPr>
          <w:rStyle w:val="None"/>
        </w:rPr>
        <w:t>(3)</w:t>
      </w:r>
      <w:r>
        <w:rPr>
          <w:rStyle w:val="None"/>
        </w:rPr>
        <w:tab/>
      </w:r>
      <w:r>
        <w:rPr>
          <w:rStyle w:val="None"/>
          <w:noProof/>
        </w:rPr>
        <w:t>Η βιωσιμότητα και η μετάβαση σε μια κυκλική οικονομία με χαμηλά επίπεδα ανθρακούχων εκπομπών, με ανθεκτικότητα στις κλιματικέ</w:t>
      </w:r>
      <w:r>
        <w:rPr>
          <w:rStyle w:val="None"/>
          <w:noProof/>
        </w:rPr>
        <w:t>ς μεταβολές και πιο αποδοτική ως προς τη χρήση των πόρων είναι ζωτικής σημασίας για τη διασφάλιση της μακροπρόθεσμης ανταγωνιστικότητας της οικονομίας της Ένωσης. Η βιωσιμότητα ανέκαθεν αποτελούσε κεντρικό στοιχείο του ευρωπαϊκού οικοδομήματος, και οι Συνθ</w:t>
      </w:r>
      <w:r>
        <w:rPr>
          <w:rStyle w:val="None"/>
          <w:noProof/>
        </w:rPr>
        <w:t>ήκες της Ένωσης υπογραμμίζουν τις κοινωνικές και περιβαλλοντικές της διαστάσεις.</w:t>
      </w:r>
    </w:p>
    <w:p w:rsidR="00AA2887" w:rsidRDefault="00E93272">
      <w:pPr>
        <w:pStyle w:val="ManualConsidrant"/>
        <w:rPr>
          <w:noProof/>
        </w:rPr>
      </w:pPr>
      <w:r>
        <w:t>(4)</w:t>
      </w:r>
      <w:r>
        <w:tab/>
      </w:r>
      <w:r>
        <w:rPr>
          <w:noProof/>
        </w:rPr>
        <w:t>Τον Μάρτιο του 2018, η Επιτροπή δημοσίευσε σχέδιο δράσης με τίτλο «Χρηματοδότηση της αειφόρου ανάπτυξης»</w:t>
      </w:r>
      <w:r>
        <w:rPr>
          <w:rStyle w:val="FootnoteReference"/>
          <w:noProof/>
        </w:rPr>
        <w:footnoteReference w:id="28"/>
      </w:r>
      <w:r>
        <w:rPr>
          <w:noProof/>
        </w:rPr>
        <w:t xml:space="preserve"> για τη χάραξη μιας φιλόδοξης και ολοκληρωμένης στρατηγικής για τη</w:t>
      </w:r>
      <w:r>
        <w:rPr>
          <w:noProof/>
        </w:rPr>
        <w:t xml:space="preserve"> βιώσιμη χρηματοδότηση. Ένας από τους στόχους που καθορίζονται στο εν λόγω σχέδιο δράσης είναι ο αναπροσανατολισμός των ροών κεφαλαίων προς βιώσιμες επενδύσεις προκειμένου να επιτευχθεί διατηρήσιμη και χωρίς αποκλεισμούς ανάπτυξη.</w:t>
      </w:r>
    </w:p>
    <w:p w:rsidR="00AA2887" w:rsidRDefault="00E93272">
      <w:pPr>
        <w:pStyle w:val="ManualConsidrant"/>
        <w:rPr>
          <w:noProof/>
        </w:rPr>
      </w:pPr>
      <w:r>
        <w:t>(5)</w:t>
      </w:r>
      <w:r>
        <w:tab/>
      </w:r>
      <w:r>
        <w:rPr>
          <w:noProof/>
        </w:rPr>
        <w:t>Η απόφαση αριθ. 1386/</w:t>
      </w:r>
      <w:r>
        <w:rPr>
          <w:noProof/>
        </w:rPr>
        <w:t>2013/ΕΕ του Ευρωπαϊκού Κοινοβουλίου</w:t>
      </w:r>
      <w:r>
        <w:rPr>
          <w:rStyle w:val="FootnoteReference"/>
          <w:noProof/>
        </w:rPr>
        <w:footnoteReference w:id="29"/>
      </w:r>
      <w:r>
        <w:rPr>
          <w:noProof/>
        </w:rPr>
        <w:t xml:space="preserve"> προέτρεπε σε αύξηση της ιδιωτικής χρηματοδότησης για δαπάνες που σχετίζονται με το περιβάλλον και το κλίμα, ιδίως με την εφαρμογή κινήτρων και μεθόδων που ενθαρρύνουν τις επιχειρήσεις να μετρούν το περιβαλλοντικό κόστος</w:t>
      </w:r>
      <w:r>
        <w:rPr>
          <w:noProof/>
        </w:rPr>
        <w:t xml:space="preserve"> των επιχειρηματικών τους δραστηριοτήτων και τα κέρδη που αποκομίζονται από τη χρήση περιβαλλοντικών υπηρεσιών.</w:t>
      </w:r>
    </w:p>
    <w:p w:rsidR="00AA2887" w:rsidRDefault="00E93272">
      <w:pPr>
        <w:pStyle w:val="ManualConsidrant"/>
        <w:rPr>
          <w:noProof/>
        </w:rPr>
      </w:pPr>
      <w:r>
        <w:t>(6)</w:t>
      </w:r>
      <w:r>
        <w:tab/>
      </w:r>
      <w:r>
        <w:rPr>
          <w:noProof/>
        </w:rPr>
        <w:t xml:space="preserve">Η επίτευξη των ΣΒΑ στην Ένωση απαιτεί τη διοχέτευση ροών κεφαλαίων σε βιώσιμες επενδύσεις. Είναι σημαντικό να αξιοποιούνται στο έπακρον οι </w:t>
      </w:r>
      <w:r>
        <w:rPr>
          <w:noProof/>
        </w:rPr>
        <w:t>δυνατότητες της εσωτερικής αγοράς για την επίτευξη των εν λόγω στόχων. Στο πλαίσιο αυτό, είναι καίριας σημασίας να αρθούν τα εμπόδια στην αποτελεσματική κίνηση των κεφαλαίων προς επενδύσεις στην εσωτερική αγορά και να αποτραπεί η εμφάνιση τέτοιων αναμενόμε</w:t>
      </w:r>
      <w:r>
        <w:rPr>
          <w:noProof/>
        </w:rPr>
        <w:t>νων εμποδίων.</w:t>
      </w:r>
    </w:p>
    <w:p w:rsidR="00AA2887" w:rsidRDefault="00E93272">
      <w:pPr>
        <w:pStyle w:val="ManualConsidrant"/>
        <w:rPr>
          <w:noProof/>
        </w:rPr>
      </w:pPr>
      <w:r>
        <w:t>(7)</w:t>
      </w:r>
      <w:r>
        <w:tab/>
      </w:r>
      <w:r>
        <w:rPr>
          <w:noProof/>
        </w:rPr>
        <w:t>Ο κανονισμός (ΕΕ) 2016/1011 του Ευρωπαϊκού Κοινοβουλίου και του Συμβουλίου</w:t>
      </w:r>
      <w:r>
        <w:rPr>
          <w:rStyle w:val="FootnoteReference"/>
          <w:noProof/>
        </w:rPr>
        <w:footnoteReference w:id="30"/>
      </w:r>
      <w:r>
        <w:rPr>
          <w:noProof/>
        </w:rPr>
        <w:t xml:space="preserve"> θεσπίζει ενιαίους κανόνες για τους δείκτες αναφοράς στην Ένωση και προβλέπει διαφορετικά είδη δεικτών αναφοράς. Ένας αυξανόμενος αριθμός επενδυτών ακολουθεί επενδ</w:t>
      </w:r>
      <w:r>
        <w:rPr>
          <w:noProof/>
        </w:rPr>
        <w:t xml:space="preserve">υτικές στρατηγικές χαμηλών ανθρακούχων εκπομπών και προσφεύγει σε δείκτες αναφοράς για την καταγραφή ή τη μέτρηση της απόδοσης των χαρτοφυλακίων επενδύσεων. </w:t>
      </w:r>
    </w:p>
    <w:p w:rsidR="00AA2887" w:rsidRDefault="00E93272">
      <w:pPr>
        <w:pStyle w:val="ManualConsidrant"/>
        <w:rPr>
          <w:noProof/>
        </w:rPr>
      </w:pPr>
      <w:r>
        <w:t>(8)</w:t>
      </w:r>
      <w:r>
        <w:tab/>
      </w:r>
      <w:r>
        <w:rPr>
          <w:noProof/>
        </w:rPr>
        <w:t>Επί του παρόντος, μια μεγάλη ποικιλία δεικτών ομαδοποιούνται στην κατηγορία των δεικτών χαμηλώ</w:t>
      </w:r>
      <w:r>
        <w:rPr>
          <w:noProof/>
        </w:rPr>
        <w:t>ν ανθρακούχων εκπομπών. Οι συγκεκριμένοι δείκτες χρησιμοποιούνται ως δείκτες αναφοράς για χαρτοφυλάκια επενδύσεων και προϊόντα που πωλούνται διασυνοριακά. Η ποιότητα και η ακεραιότητα των δεικτών αναφοράς χαμηλών ανθρακούχων εκπομπών επηρεάζουν την αποτελε</w:t>
      </w:r>
      <w:r>
        <w:rPr>
          <w:noProof/>
        </w:rPr>
        <w:t>σματική λειτουργία της εσωτερικής αγοράς σε ένα ευρύ φάσμα μεμονωμένων και συλλογικών χαρτοφυλακίων επενδύσεων. Πολλοί δείκτες χαμηλών ανθρακούχων εκπομπών που χρησιμοποιούνται για τη μέτρηση της απόδοσης χαρτοφυλακίων επενδύσεων, ιδίως για χωριστούς λογαρ</w:t>
      </w:r>
      <w:r>
        <w:rPr>
          <w:noProof/>
        </w:rPr>
        <w:t>ιασμούς επενδύσεων και καθεστώτα συλλογικών επενδύσεων, διατίθενται σε ένα κράτος μέλος αλλά χρησιμοποιούνται από διαχειριστές χαρτοφυλακίων και στοιχείων ενεργητικού σε άλλα κράτη μέλη. Επιπλέον, οι διαχειριστές χαρτοφυλακίων και στοιχείων ενεργητικού συχ</w:t>
      </w:r>
      <w:r>
        <w:rPr>
          <w:noProof/>
        </w:rPr>
        <w:t>νά αντισταθμίζουν τους κινδύνους έκθεσης σε ανθρακούχες εκπομπές χρησιμοποιώντας δείκτες αναφοράς που παράγονται σε άλλα κράτη μέλη.</w:t>
      </w:r>
    </w:p>
    <w:p w:rsidR="00AA2887" w:rsidRDefault="00E93272">
      <w:pPr>
        <w:pStyle w:val="ManualConsidrant"/>
        <w:rPr>
          <w:noProof/>
        </w:rPr>
      </w:pPr>
      <w:r>
        <w:t>(9)</w:t>
      </w:r>
      <w:r>
        <w:tab/>
      </w:r>
      <w:r>
        <w:rPr>
          <w:noProof/>
        </w:rPr>
        <w:t>Έχουν εμφανιστεί στην αγορά διαφορετικές κατηγορίες δεικτών χαμηλών ανθρακούχων εκπομπών με διαφορετικού βαθμού φιλοδοξ</w:t>
      </w:r>
      <w:r>
        <w:rPr>
          <w:noProof/>
        </w:rPr>
        <w:t>ίες. Ορισμένοι δείκτες αναφοράς αποσκοπούν στη μείωση του αποτυπώματος άνθρακα ενός τυποποιημένου χαρτοφυλακίου επενδύσεων, ενώ κάποιοι άλλοι αποσκοπούν στην επιλογή μόνο των στοιχείων που συμβάλλουν στην επίτευξη του στόχου των 2°C που καθορίζεται στη Συμ</w:t>
      </w:r>
      <w:r>
        <w:rPr>
          <w:noProof/>
        </w:rPr>
        <w:t>φωνία του Παρισιού για το κλίμα. Παρά τις διαφορές όσον αφορά στόχους και στρατηγικές, όλοι οι εν λόγω δείκτες αναφοράς προωθούνται συνήθως ως δείκτες αναφοράς χαμηλών ανθρακούχων εκπομπών.</w:t>
      </w:r>
    </w:p>
    <w:p w:rsidR="00AA2887" w:rsidRDefault="00E93272">
      <w:pPr>
        <w:pStyle w:val="ManualConsidrant"/>
        <w:rPr>
          <w:noProof/>
        </w:rPr>
      </w:pPr>
      <w:r>
        <w:t>(10)</w:t>
      </w:r>
      <w:r>
        <w:tab/>
      </w:r>
      <w:r>
        <w:rPr>
          <w:noProof/>
        </w:rPr>
        <w:t>Οι διαφορετικές προσεγγίσεις στις μεθοδολογίες των δεικτών αν</w:t>
      </w:r>
      <w:r>
        <w:rPr>
          <w:noProof/>
        </w:rPr>
        <w:t>αφοράς οδηγούν σε κατακερματισμό της εσωτερικής αγοράς διότι οι χρήστες των δεικτών αναφοράς δεν καθορίζουν με σαφήνεια εάν ένας συγκεκριμένος δείκτης χαμηλών ανθρακούχων εκπομπών είναι δείκτης αναφοράς ευθυγραμμισμένος με τον στόχο των 2°C ή απλώς ένας δε</w:t>
      </w:r>
      <w:r>
        <w:rPr>
          <w:noProof/>
        </w:rPr>
        <w:t>ίκτης αναφοράς που αποσκοπεί στη μείωση του αποτυπώματος άνθρακα ενός τυποποιημένου χαρτοφυλακίου επενδύσεων. Για να αντιμετωπιστούν δυνητικά παράνομες αξιώσεις διαχειριστών σχετικά με τον χαρακτήρα χαμηλών ανθρακούχων εκπομπών των οικείων δεικτών αναφοράς</w:t>
      </w:r>
      <w:r>
        <w:rPr>
          <w:noProof/>
        </w:rPr>
        <w:t>, τα κράτη μέλη ενδέχεται να θεσπίζουν διαφορετικούς κανόνες για να αποφευχθεί η επακόλουθη σύγχυση και αμφιβολία των επενδυτών σχετικά με τους στόχους και το επίπεδο φιλοδοξίας που διέπουν διαφορετικές κατηγορίες των αποκαλούμενων δεικτών χαμηλών ανθρακού</w:t>
      </w:r>
      <w:r>
        <w:rPr>
          <w:noProof/>
        </w:rPr>
        <w:t>χων εκπομπών που χρησιμοποιούνται ως δείκτες αναφοράς για χαρτοφυλάκιο επενδύσεων χαμηλών ανθρακούχων εκπομπών.</w:t>
      </w:r>
    </w:p>
    <w:p w:rsidR="00AA2887" w:rsidRDefault="00E93272">
      <w:pPr>
        <w:pStyle w:val="ManualConsidrant"/>
        <w:rPr>
          <w:noProof/>
        </w:rPr>
      </w:pPr>
      <w:r>
        <w:t>(11)</w:t>
      </w:r>
      <w:r>
        <w:tab/>
      </w:r>
      <w:r>
        <w:rPr>
          <w:noProof/>
        </w:rPr>
        <w:t>Σε περίπτωση απουσίας εναρμονισμένου πλαισίου για τη διασφάλιση της ακρίβειας και της ακεραιότητας των βασικών κατηγοριών των δεικτών αναφο</w:t>
      </w:r>
      <w:r>
        <w:rPr>
          <w:noProof/>
        </w:rPr>
        <w:t>ράς χαμηλών ανθρακούχων εκπομπών που χρησιμοποιούνται σε μεμονωμένα ή συλλογικά χαρτοφυλάκια επενδύσεων, είναι πιθανό οι διαφορετικές προσεγγίσεις των κρατών μελών να δημιουργήσουν εμπόδια στην ομαλή λειτουργία της εσωτερικής αγοράς.</w:t>
      </w:r>
    </w:p>
    <w:p w:rsidR="00AA2887" w:rsidRDefault="00E93272">
      <w:pPr>
        <w:pStyle w:val="ManualConsidrant"/>
        <w:rPr>
          <w:noProof/>
        </w:rPr>
      </w:pPr>
      <w:r>
        <w:t>(12)</w:t>
      </w:r>
      <w:r>
        <w:tab/>
      </w:r>
      <w:r>
        <w:rPr>
          <w:noProof/>
        </w:rPr>
        <w:t>Συνεπώς, προκειμέ</w:t>
      </w:r>
      <w:r>
        <w:rPr>
          <w:noProof/>
        </w:rPr>
        <w:t>νου να διατηρηθεί η ομαλή λειτουργία της εσωτερικής αγοράς, να βελτιωθούν περαιτέρω οι όροι λειτουργίας της και να διασφαλιστεί υψηλό επίπεδο προστασίας των καταναλωτών και των επενδυτών, είναι σκόπιμο να προσαρμοστεί ο κανονισμός (ΕΕ) 2016/1011 ώστε να θε</w:t>
      </w:r>
      <w:r>
        <w:rPr>
          <w:noProof/>
        </w:rPr>
        <w:t>σπιστεί ρυθμιστικό πλαίσιο για την εναρμόνιση των δεικτών αναφοράς χαμηλών ανθρακούχων εκπομπών σε ενωσιακό επίπεδο.</w:t>
      </w:r>
    </w:p>
    <w:p w:rsidR="00AA2887" w:rsidRDefault="00E93272">
      <w:pPr>
        <w:pStyle w:val="ManualConsidrant"/>
        <w:rPr>
          <w:noProof/>
        </w:rPr>
      </w:pPr>
      <w:r>
        <w:t>(13)</w:t>
      </w:r>
      <w:r>
        <w:tab/>
      </w:r>
      <w:r>
        <w:rPr>
          <w:noProof/>
        </w:rPr>
        <w:t>Επιπλέον, είναι αναγκαία η θέσπιση σαφούς διάκρισης μεταξύ των δεικτών αναφοράς χαμηλών ανθρακούχων εκπομπών και των δεικτών θετικού α</w:t>
      </w:r>
      <w:r>
        <w:rPr>
          <w:noProof/>
        </w:rPr>
        <w:t>ντικτύπου άνθρακα. Τα υποκείμενα στοιχεία ενεργητικού σε έναν δείκτη χαμηλών ανθρακούχων εκπομπών θα πρέπει να επιλέγονται με στόχο τη μείωση των ανθρακούχων εκπομπών του χαρτοφυλακίου δεικτών σε σύγκριση με τον αρχικό δείκτη. Αντίθετα, ένας δείκτης θετικο</w:t>
      </w:r>
      <w:r>
        <w:rPr>
          <w:noProof/>
        </w:rPr>
        <w:t>ύ αντικτύπου άνθρακα θα πρέπει να αποτελείται μόνο από στοιχεία των οποίων η εξοικονόμηση εκπομπών υπερβαίνει τις ανθρακούχες εκπομπές.</w:t>
      </w:r>
    </w:p>
    <w:p w:rsidR="00AA2887" w:rsidRDefault="00E93272">
      <w:pPr>
        <w:pStyle w:val="ManualConsidrant"/>
        <w:rPr>
          <w:rStyle w:val="None"/>
          <w:noProof/>
        </w:rPr>
      </w:pPr>
      <w:r>
        <w:rPr>
          <w:rStyle w:val="None"/>
        </w:rPr>
        <w:t>(14)</w:t>
      </w:r>
      <w:r>
        <w:rPr>
          <w:rStyle w:val="None"/>
        </w:rPr>
        <w:tab/>
      </w:r>
      <w:r>
        <w:rPr>
          <w:noProof/>
        </w:rPr>
        <w:t>Κάθε εταιρεία τα στοιχεία ενεργητικού της οποίας επιλέγονται ως υποκείμενα σε δείκτη αναφοράς θετικού αντικτύπου άν</w:t>
      </w:r>
      <w:r>
        <w:rPr>
          <w:noProof/>
        </w:rPr>
        <w:t xml:space="preserve">θρακα θα πρέπει να εξοικονομεί περισσότερες εκπομπές από εκείνες που παράγει, ώστε να έχει θετικό ισοζύγιο για το περιβάλλον. </w:t>
      </w:r>
      <w:r>
        <w:rPr>
          <w:rStyle w:val="None"/>
          <w:noProof/>
        </w:rPr>
        <w:t>Οι διαχειριστές χαρτοφυλακίων και στοιχείων ενεργητικού που ισχυρίζονται ότι εφαρμόζουν επενδυτική στρατηγική η οποία είναι συμβατ</w:t>
      </w:r>
      <w:r>
        <w:rPr>
          <w:rStyle w:val="None"/>
          <w:noProof/>
        </w:rPr>
        <w:t>ή με τη Συμφωνία του Παρισιού για το κλίμα θα πρέπει, ως εκ τούτου, να χρησιμοποιούν δείκτες αναφοράς θετικού αντικτύπου άνθρακα.</w:t>
      </w:r>
    </w:p>
    <w:p w:rsidR="00AA2887" w:rsidRDefault="00E93272">
      <w:pPr>
        <w:pStyle w:val="ManualConsidrant"/>
        <w:rPr>
          <w:noProof/>
        </w:rPr>
      </w:pPr>
      <w:r>
        <w:t>(15)</w:t>
      </w:r>
      <w:r>
        <w:tab/>
      </w:r>
      <w:r>
        <w:rPr>
          <w:noProof/>
        </w:rPr>
        <w:t xml:space="preserve">Διάφοροι διαχειριστές δεικτών αναφοράς υποστηρίζουν ότι οι δείκτες αναφοράς τους επιδιώκουν </w:t>
      </w:r>
      <w:r>
        <w:rPr>
          <w:noProof/>
          <w:color w:val="444444"/>
        </w:rPr>
        <w:t>περιβαλλοντικούς, κοινωνικούς</w:t>
      </w:r>
      <w:r>
        <w:rPr>
          <w:noProof/>
          <w:color w:val="444444"/>
        </w:rPr>
        <w:t xml:space="preserve"> και σχετικούς με τη διακυβέρνηση («</w:t>
      </w:r>
      <w:r>
        <w:rPr>
          <w:noProof/>
        </w:rPr>
        <w:t>ΠΚΔ») στόχους. Ωστόσο, οι χρήστες των συγκεκριμένων δεικτών αναφοράς δεν διαθέτουν πάντοτε τις απαραίτητες πληροφορίες όσον αφορά τον βαθμό στον οποίο η μεθοδολογία των εν λόγω διαχειριστών δεικτών αναφοράς λαμβάνει υπόψ</w:t>
      </w:r>
      <w:r>
        <w:rPr>
          <w:noProof/>
        </w:rPr>
        <w:t>η τους στόχους ΠΚΔ. Οι υφιστάμενες πληροφορίες συχνά είναι διάσπαρτες και δεν επιτρέπουν την αποτελεσματική σύγκριση επενδυτικών στόχων σε διασυνοριακό επίπεδο. Για να έχουν οι παράγοντες της αγοράς τη δυνατότητα να κάνουν συνειδητές επιλογές, θα πρέπει οι</w:t>
      </w:r>
      <w:r>
        <w:rPr>
          <w:noProof/>
        </w:rPr>
        <w:t xml:space="preserve"> διαχειριστές δεικτών αναφοράς να υποχρεούνται να κοινοποιούν τον τρόπο με τον οποίο η μεθοδολογία τους λαμβάνει υπόψη του παράγοντες ΠΚΔ για κάθε δείκτη αναφοράς ή οικογένεια δεικτών αναφοράς που θεωρείται ότι επιδιώκει την επίτευξη στόχων ΠΚΔ. Οι εν λόγω</w:t>
      </w:r>
      <w:r>
        <w:rPr>
          <w:noProof/>
        </w:rPr>
        <w:t xml:space="preserve"> πληροφορίες θα πρέπει επίσης να κοινοποιούνται στη δήλωση δείκτη αναφοράς. Οι διαχειριστές δεικτών αναφοράς που δεν προωθούν ούτε λαμβάνουν υπόψη τους στόχους ΠΚΔ δεν θα πρέπει να υπόκεινται σε υποχρέωση κοινοποίησης.</w:t>
      </w:r>
    </w:p>
    <w:p w:rsidR="00AA2887" w:rsidRDefault="00E93272">
      <w:pPr>
        <w:pStyle w:val="ManualConsidrant"/>
        <w:rPr>
          <w:noProof/>
        </w:rPr>
      </w:pPr>
      <w:r>
        <w:t>(16)</w:t>
      </w:r>
      <w:r>
        <w:tab/>
      </w:r>
      <w:r>
        <w:rPr>
          <w:noProof/>
        </w:rPr>
        <w:t>Για τους ίδιους λόγους, οι διαχε</w:t>
      </w:r>
      <w:r>
        <w:rPr>
          <w:noProof/>
        </w:rPr>
        <w:t>ιριστές δεικτών αναφοράς χαμηλών ανθρακούχων εκπομπών και θετικού αντικτύπου άνθρακα θα πρέπει να κοινοποιούν τη μεθοδολογία που χρησιμοποιούν για τον υπολογισμό τους. Οι πληροφορίες αυτές θα πρέπει να περιγράφουν τον τρόπο επιλογής και στάθμισης των υποκε</w:t>
      </w:r>
      <w:r>
        <w:rPr>
          <w:noProof/>
        </w:rPr>
        <w:t>ίμενων στοιχείων ενεργητικού, τα στοιχεία ενεργητικού που αποκλείστηκαν καθώς και την σχετική αιτιολογία. Οι διαχειριστές δεικτών αναφοράς θα πρέπει επίσης να καθορίσουν τις διαφορές μεταξύ των δεικτών αναφοράς χαμηλών ανθρακούχων εκπομπών και του υποκείμε</w:t>
      </w:r>
      <w:r>
        <w:rPr>
          <w:noProof/>
        </w:rPr>
        <w:t>νου αρχικού δείκτη, ιδίως όσον αφορά τις ισχύουσες σταθμίσεις, τη χρηματιστηριακή αξία και την οικονομική απόδοση των υποκείμενων στοιχείων ενεργητικού. Για να αξιολογηθεί ο τρόπος με τον οποίο ο δείκτης αναφοράς συμβάλλει στην επίτευξη των περιβαλλοντικών</w:t>
      </w:r>
      <w:r>
        <w:rPr>
          <w:noProof/>
        </w:rPr>
        <w:t xml:space="preserve"> στόχων, ο διαχειριστής δείκτη αναφοράς θα πρέπει να κοινοποιήσει τον τρόπο μέτρησης του αποτυπώματος άνθρακα και της εξοικονόμησης άνθρακα των υποκείμενων στοιχείων ενεργητικού, τις αντίστοιχες αξίες, συμπεριλαμβανομένου του συνολικού αποτυπώματος άνθρακα</w:t>
      </w:r>
      <w:r>
        <w:rPr>
          <w:noProof/>
        </w:rPr>
        <w:t xml:space="preserve"> του δείκτη αναφοράς, του τύπου και της πηγής δεδομένων που χρησιμοποιήθηκαν. Για να μπορούν οι διαχειριστές στοιχείων ενεργητικού να επιλέγουν τον πλέον κατάλληλο δείκτη αναφοράς για την επενδυτική στρατηγική τους, οι διαχειριστές δεικτών αναφοράς θα πρέπ</w:t>
      </w:r>
      <w:r>
        <w:rPr>
          <w:noProof/>
        </w:rPr>
        <w:t>ει να εξηγούν αφενός το σκεπτικό στο οποίο βασίζονται οι παράμετροι της μεθοδολογίας τους και αφετέρου τον τρόπο με τον οποίο ο δείκτης αναφοράς συμβάλλει στους περιβαλλοντικούς στόχους, περιλαμβανομένων των επιπτώσεών του στον μετριασμό της κλιματικής αλλ</w:t>
      </w:r>
      <w:r>
        <w:rPr>
          <w:noProof/>
        </w:rPr>
        <w:t>αγής. Οι κοινοποιηθείσες πληροφορίες θα πρέπει επίσης να περιλαμβάνουν λεπτομέρειες σχετικά με τη συχνότητα των επικαιροποιήσεων και τη διαδικασία που ακολουθείται.</w:t>
      </w:r>
    </w:p>
    <w:p w:rsidR="00AA2887" w:rsidRDefault="00E93272">
      <w:pPr>
        <w:pStyle w:val="ManualConsidrant"/>
        <w:rPr>
          <w:noProof/>
        </w:rPr>
      </w:pPr>
      <w:r>
        <w:t>(17)</w:t>
      </w:r>
      <w:r>
        <w:tab/>
      </w:r>
      <w:r>
        <w:rPr>
          <w:noProof/>
        </w:rPr>
        <w:t>Επιπλέον, ο διαχειριστής δεικτών αναφοράς θετικού αντικτύπου άνθρακα θα πρέπει να κοιν</w:t>
      </w:r>
      <w:r>
        <w:rPr>
          <w:noProof/>
        </w:rPr>
        <w:t>οποιεί τον θετικό αντίκτυπο άνθρακα κάθε υποκείμενου στοιχείου ενεργητικού που περιλαμβάνουν οι εν λόγω δείκτες, προσδιορίζοντας τη μέθοδο που χρησιμοποιείται για να διαπιστωθεί εάν η εξοικονόμηση εκπομπών υπερβαίνει το αποτύπωμα άνθρακα του επενδυτικού στ</w:t>
      </w:r>
      <w:r>
        <w:rPr>
          <w:noProof/>
        </w:rPr>
        <w:t>οιχείου ενεργητικού.</w:t>
      </w:r>
    </w:p>
    <w:p w:rsidR="00AA2887" w:rsidRDefault="00E93272">
      <w:pPr>
        <w:pStyle w:val="ManualConsidrant"/>
        <w:rPr>
          <w:noProof/>
        </w:rPr>
      </w:pPr>
      <w:r>
        <w:t>(18)</w:t>
      </w:r>
      <w:r>
        <w:tab/>
      </w:r>
      <w:r>
        <w:rPr>
          <w:noProof/>
        </w:rPr>
        <w:t>Για να διασφαλιστεί η σταθερή προσήλωση στον επιλεγμένο στόχο μετριασμού της κλιματικής αλλαγής, οι διαχειριστές δεικτών αναφοράς χαμηλών ανθρακούχων εκπομπών και θετικού αντικτύπου άνθρακα θα πρέπει να επανεξετάζουν τακτικά τις μ</w:t>
      </w:r>
      <w:r>
        <w:rPr>
          <w:noProof/>
        </w:rPr>
        <w:t>εθοδολογίες τους και να ενημερώνουν τους χρήστες σχετικά με τις διαδικασίες που εφαρμόζονται σε οποιαδήποτε ουσιαστική αλλαγή. Κατά την πραγματοποίηση ουσιαστικής αλλαγής, οι διαχειριστές δεικτών αναφοράς θα πρέπει να κοινοποιούν τους λόγους της συγκεκριμέ</w:t>
      </w:r>
      <w:r>
        <w:rPr>
          <w:noProof/>
        </w:rPr>
        <w:t>νης αλλαγής και να εξηγούν πώς η αλλαγή συνάδει με τους αρχικούς στόχους των δεικτών αναφοράς.</w:t>
      </w:r>
    </w:p>
    <w:p w:rsidR="00AA2887" w:rsidRDefault="00E93272">
      <w:pPr>
        <w:pStyle w:val="ManualConsidrant"/>
        <w:rPr>
          <w:noProof/>
        </w:rPr>
      </w:pPr>
      <w:r>
        <w:t>(19)</w:t>
      </w:r>
      <w:r>
        <w:tab/>
      </w:r>
      <w:r>
        <w:rPr>
          <w:noProof/>
        </w:rPr>
        <w:t>Για να βελτιωθεί η διαφάνεια και να διασφαλιστεί επαρκές επίπεδο εναρμόνισης, η εξουσία έκδοσης πράξεων σύμφωνα με το άρθρο 290 της Συνθήκης για τη λειτουργ</w:t>
      </w:r>
      <w:r>
        <w:rPr>
          <w:noProof/>
        </w:rPr>
        <w:t>ία της Ευρωπαϊκής Ένωσης θα πρέπει να ανατίθεται στην Επιτροπή προκειμένου να καθορίζει περαιτέρω το ελάχιστο περιεχόμενο των υποχρεώσεων κοινοποίησης στις οποίες πρέπει να υπόκεινται οι διαχειριστές δεικτών αναφοράς που λαμβάνουν υπόψη τους στόχους ΠΚΔ, κ</w:t>
      </w:r>
      <w:r>
        <w:rPr>
          <w:noProof/>
        </w:rPr>
        <w:t>αι να καθορίζει τα ελάχιστα πρότυπα εναρμόνισης της μεθοδολογίας των δεικτών αναφοράς χαμηλών ανθρακούχων εκπομπών και θετικού αντικτύπου άνθρακα, περιλαμβανομένης της μεθόδου για τον υπολογισμό των ανθρακούχων εκπομπών και της εξοικονόμησης άνθρακα που συ</w:t>
      </w:r>
      <w:r>
        <w:rPr>
          <w:noProof/>
        </w:rPr>
        <w:t>νδέονται με τα υποκείμενα στοιχεία ενεργητικού, λαμβάνοντας υπόψη τις μεθόδους για το περιβαλλοντικό αποτύπωμα προϊόντων και οργανισμών, όπως ορίζεται στα στοιχεία α) και β) του σημείου 2 της σύστασης 2013/179/ΕΕ της Επιτροπής</w:t>
      </w:r>
      <w:r>
        <w:rPr>
          <w:rStyle w:val="FootnoteReference"/>
          <w:noProof/>
        </w:rPr>
        <w:footnoteReference w:id="31"/>
      </w:r>
      <w:r>
        <w:rPr>
          <w:noProof/>
        </w:rPr>
        <w:t>. Είναι ιδιαίτερα σημαντικό η</w:t>
      </w:r>
      <w:r>
        <w:rPr>
          <w:noProof/>
        </w:rPr>
        <w:t xml:space="preserve"> Επιτροπή να διεξάγει, κατά τις προπαρασκευαστικές εργασίες της, τις κατάλληλες διαβουλεύσεις, μεταξύ άλλων και σε επίπεδο εμπειρογνωμόνων, οι δε διαβουλεύσεις να πραγματοποιούνται σύμφωνα με τις αρχές που ορίζονται στη διοργανική συμφωνία της 13ης Απριλίο</w:t>
      </w:r>
      <w:r>
        <w:rPr>
          <w:noProof/>
        </w:rPr>
        <w:t>υ 2016 για τη βελτίωση του νομοθετικού έργου. Ειδικότερα, προκειμένου να διασφαλίζεται η ισότιμη συμμετοχή στην προετοιμασία κατ’ εξουσιοδότηση πράξεων, το Ευρωπαϊκό Κοινοβούλιο και το Συμβούλιο λαμβάνουν όλα τα έγγραφα ταυτόχρονα με τους εμπειρογνώμονες τ</w:t>
      </w:r>
      <w:r>
        <w:rPr>
          <w:noProof/>
        </w:rPr>
        <w:t>ων κρατών μελών και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r>
        <w:rPr>
          <w:noProof/>
          <w:highlight w:val="yellow"/>
        </w:rPr>
        <w:t xml:space="preserve"> </w:t>
      </w:r>
    </w:p>
    <w:p w:rsidR="00AA2887" w:rsidRDefault="00E93272">
      <w:pPr>
        <w:pStyle w:val="ManualConsidrant"/>
        <w:rPr>
          <w:noProof/>
        </w:rPr>
      </w:pPr>
      <w:r>
        <w:t>(20)</w:t>
      </w:r>
      <w:r>
        <w:tab/>
      </w:r>
      <w:r>
        <w:rPr>
          <w:noProof/>
        </w:rPr>
        <w:t>Ως εκ τούτου, ο κανονισμός (ΕΕ) 2016/1011 θα πρέπει να τροποποιηθεί αναλόγως,</w:t>
      </w:r>
    </w:p>
    <w:p w:rsidR="00AA2887" w:rsidRDefault="00E93272">
      <w:pPr>
        <w:pStyle w:val="Formuledadoption"/>
        <w:rPr>
          <w:noProof/>
        </w:rPr>
      </w:pPr>
      <w:r>
        <w:rPr>
          <w:noProof/>
        </w:rPr>
        <w:t>ΕΞΕΔΩΣΑΝ ΤΟΝ ΠΑΡΟΝΤΑ ΚΑΝΟΝΙΣΜΟ:</w:t>
      </w:r>
    </w:p>
    <w:p w:rsidR="00AA2887" w:rsidRDefault="00E93272">
      <w:pPr>
        <w:pStyle w:val="Titrearticle"/>
        <w:rPr>
          <w:noProof/>
        </w:rPr>
      </w:pPr>
      <w:r>
        <w:rPr>
          <w:noProof/>
        </w:rPr>
        <w:t>Άρθρο 1</w:t>
      </w:r>
    </w:p>
    <w:p w:rsidR="00AA2887" w:rsidRDefault="00E93272">
      <w:pPr>
        <w:pStyle w:val="Titrearticle"/>
        <w:spacing w:before="120"/>
        <w:rPr>
          <w:noProof/>
          <w:szCs w:val="24"/>
        </w:rPr>
      </w:pPr>
      <w:r>
        <w:rPr>
          <w:b/>
          <w:i w:val="0"/>
          <w:noProof/>
        </w:rPr>
        <w:t>Τροποποιήσεις του κανονισμού (ΕΕ) 2016/1011</w:t>
      </w:r>
    </w:p>
    <w:p w:rsidR="00AA2887" w:rsidRDefault="00E93272">
      <w:pPr>
        <w:rPr>
          <w:noProof/>
        </w:rPr>
      </w:pPr>
      <w:r>
        <w:rPr>
          <w:noProof/>
        </w:rPr>
        <w:t>Ο κανονισμός (ΕΕ) 2016/1011 τροποποιείται ως εξής:</w:t>
      </w:r>
    </w:p>
    <w:p w:rsidR="00AA2887" w:rsidRDefault="00E93272">
      <w:pPr>
        <w:pStyle w:val="ManualNumPar1"/>
        <w:rPr>
          <w:noProof/>
        </w:rPr>
      </w:pPr>
      <w:r>
        <w:t>1.</w:t>
      </w:r>
      <w:r>
        <w:tab/>
      </w:r>
      <w:r>
        <w:rPr>
          <w:rStyle w:val="None"/>
          <w:noProof/>
        </w:rPr>
        <w:t>στο άρθρο 3 παράγραφος 1, παρεμβάλλονται τα ακόλουθα σημεία 23α και 23β:</w:t>
      </w:r>
    </w:p>
    <w:p w:rsidR="00AA2887" w:rsidRDefault="00E93272">
      <w:pPr>
        <w:pStyle w:val="Text1"/>
        <w:rPr>
          <w:noProof/>
        </w:rPr>
      </w:pPr>
      <w:r>
        <w:rPr>
          <w:noProof/>
        </w:rPr>
        <w:t>«23α) “δείκτης αναφοράς χαμηλών ανθρακούχων ε</w:t>
      </w:r>
      <w:r>
        <w:rPr>
          <w:noProof/>
        </w:rPr>
        <w:t>κπομπών”: δείκτης αναφοράς τα υποκείμενα στοιχεία ενεργητικού του οποίου, για τους σκοπούς του σημείου 1 στοιχείο β) περίπτωση ii) της παρούσας παραγράφου, επιλέγονται έτσι ώστε το χαρτοφυλάκιο δείκτη αναφοράς που προκύπτει να έχει λιγότερες ανθρακούχες εκ</w:t>
      </w:r>
      <w:r>
        <w:rPr>
          <w:noProof/>
        </w:rPr>
        <w:t>πομπές σε σύγκριση με τα στοιχεία ενεργητικού που συνθέτουν έναν τυποποιημένο δείκτη αναφοράς κεφαλαιακής στάθμισης, ο δε δείκτης αναφοράς είναι διαρθρωμένος σύμφωνα με τα πρότυπα που ορίζονται στις κατ’ εξουσιοδότηση πράξεις του άρθρου 19α παράγραφος 2·</w:t>
      </w:r>
    </w:p>
    <w:p w:rsidR="00AA2887" w:rsidRDefault="00E93272">
      <w:pPr>
        <w:pStyle w:val="Text1"/>
        <w:rPr>
          <w:noProof/>
        </w:rPr>
      </w:pPr>
      <w:r>
        <w:rPr>
          <w:noProof/>
        </w:rPr>
        <w:t>2</w:t>
      </w:r>
      <w:r>
        <w:rPr>
          <w:noProof/>
        </w:rPr>
        <w:t xml:space="preserve">3β) “δείκτης αναφοράς θετικού αντικτύπου άνθρακα”: δείκτης αναφοράς τα υποκείμενα στοιχεία ενεργητικού του οποίου, για τους σκοπούς του σημείου 1 στοιχείο β) σημείο ii) της παρούσας παραγράφου, επιλέγονται βάσει του ότι η εξοικονόμηση ανθρακούχων εκπομπών </w:t>
      </w:r>
      <w:r>
        <w:rPr>
          <w:noProof/>
        </w:rPr>
        <w:t>υπερβαίνει το αποτύπωμα άνθρακα του στοιχείου ενεργητικού, ο δε δείκτης αναφοράς είναι διαρθρωμένος σύμφωνα με τα πρότυπα που ορίζονται στις κατ’ εξουσιοδότηση πράξεις του άρθρου 19α παράγραφος 2.»·</w:t>
      </w:r>
    </w:p>
    <w:p w:rsidR="00AA2887" w:rsidRDefault="00E93272">
      <w:pPr>
        <w:pStyle w:val="ManualNumPar1"/>
        <w:rPr>
          <w:noProof/>
        </w:rPr>
      </w:pPr>
      <w:r>
        <w:t>2.</w:t>
      </w:r>
      <w:r>
        <w:tab/>
      </w:r>
      <w:r>
        <w:rPr>
          <w:noProof/>
        </w:rPr>
        <w:t>το άρθρο 13 τροποποιείται ως εξής:</w:t>
      </w:r>
    </w:p>
    <w:p w:rsidR="00AA2887" w:rsidRDefault="00E93272">
      <w:pPr>
        <w:pStyle w:val="Text1"/>
        <w:rPr>
          <w:noProof/>
        </w:rPr>
      </w:pPr>
      <w:r>
        <w:rPr>
          <w:noProof/>
        </w:rPr>
        <w:t>α)</w:t>
      </w:r>
      <w:r>
        <w:rPr>
          <w:noProof/>
        </w:rPr>
        <w:tab/>
        <w:t>στην παράγραφο 1</w:t>
      </w:r>
      <w:r>
        <w:rPr>
          <w:noProof/>
        </w:rPr>
        <w:t xml:space="preserve"> προστίθεται το ακόλουθο στοιχείο δ):</w:t>
      </w:r>
    </w:p>
    <w:p w:rsidR="00AA2887" w:rsidRDefault="00E93272">
      <w:pPr>
        <w:pStyle w:val="Text2"/>
        <w:rPr>
          <w:noProof/>
        </w:rPr>
      </w:pPr>
      <w:r>
        <w:rPr>
          <w:noProof/>
        </w:rPr>
        <w:t>«δ) εξήγηση του τρόπου με τον οποίο τα βασικά στοιχεία της μεθοδολογίας που ορίζονται στο στοιχείο α) αντικατοπτρίζουν περιβαλλοντικούς, κοινωνικούς και σχετικούς με τη διακυβέρνηση (“ΠΚΔ”) παράγοντες για κάθε δείκτη α</w:t>
      </w:r>
      <w:r>
        <w:rPr>
          <w:noProof/>
        </w:rPr>
        <w:t>ναφοράς ή οικογένεια δεικτών αναφοράς που λαμβάνει υπόψη ή επιδιώκει την επίτευξη στόχων ΠΚΔ·»·</w:t>
      </w:r>
    </w:p>
    <w:p w:rsidR="00AA2887" w:rsidRDefault="00E93272">
      <w:pPr>
        <w:pStyle w:val="Text1"/>
        <w:rPr>
          <w:noProof/>
        </w:rPr>
      </w:pPr>
      <w:r>
        <w:rPr>
          <w:noProof/>
        </w:rPr>
        <w:t>β)</w:t>
      </w:r>
      <w:r>
        <w:rPr>
          <w:noProof/>
        </w:rPr>
        <w:tab/>
        <w:t>παρεμβάλλεται η ακόλουθη παράγραφος 2α:</w:t>
      </w:r>
    </w:p>
    <w:p w:rsidR="00AA2887" w:rsidRDefault="00E93272">
      <w:pPr>
        <w:pStyle w:val="Text2"/>
        <w:rPr>
          <w:noProof/>
          <w:szCs w:val="24"/>
        </w:rPr>
      </w:pPr>
      <w:r>
        <w:rPr>
          <w:noProof/>
        </w:rPr>
        <w:t>«2α.</w:t>
      </w:r>
      <w:r>
        <w:rPr>
          <w:noProof/>
        </w:rPr>
        <w:tab/>
        <w:t>Ανατίθεται στην Επιτροπή η εξουσία έκδοσης κατ’ εξουσιοδότηση πράξεων σύμφωνα με το άρθρο 49 για τον περαιτέρω κ</w:t>
      </w:r>
      <w:r>
        <w:rPr>
          <w:noProof/>
        </w:rPr>
        <w:t>αθορισμό του ελάχιστου περιεχομένου της εξήγησης που αναφέρεται στην παράγραφο 1 στοιχείο δ).»·</w:t>
      </w:r>
    </w:p>
    <w:p w:rsidR="00AA2887" w:rsidRDefault="00E93272">
      <w:pPr>
        <w:pStyle w:val="ManualNumPar1"/>
        <w:rPr>
          <w:noProof/>
        </w:rPr>
      </w:pPr>
      <w:r>
        <w:t>3.</w:t>
      </w:r>
      <w:r>
        <w:tab/>
      </w:r>
      <w:r>
        <w:rPr>
          <w:noProof/>
        </w:rPr>
        <w:t>στον τίτλο ΙΙΙ παρεμβάλλεται το κεφάλαιο 3α:</w:t>
      </w:r>
    </w:p>
    <w:p w:rsidR="00AA2887" w:rsidRDefault="00E93272">
      <w:pPr>
        <w:pStyle w:val="NormalCentered"/>
        <w:rPr>
          <w:noProof/>
        </w:rPr>
      </w:pPr>
      <w:r>
        <w:rPr>
          <w:noProof/>
        </w:rPr>
        <w:t>«Κεφάλαιο 3α</w:t>
      </w:r>
    </w:p>
    <w:p w:rsidR="00AA2887" w:rsidRDefault="00E93272">
      <w:pPr>
        <w:pStyle w:val="NormalCentered"/>
        <w:rPr>
          <w:b/>
          <w:noProof/>
        </w:rPr>
      </w:pPr>
      <w:r>
        <w:rPr>
          <w:b/>
          <w:noProof/>
        </w:rPr>
        <w:t>Δείκτες αναφοράς χαμηλών ανθρακούχων εκπομπών και θετικού αντικτύπου άνθρακα</w:t>
      </w:r>
    </w:p>
    <w:p w:rsidR="00AA2887" w:rsidRDefault="00E93272">
      <w:pPr>
        <w:pStyle w:val="NormalCentered"/>
        <w:rPr>
          <w:noProof/>
        </w:rPr>
      </w:pPr>
      <w:r>
        <w:rPr>
          <w:noProof/>
        </w:rPr>
        <w:t>Άρθρο 19α</w:t>
      </w:r>
    </w:p>
    <w:p w:rsidR="00AA2887" w:rsidRDefault="00E93272">
      <w:pPr>
        <w:pStyle w:val="NormalCentered"/>
        <w:rPr>
          <w:b/>
          <w:noProof/>
        </w:rPr>
      </w:pPr>
      <w:r>
        <w:rPr>
          <w:b/>
          <w:noProof/>
        </w:rPr>
        <w:t xml:space="preserve">Δείκτες </w:t>
      </w:r>
      <w:r>
        <w:rPr>
          <w:b/>
          <w:noProof/>
        </w:rPr>
        <w:t>αναφοράς χαμηλών ανθρακούχων εκπομπών και θετικού αντικτύπου άνθρακα</w:t>
      </w:r>
    </w:p>
    <w:p w:rsidR="00AA2887" w:rsidRDefault="00E93272">
      <w:pPr>
        <w:pStyle w:val="Point1number"/>
        <w:numPr>
          <w:ilvl w:val="2"/>
          <w:numId w:val="19"/>
        </w:numPr>
        <w:rPr>
          <w:noProof/>
        </w:rPr>
      </w:pPr>
      <w:r>
        <w:rPr>
          <w:noProof/>
        </w:rPr>
        <w:t>Οι απαιτήσεις που ορίζονται στο παράρτημα ΙΙΙ εφαρμόζονται στην παροχή και τη συμβολή σε δείκτες αναφοράς χαμηλών ανθρακούχων εκπομπών ή θετικού αντικτύπου άνθρακα επιπροσθέτως ή υποκαθισ</w:t>
      </w:r>
      <w:r>
        <w:rPr>
          <w:noProof/>
        </w:rPr>
        <w:t>τώντας τις απαιτήσεις των τίτλων II, III και IV.</w:t>
      </w:r>
    </w:p>
    <w:p w:rsidR="00AA2887" w:rsidRDefault="00E93272">
      <w:pPr>
        <w:pStyle w:val="Point1number"/>
        <w:numPr>
          <w:ilvl w:val="2"/>
          <w:numId w:val="7"/>
        </w:numPr>
        <w:rPr>
          <w:noProof/>
        </w:rPr>
      </w:pPr>
      <w:r>
        <w:rPr>
          <w:noProof/>
        </w:rPr>
        <w:t>Η Επιτροπή εξουσιοδοτείται να εκδίδει κατ’ εξουσιοδότηση πράξεις σύμφωνα με το άρθρο 49 για τον περαιτέρω καθορισμό των ελάχιστων προτύπων για τους δείκτες αναφοράς χαμηλών ανθρακούχων εκπομπών και θετικού α</w:t>
      </w:r>
      <w:r>
        <w:rPr>
          <w:noProof/>
        </w:rPr>
        <w:t>ντικτύπου άνθρακα, δηλαδή μεταξύ άλλων:</w:t>
      </w:r>
    </w:p>
    <w:p w:rsidR="00AA2887" w:rsidRDefault="00E93272">
      <w:pPr>
        <w:pStyle w:val="Point2"/>
        <w:rPr>
          <w:noProof/>
        </w:rPr>
      </w:pPr>
      <w:r>
        <w:rPr>
          <w:noProof/>
        </w:rPr>
        <w:t>α)</w:t>
      </w:r>
      <w:r>
        <w:rPr>
          <w:noProof/>
        </w:rPr>
        <w:tab/>
        <w:t>τα κριτήρια για την επιλογή των υποκείμενων στοιχείων ενεργητικού, συμπεριλαμβανομένων, κατά περίπτωση, των κριτηρίων αποκλεισμού για τα στοιχεία ενεργητικού·</w:t>
      </w:r>
    </w:p>
    <w:p w:rsidR="00AA2887" w:rsidRDefault="00E93272">
      <w:pPr>
        <w:pStyle w:val="Point2"/>
        <w:rPr>
          <w:noProof/>
        </w:rPr>
      </w:pPr>
      <w:r>
        <w:rPr>
          <w:noProof/>
        </w:rPr>
        <w:t>β)</w:t>
      </w:r>
      <w:r>
        <w:rPr>
          <w:noProof/>
        </w:rPr>
        <w:tab/>
        <w:t>τα κριτήρια και την μέθοδο στάθμισης των υποκείμενω</w:t>
      </w:r>
      <w:r>
        <w:rPr>
          <w:noProof/>
        </w:rPr>
        <w:t>ν στοιχείων ενεργητικού στον δείκτη αναφοράς·</w:t>
      </w:r>
    </w:p>
    <w:p w:rsidR="00AA2887" w:rsidRDefault="00E93272">
      <w:pPr>
        <w:pStyle w:val="Point2"/>
        <w:rPr>
          <w:noProof/>
        </w:rPr>
      </w:pPr>
      <w:r>
        <w:rPr>
          <w:noProof/>
        </w:rPr>
        <w:t>γ)</w:t>
      </w:r>
      <w:r>
        <w:rPr>
          <w:noProof/>
        </w:rPr>
        <w:tab/>
        <w:t>τη μέθοδο υπολογισμού των ανθρακούχων εκπομπών και της εξοικονόμησης άνθρακα που συνδέονται με τα υποκείμενα στοιχεία ενεργητικού.»·</w:t>
      </w:r>
    </w:p>
    <w:p w:rsidR="00AA2887" w:rsidRDefault="00E93272">
      <w:pPr>
        <w:pStyle w:val="ManualNumPar1"/>
        <w:rPr>
          <w:noProof/>
        </w:rPr>
      </w:pPr>
      <w:r>
        <w:t>4.</w:t>
      </w:r>
      <w:r>
        <w:tab/>
      </w:r>
      <w:r>
        <w:rPr>
          <w:noProof/>
        </w:rPr>
        <w:t>στο άρθρο 27 παρεμβάλλονται οι ακόλουθες παράγραφοι 2α και 2β:</w:t>
      </w:r>
    </w:p>
    <w:p w:rsidR="00AA2887" w:rsidRDefault="00E93272">
      <w:pPr>
        <w:pStyle w:val="Text1"/>
        <w:rPr>
          <w:noProof/>
        </w:rPr>
      </w:pPr>
      <w:r>
        <w:rPr>
          <w:noProof/>
        </w:rPr>
        <w:t>«2α. Για</w:t>
      </w:r>
      <w:r>
        <w:rPr>
          <w:noProof/>
        </w:rPr>
        <w:t xml:space="preserve"> κάθε απαίτηση της παραγράφου 2, η δήλωση δείκτη αναφοράς επεξηγεί τον τρόπο με τον οποίο αντικατοπτρίζονται οι περιβαλλοντικοί, κοινωνικοί και σχετικοί με τη διακυβέρνηση (ΠΚΔ) παράγοντες σε κάθε παρεχόμενο και δημοσιευόμενο δείκτη αναφοράς, ή οικογένεια </w:t>
      </w:r>
      <w:r>
        <w:rPr>
          <w:noProof/>
        </w:rPr>
        <w:t>δεικτών αναφοράς, που λαμβάνει υπόψη ή επιδιώκει την επίτευξη στόχων ΠΚΔ.</w:t>
      </w:r>
    </w:p>
    <w:p w:rsidR="00AA2887" w:rsidRDefault="00E93272">
      <w:pPr>
        <w:pStyle w:val="Text1"/>
        <w:rPr>
          <w:noProof/>
        </w:rPr>
      </w:pPr>
      <w:r>
        <w:rPr>
          <w:noProof/>
        </w:rPr>
        <w:t>2β.</w:t>
      </w:r>
      <w:r>
        <w:rPr>
          <w:noProof/>
        </w:rPr>
        <w:tab/>
        <w:t>Ανατίθεται στην Επιτροπή η εξουσία έκδοσης κατ’ εξουσιοδότηση πράξεων σύμφωνα με το άρθρο 49 για τον περαιτέρω καθορισμό των πληροφοριών που αναφέρονται στην παράγραφο 2α»·</w:t>
      </w:r>
    </w:p>
    <w:p w:rsidR="00AA2887" w:rsidRDefault="00E93272">
      <w:pPr>
        <w:pStyle w:val="ManualNumPar1"/>
        <w:rPr>
          <w:noProof/>
        </w:rPr>
      </w:pPr>
      <w:r>
        <w:t>5.</w:t>
      </w:r>
      <w:r>
        <w:tab/>
      </w:r>
      <w:r>
        <w:rPr>
          <w:noProof/>
        </w:rPr>
        <w:t>πρ</w:t>
      </w:r>
      <w:r>
        <w:rPr>
          <w:noProof/>
        </w:rPr>
        <w:t>οστίθεται το κείμενο του παραρτήματος του παρόντος κανονισμού.</w:t>
      </w:r>
    </w:p>
    <w:p w:rsidR="00AA2887" w:rsidRDefault="00E93272">
      <w:pPr>
        <w:pStyle w:val="Titrearticle"/>
        <w:rPr>
          <w:noProof/>
        </w:rPr>
      </w:pPr>
      <w:r>
        <w:rPr>
          <w:noProof/>
        </w:rPr>
        <w:t>Άρθρο 2</w:t>
      </w:r>
    </w:p>
    <w:p w:rsidR="00AA2887" w:rsidRDefault="00E93272">
      <w:pPr>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rsidR="00AA2887" w:rsidRDefault="00E93272">
      <w:pPr>
        <w:rPr>
          <w:noProof/>
        </w:rPr>
      </w:pPr>
      <w:r>
        <w:rPr>
          <w:noProof/>
        </w:rPr>
        <w:t>Είναι δεσμευτικός ως προς όλα τα μέρη του και ισχύει άμεσα σε κάθε κρά</w:t>
      </w:r>
      <w:r>
        <w:rPr>
          <w:noProof/>
        </w:rPr>
        <w:t>τος μέλος.</w:t>
      </w:r>
    </w:p>
    <w:p w:rsidR="00AA2887" w:rsidRDefault="00E93272" w:rsidP="00E93272">
      <w:pPr>
        <w:pStyle w:val="Fait"/>
        <w:rPr>
          <w:noProof/>
        </w:rPr>
      </w:pPr>
      <w:r w:rsidRPr="00E93272">
        <w:t>Βρυξέλλες,</w:t>
      </w:r>
    </w:p>
    <w:p w:rsidR="00AA2887" w:rsidRDefault="00E93272">
      <w:pPr>
        <w:pStyle w:val="Institutionquisigne"/>
        <w:rPr>
          <w:noProof/>
        </w:rPr>
      </w:pPr>
      <w:r>
        <w:rPr>
          <w:noProof/>
        </w:rPr>
        <w:t>Για το Ευρωπαϊκό Κοινοβούλιο</w:t>
      </w:r>
      <w:r>
        <w:rPr>
          <w:noProof/>
        </w:rPr>
        <w:tab/>
        <w:t>Για το Συμβούλιο</w:t>
      </w:r>
    </w:p>
    <w:p w:rsidR="00AA2887" w:rsidRDefault="00E93272">
      <w:pPr>
        <w:pStyle w:val="Personnequisigne"/>
        <w:keepNext/>
        <w:rPr>
          <w:noProof/>
        </w:rPr>
      </w:pPr>
      <w:r>
        <w:rPr>
          <w:noProof/>
        </w:rPr>
        <w:t>[Ο Πρόεδρος][Η Πρόεδρος]</w:t>
      </w:r>
      <w:r>
        <w:rPr>
          <w:noProof/>
        </w:rPr>
        <w:tab/>
        <w:t>[Ο Πρόεδρος][Η Πρόεδρος]</w:t>
      </w:r>
    </w:p>
    <w:p w:rsidR="00AA2887" w:rsidRDefault="00AA2887">
      <w:pPr>
        <w:pStyle w:val="Personnequisigne"/>
        <w:rPr>
          <w:i w:val="0"/>
          <w:noProof/>
        </w:rPr>
      </w:pPr>
    </w:p>
    <w:sectPr w:rsidR="00AA2887" w:rsidSect="00E9327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87" w:rsidRDefault="00E93272">
      <w:pPr>
        <w:spacing w:before="0" w:after="0"/>
      </w:pPr>
      <w:r>
        <w:separator/>
      </w:r>
    </w:p>
  </w:endnote>
  <w:endnote w:type="continuationSeparator" w:id="0">
    <w:p w:rsidR="00AA2887" w:rsidRDefault="00E93272">
      <w:pPr>
        <w:spacing w:before="0" w:after="0"/>
      </w:pPr>
      <w:r>
        <w:continuationSeparator/>
      </w:r>
    </w:p>
  </w:endnote>
  <w:endnote w:type="continuationNotice" w:id="1">
    <w:p w:rsidR="00AA2887" w:rsidRDefault="00AA28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7" w:rsidRPr="00E93272" w:rsidRDefault="00E93272" w:rsidP="00E93272">
    <w:pPr>
      <w:pStyle w:val="Footer"/>
      <w:rPr>
        <w:rFonts w:ascii="Arial" w:hAnsi="Arial" w:cs="Arial"/>
        <w:b/>
        <w:sz w:val="48"/>
      </w:rPr>
    </w:pPr>
    <w:r w:rsidRPr="00E93272">
      <w:rPr>
        <w:rFonts w:ascii="Arial" w:hAnsi="Arial" w:cs="Arial"/>
        <w:b/>
        <w:sz w:val="48"/>
      </w:rPr>
      <w:t>EL</w:t>
    </w:r>
    <w:r w:rsidRPr="00E93272">
      <w:rPr>
        <w:rFonts w:ascii="Arial" w:hAnsi="Arial" w:cs="Arial"/>
        <w:b/>
        <w:sz w:val="48"/>
      </w:rPr>
      <w:tab/>
    </w:r>
    <w:r w:rsidRPr="00E93272">
      <w:rPr>
        <w:rFonts w:ascii="Arial" w:hAnsi="Arial" w:cs="Arial"/>
        <w:b/>
        <w:sz w:val="48"/>
      </w:rPr>
      <w:tab/>
    </w:r>
    <w:r w:rsidRPr="00E93272">
      <w:tab/>
    </w:r>
    <w:proofErr w:type="spellStart"/>
    <w:r w:rsidRPr="00E93272">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Footer"/>
      <w:rPr>
        <w:rFonts w:ascii="Arial" w:hAnsi="Arial" w:cs="Arial"/>
        <w:b/>
        <w:sz w:val="48"/>
      </w:rPr>
    </w:pPr>
    <w:r w:rsidRPr="00E93272">
      <w:rPr>
        <w:rFonts w:ascii="Arial" w:hAnsi="Arial" w:cs="Arial"/>
        <w:b/>
        <w:sz w:val="48"/>
      </w:rPr>
      <w:t>EL</w:t>
    </w:r>
    <w:r w:rsidRPr="00E93272">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rsidRPr="00E93272">
      <w:tab/>
    </w:r>
    <w:r w:rsidRPr="00E93272">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87" w:rsidRDefault="00E93272">
      <w:pPr>
        <w:spacing w:before="0" w:after="0"/>
      </w:pPr>
      <w:r>
        <w:separator/>
      </w:r>
    </w:p>
  </w:footnote>
  <w:footnote w:type="continuationSeparator" w:id="0">
    <w:p w:rsidR="00AA2887" w:rsidRDefault="00E93272">
      <w:pPr>
        <w:spacing w:before="0" w:after="0"/>
      </w:pPr>
      <w:r>
        <w:continuationSeparator/>
      </w:r>
    </w:p>
  </w:footnote>
  <w:footnote w:type="continuationNotice" w:id="1">
    <w:p w:rsidR="00AA2887" w:rsidRDefault="00AA2887">
      <w:pPr>
        <w:spacing w:before="0" w:after="0"/>
      </w:pPr>
    </w:p>
  </w:footnote>
  <w:footnote w:id="2">
    <w:p w:rsidR="00AA2887" w:rsidRDefault="00E93272">
      <w:pPr>
        <w:pStyle w:val="FootnoteText"/>
      </w:pPr>
      <w:r>
        <w:rPr>
          <w:rStyle w:val="FootnoteReference"/>
        </w:rPr>
        <w:footnoteRef/>
      </w:r>
      <w:r>
        <w:tab/>
        <w:t xml:space="preserve">Οι 17 ΣΒΑ προβλέπουν ποιοτικούς και ποσοτικούς στόχους για την επόμενη 15ετία ώστε να προετοιμαστούμε για το μέλλον και να </w:t>
      </w:r>
      <w:r>
        <w:t>εργαστούμε για την ανθρώπινη αξιοπρέπεια, τη σταθερότητα, την υγεία του πλανήτη, δίκαιες και ανθεκτικές κοινωνίες και ευημερούσες οικονομίες.</w:t>
      </w:r>
    </w:p>
  </w:footnote>
  <w:footnote w:id="3">
    <w:p w:rsidR="00AA2887" w:rsidRDefault="00E93272">
      <w:pPr>
        <w:pStyle w:val="FootnoteText"/>
      </w:pPr>
      <w:r>
        <w:rPr>
          <w:rStyle w:val="FootnoteReference"/>
        </w:rPr>
        <w:footnoteRef/>
      </w:r>
      <w:r>
        <w:tab/>
      </w:r>
      <w:r>
        <w:t>Νέο ξεκίνημα για την Ευρώπη: Το πρόγραμμά μου για απασχόληση, ανάπτυξη, δικαιοσύνη και δημοκρατική αλλαγή - Πολι</w:t>
      </w:r>
      <w:r>
        <w:t xml:space="preserve">τικές κατευθύνσεις για την επόμενη Ευρωπαϊκή Επιτροπή, Στρασβούργο, 15 Ιουλίου 2014, διατίθεται στην ακόλουθη διεύθυνση: </w:t>
      </w:r>
      <w:hyperlink r:id="rId1">
        <w:r>
          <w:rPr>
            <w:rStyle w:val="Hyperlink"/>
          </w:rPr>
          <w:t>https://ec.eur</w:t>
        </w:r>
        <w:r>
          <w:rPr>
            <w:rStyle w:val="Hyperlink"/>
          </w:rPr>
          <w:t>opa.eu/commission/sites/beta-political/files/juncker-political-guidelines-speech_el.pdf</w:t>
        </w:r>
      </w:hyperlink>
      <w:r>
        <w:t xml:space="preserve"> </w:t>
      </w:r>
    </w:p>
  </w:footnote>
  <w:footnote w:id="4">
    <w:p w:rsidR="00AA2887" w:rsidRDefault="00E93272">
      <w:pPr>
        <w:pStyle w:val="FootnoteText"/>
      </w:pPr>
      <w:r>
        <w:rPr>
          <w:rStyle w:val="FootnoteReference"/>
        </w:rPr>
        <w:footnoteRef/>
      </w:r>
      <w:r>
        <w:tab/>
      </w:r>
      <w:r>
        <w:t>Ανακοίνωση της Επιτροπής προς το Ευρωπαϊκό Κοινοβούλιο, το Συμβούλιο, την Ευρωπαϊκή Οικονομική και Κοινωνική Επιτροπή, την Επιτροπή των Περιφερειών και την Ευρωπαϊκή</w:t>
      </w:r>
      <w:r>
        <w:t xml:space="preserve"> Τράπεζα Επενδύσεων: Ένα επενδυτικό σχέδιο για την Ευρώπη (COM(2014) 0903 </w:t>
      </w:r>
      <w:proofErr w:type="spellStart"/>
      <w:r>
        <w:t>final</w:t>
      </w:r>
      <w:proofErr w:type="spellEnd"/>
      <w:r>
        <w:t>).</w:t>
      </w:r>
    </w:p>
  </w:footnote>
  <w:footnote w:id="5">
    <w:p w:rsidR="00AA2887" w:rsidRDefault="00E93272">
      <w:pPr>
        <w:pStyle w:val="FootnoteText"/>
      </w:pPr>
      <w:r>
        <w:rPr>
          <w:rStyle w:val="FootnoteReference"/>
        </w:rPr>
        <w:footnoteRef/>
      </w:r>
      <w:r>
        <w:tab/>
      </w:r>
      <w:r>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Το κλείσιμο του κύκλ</w:t>
      </w:r>
      <w:r>
        <w:t xml:space="preserve">ου - Ένα σχέδιο δράσης για την κυκλική οικονομία COM(2015) 614 </w:t>
      </w:r>
      <w:proofErr w:type="spellStart"/>
      <w:r>
        <w:t>final</w:t>
      </w:r>
      <w:proofErr w:type="spellEnd"/>
      <w:r>
        <w:t>.</w:t>
      </w:r>
    </w:p>
  </w:footnote>
  <w:footnote w:id="6">
    <w:p w:rsidR="00AA2887" w:rsidRDefault="00E93272">
      <w:pPr>
        <w:pStyle w:val="FootnoteText"/>
      </w:pPr>
      <w:r>
        <w:rPr>
          <w:rStyle w:val="FootnoteReference"/>
        </w:rPr>
        <w:footnoteRef/>
      </w:r>
      <w:r>
        <w:tab/>
      </w:r>
      <w:r>
        <w:t>Ανακοίνωση της Επιτροπής προς το Ευρωπαϊκό Κοινοβούλιο, το Συμβούλιο, την Ευρωπαϊκή Οικονομική και Κοινωνική Επιτροπή, την Επιτροπή των Περιφερειών και την Ευρωπαϊκή Τράπεζα Επενδύσεων</w:t>
      </w:r>
      <w:r>
        <w:t xml:space="preserve">: Στρατηγική πλαίσιο για μια ανθεκτική Ενεργειακή Ένωση με μακρόπνοη πολιτική για την κλιματική αλλαγή COM(2015) 80 </w:t>
      </w:r>
      <w:proofErr w:type="spellStart"/>
      <w:r>
        <w:t>final</w:t>
      </w:r>
      <w:proofErr w:type="spellEnd"/>
      <w:r>
        <w:t>.</w:t>
      </w:r>
    </w:p>
  </w:footnote>
  <w:footnote w:id="7">
    <w:p w:rsidR="00AA2887" w:rsidRDefault="00E93272">
      <w:pPr>
        <w:pStyle w:val="FootnoteText"/>
      </w:pPr>
      <w:r>
        <w:rPr>
          <w:rStyle w:val="FootnoteReference"/>
        </w:rPr>
        <w:footnoteRef/>
      </w:r>
      <w:r>
        <w:tab/>
      </w:r>
      <w:r>
        <w:t>Ares(2018)975361</w:t>
      </w:r>
    </w:p>
  </w:footnote>
  <w:footnote w:id="8">
    <w:p w:rsidR="00AA2887" w:rsidRDefault="00E93272">
      <w:pPr>
        <w:pStyle w:val="FootnoteText"/>
      </w:pPr>
      <w:r>
        <w:rPr>
          <w:rStyle w:val="FootnoteReference"/>
        </w:rPr>
        <w:footnoteRef/>
      </w:r>
      <w:r>
        <w:tab/>
      </w:r>
      <w:r>
        <w:t>Ανακοίνωση της Επιτροπής προς το Ευρωπαϊκό Κοινοβούλιο, το Συμβούλιο, την Ευρωπαϊκή Οικονομική και Κοινωνική Επι</w:t>
      </w:r>
      <w:r>
        <w:t xml:space="preserve">τροπή και την Επιτροπή των Περιφερειών: Σχέδιο Δράσης για την Οικοδόμηση Ένωσης Κεφαλαιαγορών (COM(2015)468 </w:t>
      </w:r>
      <w:proofErr w:type="spellStart"/>
      <w:r>
        <w:t>final</w:t>
      </w:r>
      <w:proofErr w:type="spellEnd"/>
      <w:r>
        <w:t>).</w:t>
      </w:r>
    </w:p>
  </w:footnote>
  <w:footnote w:id="9">
    <w:p w:rsidR="00AA2887" w:rsidRDefault="00E93272">
      <w:pPr>
        <w:pStyle w:val="FootnoteText"/>
      </w:pPr>
      <w:r>
        <w:rPr>
          <w:rStyle w:val="FootnoteReference"/>
        </w:rPr>
        <w:footnoteRef/>
      </w:r>
      <w:r>
        <w:tab/>
      </w:r>
      <w:r>
        <w:t>Η εκτίμηση αυτή αφορά το μέσο ετήσιο έλλειμμα επενδύσεων για την περίοδο από το 2021 έως το 2030, με βάση τις προβλέψεις του μοντέλου PRIM</w:t>
      </w:r>
      <w:r>
        <w:t xml:space="preserve">ES που χρησιμοποιήθηκε από την Ευρωπαϊκή Επιτροπή στην εκτίμηση επιπτώσεων της πρότασης οδηγίας για την ενεργειακή απόδοση (2016), </w:t>
      </w:r>
      <w:hyperlink r:id="rId2">
        <w:r>
          <w:rPr>
            <w:rStyle w:val="Hyperlink"/>
          </w:rPr>
          <w:t>http://eur-lex.euro</w:t>
        </w:r>
        <w:r>
          <w:rPr>
            <w:rStyle w:val="Hyperlink"/>
          </w:rPr>
          <w:t>pa.eu/legal-content/EN/TXT/?qid=1483696687107&amp;uri=CELEX:52016SC0405</w:t>
        </w:r>
      </w:hyperlink>
      <w:r>
        <w:t>.</w:t>
      </w:r>
    </w:p>
  </w:footnote>
  <w:footnote w:id="10">
    <w:p w:rsidR="00AA2887" w:rsidRDefault="00E93272">
      <w:pPr>
        <w:pStyle w:val="FootnoteText"/>
      </w:pPr>
      <w:r>
        <w:rPr>
          <w:rStyle w:val="FootnoteReference"/>
        </w:rPr>
        <w:footnoteRef/>
      </w:r>
      <w:r>
        <w:tab/>
      </w:r>
      <w:r>
        <w:t>Τελική έκθεση της ομάδας εμπειρογνωμόνων υψηλού επιπέδου του 2018 για τη βιώσιμη χρηματοδότηση: «</w:t>
      </w:r>
      <w:proofErr w:type="spellStart"/>
      <w:r>
        <w:t>Financing</w:t>
      </w:r>
      <w:proofErr w:type="spellEnd"/>
      <w:r>
        <w:t xml:space="preserve"> A </w:t>
      </w:r>
      <w:proofErr w:type="spellStart"/>
      <w:r>
        <w:t>Sustainable</w:t>
      </w:r>
      <w:proofErr w:type="spellEnd"/>
      <w:r>
        <w:t xml:space="preserve"> European </w:t>
      </w:r>
      <w:proofErr w:type="spellStart"/>
      <w:r>
        <w:t>Economy</w:t>
      </w:r>
      <w:proofErr w:type="spellEnd"/>
      <w:r>
        <w:t>».</w:t>
      </w:r>
    </w:p>
  </w:footnote>
  <w:footnote w:id="11">
    <w:p w:rsidR="00AA2887" w:rsidRDefault="00E93272">
      <w:pPr>
        <w:pStyle w:val="FootnoteText"/>
      </w:pPr>
      <w:r>
        <w:rPr>
          <w:rStyle w:val="FootnoteReference"/>
        </w:rPr>
        <w:footnoteRef/>
      </w:r>
      <w:r>
        <w:tab/>
      </w:r>
      <w:r>
        <w:t xml:space="preserve">Ανακοίνωση της Επιτροπής προς το Ευρωπαϊκό </w:t>
      </w:r>
      <w:r>
        <w:t xml:space="preserve">Κοινοβούλιο, το Συμβούλιο, την Ευρωπαϊκή Οικονομική και Κοινωνική Επιτροπή και την Επιτροπή των Περιφερειών: Σχέδιο Δράσης: Χρηματοδότηση της αειφόρου ανάπτυξης (COM(2018)097 </w:t>
      </w:r>
      <w:proofErr w:type="spellStart"/>
      <w:r>
        <w:t>final</w:t>
      </w:r>
      <w:proofErr w:type="spellEnd"/>
      <w:r>
        <w:t>).</w:t>
      </w:r>
    </w:p>
  </w:footnote>
  <w:footnote w:id="12">
    <w:p w:rsidR="00AA2887" w:rsidRDefault="00E93272">
      <w:pPr>
        <w:pStyle w:val="FootnoteText"/>
      </w:pPr>
      <w:r>
        <w:rPr>
          <w:rStyle w:val="FootnoteReference"/>
        </w:rPr>
        <w:footnoteRef/>
      </w:r>
      <w:r>
        <w:tab/>
      </w:r>
      <w:r>
        <w:t>Πρόταση κανονισμού του Ευρωπαϊκού Κοινοβουλίου και του Συμβουλίου για τ</w:t>
      </w:r>
      <w:r>
        <w:t xml:space="preserve">ην τροποποίηση των κανονισμών (ΕΕ) αριθ. 1093/2010, 1094/2010, 1095/2010, 345/2013, 346/2013, 600/2014, 2015/760, 2016/1011, 2017/1129 (COM(2017) 536 </w:t>
      </w:r>
      <w:proofErr w:type="spellStart"/>
      <w:r>
        <w:t>final</w:t>
      </w:r>
      <w:proofErr w:type="spellEnd"/>
      <w:r>
        <w:t>).</w:t>
      </w:r>
    </w:p>
  </w:footnote>
  <w:footnote w:id="13">
    <w:p w:rsidR="00AA2887" w:rsidRDefault="00E93272">
      <w:pPr>
        <w:pStyle w:val="FootnoteText"/>
      </w:pPr>
      <w:r>
        <w:rPr>
          <w:rStyle w:val="FootnoteReference"/>
        </w:rPr>
        <w:footnoteRef/>
      </w:r>
      <w:r>
        <w:tab/>
      </w:r>
      <w:r>
        <w:t>Κανονισμός (ΕΕ) αριθ. 1093/2010 του Ευρωπαϊκού Κοινοβουλίου και του Συμβουλίου, της 24ης Νοεμβρί</w:t>
      </w:r>
      <w:r>
        <w:t>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(ΕΕ L 331 της 15.12.2010, σ. 12).</w:t>
      </w:r>
    </w:p>
  </w:footnote>
  <w:footnote w:id="14">
    <w:p w:rsidR="00AA2887" w:rsidRDefault="00E93272">
      <w:pPr>
        <w:pStyle w:val="FootnoteText"/>
      </w:pPr>
      <w:r>
        <w:rPr>
          <w:rStyle w:val="FootnoteReference"/>
        </w:rPr>
        <w:footnoteRef/>
      </w:r>
      <w:r>
        <w:tab/>
      </w:r>
      <w:r>
        <w:t xml:space="preserve">Κανονισμός (ΕΕ) αριθ. 1094/2010 </w:t>
      </w:r>
      <w:r>
        <w:t>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 την τροποποίηση της απόφασης αριθ. 716/2009/ΕΚ και την κατάργηση της απόφασης 2009/</w:t>
      </w:r>
      <w:r>
        <w:t>79/ΕΚ της Επιτροπής (ΕΕ L 331 της 15.12.2010, σ. 48).</w:t>
      </w:r>
    </w:p>
  </w:footnote>
  <w:footnote w:id="15">
    <w:p w:rsidR="00AA2887" w:rsidRDefault="00E93272">
      <w:pPr>
        <w:pStyle w:val="FootnoteText"/>
      </w:pPr>
      <w:r>
        <w:rPr>
          <w:rStyle w:val="FootnoteReference"/>
        </w:rPr>
        <w:footnoteRef/>
      </w:r>
      <w:r>
        <w:tab/>
      </w:r>
      <w:r>
        <w:t>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w:t>
      </w:r>
      <w:r>
        <w:t xml:space="preserve"> τροποποίηση της απόφασης αριθ. 716/2009/ΕΚ και την κατάργηση της απόφασης 2009/77/ΕΚ (ΕΕ L 331 της 15.12.2010, σ. 84).</w:t>
      </w:r>
    </w:p>
  </w:footnote>
  <w:footnote w:id="16">
    <w:p w:rsidR="00AA2887" w:rsidRDefault="00E93272">
      <w:pPr>
        <w:pStyle w:val="FootnoteText"/>
      </w:pPr>
      <w:r>
        <w:rPr>
          <w:rStyle w:val="FootnoteReference"/>
        </w:rPr>
        <w:footnoteRef/>
      </w:r>
      <w:r>
        <w:tab/>
      </w:r>
      <w:r>
        <w:t>Πρόταση της Επιτροπής για κανονισμό του Ευρωπαϊκού Κοινοβουλίου και του Συμβουλίου σχετικά με τη θέσπιση πανευρωπαϊκού ατομικού συνταξ</w:t>
      </w:r>
      <w:r>
        <w:t xml:space="preserve">ιοδοτικού προϊόντος (PEPP) [COM(2017) 343 </w:t>
      </w:r>
      <w:proofErr w:type="spellStart"/>
      <w:r>
        <w:t>final</w:t>
      </w:r>
      <w:proofErr w:type="spellEnd"/>
      <w:r>
        <w:t>].</w:t>
      </w:r>
    </w:p>
  </w:footnote>
  <w:footnote w:id="17">
    <w:p w:rsidR="00AA2887" w:rsidRDefault="00E93272">
      <w:pPr>
        <w:pStyle w:val="FootnoteText"/>
      </w:pPr>
      <w:r>
        <w:rPr>
          <w:rStyle w:val="FootnoteReference"/>
        </w:rPr>
        <w:footnoteRef/>
      </w:r>
      <w:r>
        <w:tab/>
      </w:r>
      <w:r>
        <w:t>Οι συγκεκριμένοι δείκτες συνήθως διαμορφώνονται παίρνοντας έναν τυποποιημένο δείκτη αναφοράς, όπως ο S&amp;P 500 ή ο NASDAQ 100, και αφαιρώντας ή υποβαθμίζοντας εταιρείες με σχετικά υψηλά αποτυπώματα άνθρακα.</w:t>
      </w:r>
      <w:r>
        <w:t xml:space="preserve"> Για περισσότερες πληροφορίες, βλ. παράρτημα 9 της εκτίμησης επιπτώσεων [σύνδεσμος].</w:t>
      </w:r>
    </w:p>
  </w:footnote>
  <w:footnote w:id="18">
    <w:p w:rsidR="00AA2887" w:rsidRDefault="00E93272">
      <w:pPr>
        <w:pStyle w:val="FootnoteText"/>
      </w:pPr>
      <w:r>
        <w:rPr>
          <w:rStyle w:val="FootnoteReference"/>
        </w:rPr>
        <w:footnoteRef/>
      </w:r>
      <w:r>
        <w:tab/>
      </w:r>
      <w:r>
        <w:t xml:space="preserve">Οι δείκτες αυτοί συνήθως επιλέγουν εταιρείες από το </w:t>
      </w:r>
      <w:proofErr w:type="spellStart"/>
      <w:r>
        <w:t>επενδύσιμο</w:t>
      </w:r>
      <w:proofErr w:type="spellEnd"/>
      <w:r>
        <w:t xml:space="preserve"> σύμπαν οι οποίες συμβάλλουν σημαντικά στη μείωση των αποτυπωμάτων άνθρακα βάσει αναλογιών όπως η αναλογία </w:t>
      </w:r>
      <w:r>
        <w:t xml:space="preserve">αντίκτυπου στις εκπομπές άνθρακα (CIR). Για λεπτομερή εξήγηση, βλ. παράρτημα 9 της εκτίμησης επιπτώσεων [σύνδεσμος]. </w:t>
      </w:r>
    </w:p>
  </w:footnote>
  <w:footnote w:id="19">
    <w:p w:rsidR="00AA2887" w:rsidRDefault="00E93272">
      <w:pPr>
        <w:pStyle w:val="FootnoteText"/>
      </w:pPr>
      <w:r>
        <w:rPr>
          <w:rStyle w:val="FootnoteReference"/>
        </w:rPr>
        <w:footnoteRef/>
      </w:r>
      <w:r>
        <w:tab/>
      </w:r>
      <w:r>
        <w:t>Για επεξήγηση, βλ. παράρτημα 9 της εκτίμησης επιπτώσεων [σύνδεσμος].</w:t>
      </w:r>
    </w:p>
  </w:footnote>
  <w:footnote w:id="20">
    <w:p w:rsidR="00AA2887" w:rsidRDefault="00E93272">
      <w:pPr>
        <w:pStyle w:val="FootnoteText"/>
      </w:pPr>
      <w:r>
        <w:rPr>
          <w:rStyle w:val="FootnoteReference"/>
        </w:rPr>
        <w:footnoteRef/>
      </w:r>
      <w:r>
        <w:tab/>
      </w:r>
      <w:r>
        <w:t>Σύσταση 179/2013 που εγκρίθηκε από το σώμα των επιτρόπων στις 9 Α</w:t>
      </w:r>
      <w:r>
        <w:t>πριλίου 2013 και δημοσιεύτηκε στην Επίσημη Εφημερίδα στις 4 Μαΐου 2013.</w:t>
      </w:r>
    </w:p>
  </w:footnote>
  <w:footnote w:id="21">
    <w:p w:rsidR="00AA2887" w:rsidRDefault="00E93272">
      <w:pPr>
        <w:pStyle w:val="FootnoteText"/>
      </w:pPr>
      <w:r>
        <w:rPr>
          <w:rStyle w:val="FootnoteReference"/>
        </w:rPr>
        <w:footnoteRef/>
      </w:r>
      <w:r>
        <w:tab/>
      </w:r>
      <w:r>
        <w:t>ΣΥΝΔΕΣΜΟΣ σε άλλα κείμενα από τη δέσμη του Μαΐου</w:t>
      </w:r>
    </w:p>
  </w:footnote>
  <w:footnote w:id="22">
    <w:p w:rsidR="00AA2887" w:rsidRDefault="00E93272">
      <w:pPr>
        <w:pStyle w:val="FootnoteText"/>
      </w:pPr>
      <w:r>
        <w:rPr>
          <w:rStyle w:val="FootnoteReference"/>
        </w:rPr>
        <w:footnoteRef/>
      </w:r>
      <w:r>
        <w:tab/>
      </w:r>
      <w:r>
        <w:t>EE C […] της […], σ. […].</w:t>
      </w:r>
    </w:p>
  </w:footnote>
  <w:footnote w:id="23">
    <w:p w:rsidR="00AA2887" w:rsidRDefault="00E93272">
      <w:pPr>
        <w:pStyle w:val="FootnoteText"/>
      </w:pPr>
      <w:r>
        <w:rPr>
          <w:rStyle w:val="FootnoteReference"/>
        </w:rPr>
        <w:footnoteRef/>
      </w:r>
      <w:r>
        <w:tab/>
      </w:r>
      <w:r>
        <w:t>ΕΕ C της , σ. .</w:t>
      </w:r>
    </w:p>
  </w:footnote>
  <w:footnote w:id="24">
    <w:p w:rsidR="00AA2887" w:rsidRDefault="00E93272">
      <w:pPr>
        <w:pStyle w:val="FootnoteText"/>
        <w:rPr>
          <w:lang w:val="en-GB"/>
        </w:rPr>
      </w:pPr>
      <w:r>
        <w:rPr>
          <w:rStyle w:val="FootnoteReference"/>
        </w:rPr>
        <w:footnoteRef/>
      </w:r>
      <w:r>
        <w:rPr>
          <w:lang w:val="en-GB"/>
        </w:rPr>
        <w:tab/>
      </w:r>
      <w:proofErr w:type="gramStart"/>
      <w:r>
        <w:rPr>
          <w:i/>
          <w:lang w:val="en-GB"/>
        </w:rPr>
        <w:t>Transforming our World: The 2030 Agenda for Sustainable Development (</w:t>
      </w:r>
      <w:r>
        <w:rPr>
          <w:lang w:val="en-GB"/>
        </w:rPr>
        <w:t>UN 2015).</w:t>
      </w:r>
      <w:proofErr w:type="gramEnd"/>
    </w:p>
  </w:footnote>
  <w:footnote w:id="25">
    <w:p w:rsidR="00AA2887" w:rsidRDefault="00E93272">
      <w:pPr>
        <w:pStyle w:val="FootnoteText"/>
        <w:rPr>
          <w:lang w:val="pt-PT"/>
        </w:rPr>
      </w:pPr>
      <w:r>
        <w:rPr>
          <w:rStyle w:val="FootnoteReference"/>
        </w:rPr>
        <w:footnoteRef/>
      </w:r>
      <w:r>
        <w:rPr>
          <w:lang w:val="pt-PT"/>
        </w:rPr>
        <w:tab/>
      </w:r>
      <w:proofErr w:type="gramStart"/>
      <w:r>
        <w:rPr>
          <w:lang w:val="pt-PT"/>
        </w:rPr>
        <w:t>COM(2016</w:t>
      </w:r>
      <w:proofErr w:type="gramEnd"/>
      <w:r>
        <w:rPr>
          <w:lang w:val="pt-PT"/>
        </w:rPr>
        <w:t>) 739 final.</w:t>
      </w:r>
    </w:p>
  </w:footnote>
  <w:footnote w:id="26">
    <w:p w:rsidR="00AA2887" w:rsidRDefault="00E93272">
      <w:pPr>
        <w:pStyle w:val="FootnoteText"/>
        <w:rPr>
          <w:lang w:val="pt-PT"/>
        </w:rPr>
      </w:pPr>
      <w:r>
        <w:rPr>
          <w:rStyle w:val="FootnoteReference"/>
        </w:rPr>
        <w:footnoteRef/>
      </w:r>
      <w:r>
        <w:rPr>
          <w:lang w:val="pt-PT"/>
        </w:rPr>
        <w:tab/>
        <w:t>CO EUR 17, CONCL. 5.</w:t>
      </w:r>
    </w:p>
  </w:footnote>
  <w:footnote w:id="27">
    <w:p w:rsidR="00AA2887" w:rsidRDefault="00E93272">
      <w:pPr>
        <w:pStyle w:val="FootnoteText"/>
        <w:rPr>
          <w:lang w:val="pt-PT"/>
        </w:rPr>
      </w:pPr>
      <w:r>
        <w:rPr>
          <w:rStyle w:val="FootnoteReference"/>
        </w:rPr>
        <w:footnoteRef/>
      </w:r>
      <w:r>
        <w:rPr>
          <w:lang w:val="pt-PT"/>
        </w:rPr>
        <w:tab/>
      </w:r>
      <w:r>
        <w:t>ΕΕ</w:t>
      </w:r>
      <w:r>
        <w:rPr>
          <w:lang w:val="pt-PT"/>
        </w:rPr>
        <w:t xml:space="preserve"> L 282 </w:t>
      </w:r>
      <w:r>
        <w:t>της</w:t>
      </w:r>
      <w:r>
        <w:rPr>
          <w:lang w:val="pt-PT"/>
        </w:rPr>
        <w:t xml:space="preserve"> 19.10.2016, </w:t>
      </w:r>
      <w:r>
        <w:t>σ</w:t>
      </w:r>
      <w:r>
        <w:rPr>
          <w:lang w:val="pt-PT"/>
        </w:rPr>
        <w:t>. 4.</w:t>
      </w:r>
    </w:p>
  </w:footnote>
  <w:footnote w:id="28">
    <w:p w:rsidR="00AA2887" w:rsidRDefault="00E93272">
      <w:pPr>
        <w:pStyle w:val="FootnoteText"/>
        <w:rPr>
          <w:lang w:val="pt-PT"/>
        </w:rPr>
      </w:pPr>
      <w:r>
        <w:rPr>
          <w:rStyle w:val="FootnoteReference"/>
        </w:rPr>
        <w:footnoteRef/>
      </w:r>
      <w:r>
        <w:rPr>
          <w:lang w:val="pt-PT"/>
        </w:rPr>
        <w:tab/>
      </w:r>
      <w:proofErr w:type="gramStart"/>
      <w:r>
        <w:rPr>
          <w:lang w:val="pt-PT"/>
        </w:rPr>
        <w:t>COM(2018</w:t>
      </w:r>
      <w:proofErr w:type="gramEnd"/>
      <w:r>
        <w:rPr>
          <w:lang w:val="pt-PT"/>
        </w:rPr>
        <w:t>) 97 final.</w:t>
      </w:r>
    </w:p>
  </w:footnote>
  <w:footnote w:id="29">
    <w:p w:rsidR="00AA2887" w:rsidRDefault="00E93272">
      <w:pPr>
        <w:pStyle w:val="FootnoteText"/>
      </w:pPr>
      <w:r>
        <w:rPr>
          <w:rStyle w:val="FootnoteReference"/>
        </w:rPr>
        <w:footnoteRef/>
      </w:r>
      <w:r>
        <w:tab/>
      </w:r>
      <w:r>
        <w:t xml:space="preserve">Απόφαση αριθ. 1386/2013/EE του Ευρωπαϊκού Κοινοβουλίου και του Συμβουλίου, της 20ής Νοεμβρίου 2013, σχετικά με γενικό </w:t>
      </w:r>
      <w:proofErr w:type="spellStart"/>
      <w:r>
        <w:t>ενωσιακό</w:t>
      </w:r>
      <w:proofErr w:type="spellEnd"/>
      <w:r>
        <w:t xml:space="preserve"> πρόγραμμα δράσης για το περι</w:t>
      </w:r>
      <w:r>
        <w:t>βάλλον έως το 2020 «Ευημερία εντός των ορίων του πλανήτη μας» (ΕΕ L 354 της 28.12.2013, σ. 171).</w:t>
      </w:r>
    </w:p>
  </w:footnote>
  <w:footnote w:id="30">
    <w:p w:rsidR="00AA2887" w:rsidRDefault="00E93272">
      <w:pPr>
        <w:pStyle w:val="FootnoteText"/>
      </w:pPr>
      <w:r>
        <w:rPr>
          <w:rStyle w:val="FootnoteReference"/>
        </w:rPr>
        <w:footnoteRef/>
      </w:r>
      <w:r>
        <w:tab/>
      </w:r>
      <w:r>
        <w:rPr>
          <w:rStyle w:val="Strong"/>
          <w:b w:val="0"/>
          <w:color w:val="444444"/>
        </w:rPr>
        <w:t>Κανονισμός (ΕΕ) 2016/1011 του Ευρωπαϊκού Κοινοβουλίου και του Συμβουλίου, της 8ης Ιουνίου 2016, σχετικά με τους δείκτες που χρησιμοποιούνται ως δείκτες αναφο</w:t>
      </w:r>
      <w:r>
        <w:rPr>
          <w:rStyle w:val="Strong"/>
          <w:b w:val="0"/>
          <w:color w:val="444444"/>
        </w:rPr>
        <w:t>ράς σε χρηματοπιστωτικά μέσα και χρηματοπιστωτικές συμβάσεις ή για τη μέτρηση της απόδοσης επενδυτικών κεφαλαίων, και για την τροποποίηση των οδηγιών 2008/48/ΕΚ και 2014/17/ΕΕ και του κανονισμού (ΕΕ) αριθ. 596/2014(</w:t>
      </w:r>
      <w:r>
        <w:rPr>
          <w:color w:val="444444"/>
        </w:rPr>
        <w:t>ΕΕ L 171 της 29.6.2016, σ. 1).</w:t>
      </w:r>
    </w:p>
  </w:footnote>
  <w:footnote w:id="31">
    <w:p w:rsidR="00AA2887" w:rsidRDefault="00E93272">
      <w:pPr>
        <w:pStyle w:val="FootnoteText"/>
      </w:pPr>
      <w:r>
        <w:rPr>
          <w:rStyle w:val="FootnoteReference"/>
        </w:rPr>
        <w:footnoteRef/>
      </w:r>
      <w:r>
        <w:tab/>
      </w:r>
      <w:r>
        <w:rPr>
          <w:rStyle w:val="Strong"/>
          <w:b w:val="0"/>
          <w:color w:val="444444"/>
        </w:rPr>
        <w:t xml:space="preserve">Σύσταση </w:t>
      </w:r>
      <w:r>
        <w:rPr>
          <w:rStyle w:val="Strong"/>
          <w:b w:val="0"/>
          <w:color w:val="444444"/>
        </w:rPr>
        <w:t>2013/179/ΕΕ της Επιτροπής, της 9ης Απριλίου 2013, σχετικά με τη χρήση κοινών μεθόδων για τη μέτρηση και τη γνωστοποίηση των περιβαλλοντικών επιδόσεων κατά τον κύκλο ζωής των προϊόντων και των οργανισμών (</w:t>
      </w:r>
      <w:r>
        <w:rPr>
          <w:color w:val="444444"/>
        </w:rPr>
        <w:t>ΕΕ L 124 της 4.5.2013,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2" w:rsidRPr="00E93272" w:rsidRDefault="00E93272" w:rsidP="00E9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9EB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5447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9AAAF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3818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12C1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8B894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D62B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619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076F06"/>
    <w:multiLevelType w:val="multilevel"/>
    <w:tmpl w:val="FE665BB8"/>
    <w:styleLink w:val="WWNum13"/>
    <w:lvl w:ilvl="0">
      <w:numFmt w:val="bullet"/>
      <w:lvlText w:val="‒"/>
      <w:lvlJc w:val="left"/>
      <w:pPr>
        <w:ind w:left="720" w:hanging="360"/>
      </w:pPr>
      <w:rPr>
        <w:rFonts w:eastAsia="Arial Unicode MS" w:cs="Arial Unicode MS"/>
        <w:b w:val="0"/>
        <w:bCs w:val="0"/>
        <w:i w:val="0"/>
        <w:iCs w:val="0"/>
        <w:caps w:val="0"/>
        <w:smallCaps w:val="0"/>
        <w:dstrike/>
        <w:color w:val="000000"/>
        <w:spacing w:val="0"/>
        <w:w w:val="100"/>
        <w:kern w:val="3"/>
        <w:position w:val="0"/>
        <w:vertAlign w:val="baseline"/>
      </w:rPr>
    </w:lvl>
    <w:lvl w:ilvl="1">
      <w:numFmt w:val="bullet"/>
      <w:lvlText w:val="o"/>
      <w:lvlJc w:val="left"/>
      <w:pPr>
        <w:ind w:left="1440" w:hanging="360"/>
      </w:pPr>
      <w:rPr>
        <w:rFonts w:eastAsia="Trebuchet MS" w:cs="Trebuchet MS"/>
        <w:b w:val="0"/>
        <w:bCs w:val="0"/>
        <w:i w:val="0"/>
        <w:iCs w:val="0"/>
        <w:caps w:val="0"/>
        <w:smallCaps w:val="0"/>
        <w:dstrike/>
        <w:color w:val="000000"/>
        <w:spacing w:val="0"/>
        <w:w w:val="100"/>
        <w:kern w:val="3"/>
        <w:position w:val="0"/>
        <w:vertAlign w:val="baseline"/>
      </w:rPr>
    </w:lvl>
    <w:lvl w:ilvl="2">
      <w:numFmt w:val="bullet"/>
      <w:lvlText w:val="▪"/>
      <w:lvlJc w:val="left"/>
      <w:pPr>
        <w:ind w:left="2160" w:hanging="360"/>
      </w:pPr>
      <w:rPr>
        <w:rFonts w:eastAsia="Trebuchet MS" w:cs="Trebuchet MS"/>
        <w:b w:val="0"/>
        <w:bCs w:val="0"/>
        <w:i w:val="0"/>
        <w:iCs w:val="0"/>
        <w:caps w:val="0"/>
        <w:smallCaps w:val="0"/>
        <w:dstrike/>
        <w:color w:val="000000"/>
        <w:spacing w:val="0"/>
        <w:w w:val="100"/>
        <w:kern w:val="3"/>
        <w:position w:val="0"/>
        <w:vertAlign w:val="baseline"/>
      </w:rPr>
    </w:lvl>
    <w:lvl w:ilvl="3">
      <w:numFmt w:val="bullet"/>
      <w:lvlText w:val="•"/>
      <w:lvlJc w:val="left"/>
      <w:pPr>
        <w:ind w:left="2880" w:hanging="360"/>
      </w:pPr>
      <w:rPr>
        <w:rFonts w:eastAsia="Trebuchet MS" w:cs="Trebuchet MS"/>
        <w:b w:val="0"/>
        <w:bCs w:val="0"/>
        <w:i w:val="0"/>
        <w:iCs w:val="0"/>
        <w:caps w:val="0"/>
        <w:smallCaps w:val="0"/>
        <w:dstrike/>
        <w:color w:val="000000"/>
        <w:spacing w:val="0"/>
        <w:w w:val="100"/>
        <w:kern w:val="3"/>
        <w:position w:val="0"/>
        <w:vertAlign w:val="baseline"/>
      </w:rPr>
    </w:lvl>
    <w:lvl w:ilvl="4">
      <w:numFmt w:val="bullet"/>
      <w:lvlText w:val="o"/>
      <w:lvlJc w:val="left"/>
      <w:pPr>
        <w:ind w:left="3600" w:hanging="360"/>
      </w:pPr>
      <w:rPr>
        <w:rFonts w:eastAsia="Trebuchet MS" w:cs="Trebuchet MS"/>
        <w:b w:val="0"/>
        <w:bCs w:val="0"/>
        <w:i w:val="0"/>
        <w:iCs w:val="0"/>
        <w:caps w:val="0"/>
        <w:smallCaps w:val="0"/>
        <w:dstrike/>
        <w:color w:val="000000"/>
        <w:spacing w:val="0"/>
        <w:w w:val="100"/>
        <w:kern w:val="3"/>
        <w:position w:val="0"/>
        <w:vertAlign w:val="baseline"/>
      </w:rPr>
    </w:lvl>
    <w:lvl w:ilvl="5">
      <w:numFmt w:val="bullet"/>
      <w:lvlText w:val="▪"/>
      <w:lvlJc w:val="left"/>
      <w:pPr>
        <w:ind w:left="4320" w:hanging="360"/>
      </w:pPr>
      <w:rPr>
        <w:rFonts w:eastAsia="Trebuchet MS" w:cs="Trebuchet MS"/>
        <w:b w:val="0"/>
        <w:bCs w:val="0"/>
        <w:i w:val="0"/>
        <w:iCs w:val="0"/>
        <w:caps w:val="0"/>
        <w:smallCaps w:val="0"/>
        <w:dstrike/>
        <w:color w:val="000000"/>
        <w:spacing w:val="0"/>
        <w:w w:val="100"/>
        <w:kern w:val="3"/>
        <w:position w:val="0"/>
        <w:vertAlign w:val="baseline"/>
      </w:rPr>
    </w:lvl>
    <w:lvl w:ilvl="6">
      <w:numFmt w:val="bullet"/>
      <w:lvlText w:val="•"/>
      <w:lvlJc w:val="left"/>
      <w:pPr>
        <w:ind w:left="5040" w:hanging="360"/>
      </w:pPr>
      <w:rPr>
        <w:rFonts w:eastAsia="Trebuchet MS" w:cs="Trebuchet MS"/>
        <w:b w:val="0"/>
        <w:bCs w:val="0"/>
        <w:i w:val="0"/>
        <w:iCs w:val="0"/>
        <w:caps w:val="0"/>
        <w:smallCaps w:val="0"/>
        <w:dstrike/>
        <w:color w:val="000000"/>
        <w:spacing w:val="0"/>
        <w:w w:val="100"/>
        <w:kern w:val="3"/>
        <w:position w:val="0"/>
        <w:vertAlign w:val="baseline"/>
      </w:rPr>
    </w:lvl>
    <w:lvl w:ilvl="7">
      <w:numFmt w:val="bullet"/>
      <w:lvlText w:val="o"/>
      <w:lvlJc w:val="left"/>
      <w:pPr>
        <w:ind w:left="5760" w:hanging="360"/>
      </w:pPr>
      <w:rPr>
        <w:rFonts w:eastAsia="Trebuchet MS" w:cs="Trebuchet MS"/>
        <w:b w:val="0"/>
        <w:bCs w:val="0"/>
        <w:i w:val="0"/>
        <w:iCs w:val="0"/>
        <w:caps w:val="0"/>
        <w:smallCaps w:val="0"/>
        <w:dstrike/>
        <w:color w:val="000000"/>
        <w:spacing w:val="0"/>
        <w:w w:val="100"/>
        <w:kern w:val="3"/>
        <w:position w:val="0"/>
        <w:vertAlign w:val="baseline"/>
      </w:rPr>
    </w:lvl>
    <w:lvl w:ilvl="8">
      <w:numFmt w:val="bullet"/>
      <w:lvlText w:val="▪"/>
      <w:lvlJc w:val="left"/>
      <w:pPr>
        <w:ind w:left="6480" w:hanging="360"/>
      </w:pPr>
      <w:rPr>
        <w:rFonts w:eastAsia="Trebuchet MS" w:cs="Trebuchet MS"/>
        <w:b w:val="0"/>
        <w:bCs w:val="0"/>
        <w:i w:val="0"/>
        <w:iCs w:val="0"/>
        <w:caps w:val="0"/>
        <w:smallCaps w:val="0"/>
        <w:dstrike/>
        <w:color w:val="000000"/>
        <w:spacing w:val="0"/>
        <w:w w:val="100"/>
        <w:kern w:val="3"/>
        <w:position w:val="0"/>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1C5EC6"/>
    <w:multiLevelType w:val="multilevel"/>
    <w:tmpl w:val="E84064DC"/>
    <w:styleLink w:val="Outline"/>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1.%2.%3)"/>
      <w:lvlJc w:val="left"/>
      <w:pPr>
        <w:ind w:left="1417" w:hanging="567"/>
      </w:pPr>
    </w:lvl>
    <w:lvl w:ilvl="3">
      <w:start w:val="1"/>
      <w:numFmt w:val="lowerLetter"/>
      <w:lvlText w:val="(%1.%2.%3.%4)"/>
      <w:lvlJc w:val="left"/>
      <w:pPr>
        <w:ind w:left="1417" w:hanging="567"/>
      </w:pPr>
    </w:lvl>
    <w:lvl w:ilvl="4">
      <w:start w:val="1"/>
      <w:numFmt w:val="decimal"/>
      <w:lvlText w:val="(%1.%2.%3.%4.%5)"/>
      <w:lvlJc w:val="left"/>
      <w:pPr>
        <w:ind w:left="1984" w:hanging="567"/>
      </w:pPr>
    </w:lvl>
    <w:lvl w:ilvl="5">
      <w:start w:val="1"/>
      <w:numFmt w:val="lowerLetter"/>
      <w:lvlText w:val="(%1.%2.%3.%4.%5.%6)"/>
      <w:lvlJc w:val="left"/>
      <w:pPr>
        <w:ind w:left="1984" w:hanging="567"/>
      </w:pPr>
    </w:lvl>
    <w:lvl w:ilvl="6">
      <w:start w:val="1"/>
      <w:numFmt w:val="decimal"/>
      <w:lvlText w:val="(%1.%2.%3.%4.%5.%6.%7)"/>
      <w:lvlJc w:val="left"/>
      <w:pPr>
        <w:ind w:left="2551" w:hanging="567"/>
      </w:pPr>
    </w:lvl>
    <w:lvl w:ilvl="7">
      <w:start w:val="1"/>
      <w:numFmt w:val="lowerLetter"/>
      <w:lvlText w:val="(%1.%2.%3.%4.%5.%6.%7.%8)"/>
      <w:lvlJc w:val="left"/>
      <w:pPr>
        <w:ind w:left="2551" w:hanging="567"/>
      </w:pPr>
    </w:lvl>
    <w:lvl w:ilvl="8">
      <w:start w:val="1"/>
      <w:numFmt w:val="lowerLetter"/>
      <w:lvlText w:val="(%1.%2.%3.%4.%5.%6.%7.%8.%9)"/>
      <w:lvlJc w:val="left"/>
      <w:pPr>
        <w:ind w:left="3118" w:hanging="567"/>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1"/>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23"/>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0"/>
  </w:num>
  <w:num w:numId="16">
    <w:abstractNumId w:val="9"/>
  </w:num>
  <w:num w:numId="17">
    <w:abstractNumId w:val="15"/>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22"/>
  </w:num>
  <w:num w:numId="23">
    <w:abstractNumId w:val="12"/>
  </w:num>
  <w:num w:numId="24">
    <w:abstractNumId w:val="14"/>
  </w:num>
  <w:num w:numId="25">
    <w:abstractNumId w:val="10"/>
  </w:num>
  <w:num w:numId="26">
    <w:abstractNumId w:val="20"/>
  </w:num>
  <w:num w:numId="27">
    <w:abstractNumId w:val="9"/>
  </w:num>
  <w:num w:numId="28">
    <w:abstractNumId w:val="15"/>
  </w:num>
  <w:num w:numId="29">
    <w:abstractNumId w:val="17"/>
  </w:num>
  <w:num w:numId="30">
    <w:abstractNumId w:val="18"/>
  </w:num>
  <w:num w:numId="31">
    <w:abstractNumId w:val="11"/>
  </w:num>
  <w:num w:numId="32">
    <w:abstractNumId w:val="16"/>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7 14:51: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34C3EA2-5C0C-4E5F-8D0E-ED15B7410ED3"/>
    <w:docVar w:name="LW_COVERPAGE_TYPE" w:val="1"/>
    <w:docVar w:name="LW_CROSSREFERENCE" w:val="{SEC(2018) 257 final}_x000a_{SWD(2018) 264 final}_x000a_{SWD(2018) 265 final}"/>
    <w:docVar w:name="LW_DocType" w:val="COM"/>
    <w:docVar w:name="LW_EMISSION" w:val="24.5.2018"/>
    <w:docVar w:name="LW_EMISSION_ISODATE" w:val="2018-05-24"/>
    <w:docVar w:name="LW_EMISSION_LOCATION" w:val="BRX"/>
    <w:docVar w:name="LW_EMISSION_PREFIX" w:val="\u914?\u961?\u965?\u958?\u941?\u955?\u955?\u949?\u962?,"/>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80"/>
    <w:docVar w:name="LW_REF.II.NEW.CP_YEAR" w:val="2018"/>
    <w:docVar w:name="LW_REF.INST.NEW" w:val="COM"/>
    <w:docVar w:name="LW_REF.INST.NEW_ADOPTED" w:val="final"/>
    <w:docVar w:name="LW_REF.INST.NEW_TEXT" w:val="(2018) 3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17?) 2016/1011 \u963?\u967?\u949?\u964?\u953?\u954?\u940? \u956?\u949? \u964?\u959?\u965?\u962? \u948?\u949?\u943?\u954?\u964?\u949?\u962? \u945?\u957?\u945?\u966?\u959?\u961?\u940?\u962? \u967?\u945?\u956?\u951?\u955?\u974?\u957? \u945?\u957?\u952?\u961?\u945?\u954?\u959?\u973?\u967?\u969?\u957? \u949?\u954?\u960?\u959?\u956?\u960?\u974?\u957? \u954?\u945?\u953? \u964?\u959?\u965?\u962? \u948?\u949?\u943?\u954?\u964?\u949?\u962? \u945?\u957?\u945?\u966?\u959?\u961?\u940?\u962? \u952?\u949?\u964?\u953?\u954?\u959?\u973? \u945?\u957?\u964?\u953?\u954?\u964?\u973?\u960?\u959?\u965? \u940?\u957?\u952?\u961?\u945?\u954?\u945?"/>
    <w:docVar w:name="LW_TYPE.DOC.CP" w:val="\u922?\u913?\u925?\u927?\u925?\u921?\u931?\u924?\u927?\u931? \u932?\u927?\u933? \u917?\u933?\u929?\u937?\u928?\u913?\u938?\u922?\u927?\u933? \u922?\u927?\u921?\u925?\u927?\u914?\u927?\u933?\u923?\u921?\u927?\u933? \u922?\u913?\u921? \u932?\u927?\u933? \u931?\u933?\u924?\u914?\u927?\u933?\u923?\u921?\u927?\u933?"/>
  </w:docVars>
  <w:rsids>
    <w:rsidRoot w:val="00AA2887"/>
    <w:rsid w:val="00AA2887"/>
    <w:rsid w:val="00E9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uiPriority w:val="99"/>
    <w:rPr>
      <w:color w:val="0000FF"/>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paragraph" w:customStyle="1" w:styleId="Default">
    <w:name w:val="Default"/>
    <w:pPr>
      <w:suppressAutoHyphens/>
      <w:autoSpaceDN w:val="0"/>
      <w:spacing w:after="0" w:line="240" w:lineRule="auto"/>
      <w:textAlignment w:val="baseline"/>
    </w:pPr>
    <w:rPr>
      <w:rFonts w:ascii="Verdana" w:eastAsia="Times New Roman" w:hAnsi="Verdana" w:cs="Verdana"/>
      <w:color w:val="000000"/>
      <w:kern w:val="3"/>
      <w:sz w:val="24"/>
      <w:szCs w:val="24"/>
      <w:lang w:val="en-GB" w:eastAsia="en-GB"/>
    </w:rPr>
  </w:style>
  <w:style w:type="paragraph" w:customStyle="1" w:styleId="Standard">
    <w:name w:val="Standard"/>
    <w:pPr>
      <w:suppressAutoHyphens/>
      <w:autoSpaceDN w:val="0"/>
      <w:spacing w:before="120" w:after="120" w:line="240" w:lineRule="auto"/>
      <w:jc w:val="both"/>
      <w:textAlignment w:val="baseline"/>
    </w:pPr>
    <w:rPr>
      <w:rFonts w:ascii="Times New Roman" w:eastAsia="Arial Unicode MS" w:hAnsi="Times New Roman" w:cs="Times New Roman"/>
      <w:kern w:val="3"/>
      <w:sz w:val="24"/>
      <w:lang w:val="en-GB"/>
    </w:rPr>
  </w:style>
  <w:style w:type="numbering" w:customStyle="1" w:styleId="Outline">
    <w:name w:val="Outline"/>
    <w:basedOn w:val="NoList"/>
    <w:pPr>
      <w:numPr>
        <w:numId w:val="2"/>
      </w:numPr>
    </w:pPr>
  </w:style>
  <w:style w:type="numbering" w:customStyle="1" w:styleId="WWNum13">
    <w:name w:val="WWNum13"/>
    <w:basedOn w:val="NoList"/>
    <w:pPr>
      <w:numPr>
        <w:numId w:val="1"/>
      </w:numPr>
    </w:pPr>
  </w:style>
  <w:style w:type="paragraph" w:styleId="CommentText">
    <w:name w:val="annotation text"/>
    <w:basedOn w:val="Standard"/>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kern w:val="3"/>
      <w:sz w:val="20"/>
      <w:lang w:val="en-GB" w:eastAsia="en-GB"/>
    </w:rPr>
  </w:style>
  <w:style w:type="paragraph" w:customStyle="1" w:styleId="Body">
    <w:name w:val="Body"/>
    <w:pPr>
      <w:suppressAutoHyphens/>
      <w:autoSpaceDN w:val="0"/>
      <w:textAlignment w:val="baseline"/>
    </w:pPr>
    <w:rPr>
      <w:rFonts w:ascii="Calibri" w:eastAsia="Calibri" w:hAnsi="Calibri" w:cs="Calibri"/>
      <w:color w:val="000000"/>
      <w:kern w:val="3"/>
      <w:lang w:eastAsia="en-GB"/>
    </w:rPr>
  </w:style>
  <w:style w:type="character" w:styleId="CommentReference">
    <w:name w:val="annotation reference"/>
    <w:uiPriority w:val="99"/>
    <w:rPr>
      <w:rFonts w:cs="Times New Roman"/>
      <w:sz w:val="16"/>
      <w:szCs w:val="16"/>
      <w:lang w:val="en-GB" w:eastAsia="en-GB"/>
    </w:rPr>
  </w:style>
  <w:style w:type="character" w:customStyle="1" w:styleId="None">
    <w:name w:val="None"/>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3"/>
      <w:sz w:val="20"/>
      <w:szCs w:val="20"/>
      <w:lang w:val="en-GB" w:eastAsia="en-GB"/>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rsid w:val="00E93272"/>
    <w:pPr>
      <w:tabs>
        <w:tab w:val="center" w:pos="4535"/>
        <w:tab w:val="right" w:pos="9071"/>
      </w:tabs>
      <w:spacing w:before="0"/>
    </w:pPr>
  </w:style>
  <w:style w:type="character" w:customStyle="1" w:styleId="HeaderChar">
    <w:name w:val="Header Char"/>
    <w:basedOn w:val="DefaultParagraphFont"/>
    <w:link w:val="Header"/>
    <w:uiPriority w:val="99"/>
    <w:rsid w:val="00E93272"/>
    <w:rPr>
      <w:rFonts w:ascii="Times New Roman" w:hAnsi="Times New Roman" w:cs="Times New Roman"/>
      <w:sz w:val="24"/>
      <w:lang w:val="el-GR"/>
    </w:rPr>
  </w:style>
  <w:style w:type="paragraph" w:styleId="Footer">
    <w:name w:val="footer"/>
    <w:basedOn w:val="Normal"/>
    <w:link w:val="FooterChar"/>
    <w:uiPriority w:val="99"/>
    <w:unhideWhenUsed/>
    <w:rsid w:val="00E9327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93272"/>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93272"/>
    <w:pPr>
      <w:tabs>
        <w:tab w:val="center" w:pos="7285"/>
        <w:tab w:val="right" w:pos="14003"/>
      </w:tabs>
      <w:spacing w:before="0"/>
    </w:pPr>
  </w:style>
  <w:style w:type="paragraph" w:customStyle="1" w:styleId="FooterLandscape">
    <w:name w:val="FooterLandscape"/>
    <w:basedOn w:val="Normal"/>
    <w:rsid w:val="00E9327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9327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9327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uiPriority w:val="99"/>
    <w:rPr>
      <w:color w:val="0000FF"/>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paragraph" w:customStyle="1" w:styleId="Default">
    <w:name w:val="Default"/>
    <w:pPr>
      <w:suppressAutoHyphens/>
      <w:autoSpaceDN w:val="0"/>
      <w:spacing w:after="0" w:line="240" w:lineRule="auto"/>
      <w:textAlignment w:val="baseline"/>
    </w:pPr>
    <w:rPr>
      <w:rFonts w:ascii="Verdana" w:eastAsia="Times New Roman" w:hAnsi="Verdana" w:cs="Verdana"/>
      <w:color w:val="000000"/>
      <w:kern w:val="3"/>
      <w:sz w:val="24"/>
      <w:szCs w:val="24"/>
      <w:lang w:val="en-GB" w:eastAsia="en-GB"/>
    </w:rPr>
  </w:style>
  <w:style w:type="paragraph" w:customStyle="1" w:styleId="Standard">
    <w:name w:val="Standard"/>
    <w:pPr>
      <w:suppressAutoHyphens/>
      <w:autoSpaceDN w:val="0"/>
      <w:spacing w:before="120" w:after="120" w:line="240" w:lineRule="auto"/>
      <w:jc w:val="both"/>
      <w:textAlignment w:val="baseline"/>
    </w:pPr>
    <w:rPr>
      <w:rFonts w:ascii="Times New Roman" w:eastAsia="Arial Unicode MS" w:hAnsi="Times New Roman" w:cs="Times New Roman"/>
      <w:kern w:val="3"/>
      <w:sz w:val="24"/>
      <w:lang w:val="en-GB"/>
    </w:rPr>
  </w:style>
  <w:style w:type="numbering" w:customStyle="1" w:styleId="Outline">
    <w:name w:val="Outline"/>
    <w:basedOn w:val="NoList"/>
    <w:pPr>
      <w:numPr>
        <w:numId w:val="2"/>
      </w:numPr>
    </w:pPr>
  </w:style>
  <w:style w:type="numbering" w:customStyle="1" w:styleId="WWNum13">
    <w:name w:val="WWNum13"/>
    <w:basedOn w:val="NoList"/>
    <w:pPr>
      <w:numPr>
        <w:numId w:val="1"/>
      </w:numPr>
    </w:pPr>
  </w:style>
  <w:style w:type="paragraph" w:styleId="CommentText">
    <w:name w:val="annotation text"/>
    <w:basedOn w:val="Standard"/>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kern w:val="3"/>
      <w:sz w:val="20"/>
      <w:lang w:val="en-GB" w:eastAsia="en-GB"/>
    </w:rPr>
  </w:style>
  <w:style w:type="paragraph" w:customStyle="1" w:styleId="Body">
    <w:name w:val="Body"/>
    <w:pPr>
      <w:suppressAutoHyphens/>
      <w:autoSpaceDN w:val="0"/>
      <w:textAlignment w:val="baseline"/>
    </w:pPr>
    <w:rPr>
      <w:rFonts w:ascii="Calibri" w:eastAsia="Calibri" w:hAnsi="Calibri" w:cs="Calibri"/>
      <w:color w:val="000000"/>
      <w:kern w:val="3"/>
      <w:lang w:eastAsia="en-GB"/>
    </w:rPr>
  </w:style>
  <w:style w:type="character" w:styleId="CommentReference">
    <w:name w:val="annotation reference"/>
    <w:uiPriority w:val="99"/>
    <w:rPr>
      <w:rFonts w:cs="Times New Roman"/>
      <w:sz w:val="16"/>
      <w:szCs w:val="16"/>
      <w:lang w:val="en-GB" w:eastAsia="en-GB"/>
    </w:rPr>
  </w:style>
  <w:style w:type="character" w:customStyle="1" w:styleId="None">
    <w:name w:val="None"/>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3"/>
      <w:sz w:val="20"/>
      <w:szCs w:val="20"/>
      <w:lang w:val="en-GB" w:eastAsia="en-GB"/>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rsid w:val="00E93272"/>
    <w:pPr>
      <w:tabs>
        <w:tab w:val="center" w:pos="4535"/>
        <w:tab w:val="right" w:pos="9071"/>
      </w:tabs>
      <w:spacing w:before="0"/>
    </w:pPr>
  </w:style>
  <w:style w:type="character" w:customStyle="1" w:styleId="HeaderChar">
    <w:name w:val="Header Char"/>
    <w:basedOn w:val="DefaultParagraphFont"/>
    <w:link w:val="Header"/>
    <w:uiPriority w:val="99"/>
    <w:rsid w:val="00E93272"/>
    <w:rPr>
      <w:rFonts w:ascii="Times New Roman" w:hAnsi="Times New Roman" w:cs="Times New Roman"/>
      <w:sz w:val="24"/>
      <w:lang w:val="el-GR"/>
    </w:rPr>
  </w:style>
  <w:style w:type="paragraph" w:styleId="Footer">
    <w:name w:val="footer"/>
    <w:basedOn w:val="Normal"/>
    <w:link w:val="FooterChar"/>
    <w:uiPriority w:val="99"/>
    <w:unhideWhenUsed/>
    <w:rsid w:val="00E9327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93272"/>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93272"/>
    <w:pPr>
      <w:tabs>
        <w:tab w:val="center" w:pos="7285"/>
        <w:tab w:val="right" w:pos="14003"/>
      </w:tabs>
      <w:spacing w:before="0"/>
    </w:pPr>
  </w:style>
  <w:style w:type="paragraph" w:customStyle="1" w:styleId="FooterLandscape">
    <w:name w:val="FooterLandscape"/>
    <w:basedOn w:val="Normal"/>
    <w:rsid w:val="00E9327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9327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9327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33">
      <w:bodyDiv w:val="1"/>
      <w:marLeft w:val="0"/>
      <w:marRight w:val="0"/>
      <w:marTop w:val="0"/>
      <w:marBottom w:val="0"/>
      <w:divBdr>
        <w:top w:val="none" w:sz="0" w:space="0" w:color="auto"/>
        <w:left w:val="none" w:sz="0" w:space="0" w:color="auto"/>
        <w:bottom w:val="none" w:sz="0" w:space="0" w:color="auto"/>
        <w:right w:val="none" w:sz="0" w:space="0" w:color="auto"/>
      </w:divBdr>
      <w:divsChild>
        <w:div w:id="1404179424">
          <w:marLeft w:val="0"/>
          <w:marRight w:val="0"/>
          <w:marTop w:val="0"/>
          <w:marBottom w:val="0"/>
          <w:divBdr>
            <w:top w:val="none" w:sz="0" w:space="0" w:color="auto"/>
            <w:left w:val="none" w:sz="0" w:space="0" w:color="auto"/>
            <w:bottom w:val="none" w:sz="0" w:space="0" w:color="auto"/>
            <w:right w:val="none" w:sz="0" w:space="0" w:color="auto"/>
          </w:divBdr>
        </w:div>
        <w:div w:id="205223551">
          <w:marLeft w:val="0"/>
          <w:marRight w:val="0"/>
          <w:marTop w:val="0"/>
          <w:marBottom w:val="0"/>
          <w:divBdr>
            <w:top w:val="none" w:sz="0" w:space="0" w:color="auto"/>
            <w:left w:val="none" w:sz="0" w:space="0" w:color="auto"/>
            <w:bottom w:val="none" w:sz="0" w:space="0" w:color="auto"/>
            <w:right w:val="none" w:sz="0" w:space="0" w:color="auto"/>
          </w:divBdr>
        </w:div>
        <w:div w:id="162202738">
          <w:marLeft w:val="0"/>
          <w:marRight w:val="0"/>
          <w:marTop w:val="0"/>
          <w:marBottom w:val="0"/>
          <w:divBdr>
            <w:top w:val="none" w:sz="0" w:space="0" w:color="auto"/>
            <w:left w:val="none" w:sz="0" w:space="0" w:color="auto"/>
            <w:bottom w:val="none" w:sz="0" w:space="0" w:color="auto"/>
            <w:right w:val="none" w:sz="0" w:space="0" w:color="auto"/>
          </w:divBdr>
        </w:div>
        <w:div w:id="71052405">
          <w:marLeft w:val="0"/>
          <w:marRight w:val="0"/>
          <w:marTop w:val="0"/>
          <w:marBottom w:val="0"/>
          <w:divBdr>
            <w:top w:val="none" w:sz="0" w:space="0" w:color="auto"/>
            <w:left w:val="none" w:sz="0" w:space="0" w:color="auto"/>
            <w:bottom w:val="none" w:sz="0" w:space="0" w:color="auto"/>
            <w:right w:val="none" w:sz="0" w:space="0" w:color="auto"/>
          </w:divBdr>
        </w:div>
        <w:div w:id="531381167">
          <w:marLeft w:val="0"/>
          <w:marRight w:val="0"/>
          <w:marTop w:val="0"/>
          <w:marBottom w:val="0"/>
          <w:divBdr>
            <w:top w:val="none" w:sz="0" w:space="0" w:color="auto"/>
            <w:left w:val="none" w:sz="0" w:space="0" w:color="auto"/>
            <w:bottom w:val="none" w:sz="0" w:space="0" w:color="auto"/>
            <w:right w:val="none" w:sz="0" w:space="0" w:color="auto"/>
          </w:divBdr>
        </w:div>
        <w:div w:id="1241646665">
          <w:marLeft w:val="0"/>
          <w:marRight w:val="0"/>
          <w:marTop w:val="0"/>
          <w:marBottom w:val="0"/>
          <w:divBdr>
            <w:top w:val="none" w:sz="0" w:space="0" w:color="auto"/>
            <w:left w:val="none" w:sz="0" w:space="0" w:color="auto"/>
            <w:bottom w:val="none" w:sz="0" w:space="0" w:color="auto"/>
            <w:right w:val="none" w:sz="0" w:space="0" w:color="auto"/>
          </w:divBdr>
        </w:div>
        <w:div w:id="798032253">
          <w:marLeft w:val="0"/>
          <w:marRight w:val="0"/>
          <w:marTop w:val="0"/>
          <w:marBottom w:val="0"/>
          <w:divBdr>
            <w:top w:val="none" w:sz="0" w:space="0" w:color="auto"/>
            <w:left w:val="none" w:sz="0" w:space="0" w:color="auto"/>
            <w:bottom w:val="none" w:sz="0" w:space="0" w:color="auto"/>
            <w:right w:val="none" w:sz="0" w:space="0" w:color="auto"/>
          </w:divBdr>
        </w:div>
        <w:div w:id="636690924">
          <w:marLeft w:val="0"/>
          <w:marRight w:val="0"/>
          <w:marTop w:val="0"/>
          <w:marBottom w:val="0"/>
          <w:divBdr>
            <w:top w:val="none" w:sz="0" w:space="0" w:color="auto"/>
            <w:left w:val="none" w:sz="0" w:space="0" w:color="auto"/>
            <w:bottom w:val="none" w:sz="0" w:space="0" w:color="auto"/>
            <w:right w:val="none" w:sz="0" w:space="0" w:color="auto"/>
          </w:divBdr>
        </w:div>
        <w:div w:id="1650669569">
          <w:marLeft w:val="0"/>
          <w:marRight w:val="0"/>
          <w:marTop w:val="0"/>
          <w:marBottom w:val="0"/>
          <w:divBdr>
            <w:top w:val="none" w:sz="0" w:space="0" w:color="auto"/>
            <w:left w:val="none" w:sz="0" w:space="0" w:color="auto"/>
            <w:bottom w:val="none" w:sz="0" w:space="0" w:color="auto"/>
            <w:right w:val="none" w:sz="0" w:space="0" w:color="auto"/>
          </w:divBdr>
        </w:div>
      </w:divsChild>
    </w:div>
    <w:div w:id="216942201">
      <w:bodyDiv w:val="1"/>
      <w:marLeft w:val="0"/>
      <w:marRight w:val="0"/>
      <w:marTop w:val="0"/>
      <w:marBottom w:val="0"/>
      <w:divBdr>
        <w:top w:val="none" w:sz="0" w:space="0" w:color="auto"/>
        <w:left w:val="none" w:sz="0" w:space="0" w:color="auto"/>
        <w:bottom w:val="none" w:sz="0" w:space="0" w:color="auto"/>
        <w:right w:val="none" w:sz="0" w:space="0" w:color="auto"/>
      </w:divBdr>
    </w:div>
    <w:div w:id="989669543">
      <w:bodyDiv w:val="1"/>
      <w:marLeft w:val="0"/>
      <w:marRight w:val="0"/>
      <w:marTop w:val="0"/>
      <w:marBottom w:val="0"/>
      <w:divBdr>
        <w:top w:val="none" w:sz="0" w:space="0" w:color="auto"/>
        <w:left w:val="none" w:sz="0" w:space="0" w:color="auto"/>
        <w:bottom w:val="none" w:sz="0" w:space="0" w:color="auto"/>
        <w:right w:val="none" w:sz="0" w:space="0" w:color="auto"/>
      </w:divBdr>
      <w:divsChild>
        <w:div w:id="1241522598">
          <w:marLeft w:val="0"/>
          <w:marRight w:val="0"/>
          <w:marTop w:val="0"/>
          <w:marBottom w:val="0"/>
          <w:divBdr>
            <w:top w:val="none" w:sz="0" w:space="0" w:color="auto"/>
            <w:left w:val="none" w:sz="0" w:space="0" w:color="auto"/>
            <w:bottom w:val="none" w:sz="0" w:space="0" w:color="auto"/>
            <w:right w:val="none" w:sz="0" w:space="0" w:color="auto"/>
          </w:divBdr>
        </w:div>
        <w:div w:id="1980916931">
          <w:marLeft w:val="0"/>
          <w:marRight w:val="0"/>
          <w:marTop w:val="0"/>
          <w:marBottom w:val="0"/>
          <w:divBdr>
            <w:top w:val="none" w:sz="0" w:space="0" w:color="auto"/>
            <w:left w:val="none" w:sz="0" w:space="0" w:color="auto"/>
            <w:bottom w:val="none" w:sz="0" w:space="0" w:color="auto"/>
            <w:right w:val="none" w:sz="0" w:space="0" w:color="auto"/>
          </w:divBdr>
        </w:div>
      </w:divsChild>
    </w:div>
    <w:div w:id="1035081917">
      <w:bodyDiv w:val="1"/>
      <w:marLeft w:val="0"/>
      <w:marRight w:val="0"/>
      <w:marTop w:val="0"/>
      <w:marBottom w:val="0"/>
      <w:divBdr>
        <w:top w:val="none" w:sz="0" w:space="0" w:color="auto"/>
        <w:left w:val="none" w:sz="0" w:space="0" w:color="auto"/>
        <w:bottom w:val="none" w:sz="0" w:space="0" w:color="auto"/>
        <w:right w:val="none" w:sz="0" w:space="0" w:color="auto"/>
      </w:divBdr>
      <w:divsChild>
        <w:div w:id="742995020">
          <w:marLeft w:val="0"/>
          <w:marRight w:val="0"/>
          <w:marTop w:val="0"/>
          <w:marBottom w:val="0"/>
          <w:divBdr>
            <w:top w:val="none" w:sz="0" w:space="0" w:color="auto"/>
            <w:left w:val="none" w:sz="0" w:space="0" w:color="auto"/>
            <w:bottom w:val="none" w:sz="0" w:space="0" w:color="auto"/>
            <w:right w:val="none" w:sz="0" w:space="0" w:color="auto"/>
          </w:divBdr>
        </w:div>
        <w:div w:id="1766615150">
          <w:marLeft w:val="0"/>
          <w:marRight w:val="0"/>
          <w:marTop w:val="0"/>
          <w:marBottom w:val="0"/>
          <w:divBdr>
            <w:top w:val="none" w:sz="0" w:space="0" w:color="auto"/>
            <w:left w:val="none" w:sz="0" w:space="0" w:color="auto"/>
            <w:bottom w:val="none" w:sz="0" w:space="0" w:color="auto"/>
            <w:right w:val="none" w:sz="0" w:space="0" w:color="auto"/>
          </w:divBdr>
        </w:div>
        <w:div w:id="1788819084">
          <w:marLeft w:val="0"/>
          <w:marRight w:val="0"/>
          <w:marTop w:val="0"/>
          <w:marBottom w:val="0"/>
          <w:divBdr>
            <w:top w:val="none" w:sz="0" w:space="0" w:color="auto"/>
            <w:left w:val="none" w:sz="0" w:space="0" w:color="auto"/>
            <w:bottom w:val="none" w:sz="0" w:space="0" w:color="auto"/>
            <w:right w:val="none" w:sz="0" w:space="0" w:color="auto"/>
          </w:divBdr>
        </w:div>
        <w:div w:id="753360532">
          <w:marLeft w:val="0"/>
          <w:marRight w:val="0"/>
          <w:marTop w:val="0"/>
          <w:marBottom w:val="0"/>
          <w:divBdr>
            <w:top w:val="none" w:sz="0" w:space="0" w:color="auto"/>
            <w:left w:val="none" w:sz="0" w:space="0" w:color="auto"/>
            <w:bottom w:val="none" w:sz="0" w:space="0" w:color="auto"/>
            <w:right w:val="none" w:sz="0" w:space="0" w:color="auto"/>
          </w:divBdr>
        </w:div>
        <w:div w:id="1811753345">
          <w:marLeft w:val="0"/>
          <w:marRight w:val="0"/>
          <w:marTop w:val="0"/>
          <w:marBottom w:val="0"/>
          <w:divBdr>
            <w:top w:val="none" w:sz="0" w:space="0" w:color="auto"/>
            <w:left w:val="none" w:sz="0" w:space="0" w:color="auto"/>
            <w:bottom w:val="none" w:sz="0" w:space="0" w:color="auto"/>
            <w:right w:val="none" w:sz="0" w:space="0" w:color="auto"/>
          </w:divBdr>
        </w:div>
        <w:div w:id="1170146806">
          <w:marLeft w:val="0"/>
          <w:marRight w:val="0"/>
          <w:marTop w:val="0"/>
          <w:marBottom w:val="0"/>
          <w:divBdr>
            <w:top w:val="none" w:sz="0" w:space="0" w:color="auto"/>
            <w:left w:val="none" w:sz="0" w:space="0" w:color="auto"/>
            <w:bottom w:val="none" w:sz="0" w:space="0" w:color="auto"/>
            <w:right w:val="none" w:sz="0" w:space="0" w:color="auto"/>
          </w:divBdr>
        </w:div>
        <w:div w:id="761726329">
          <w:marLeft w:val="0"/>
          <w:marRight w:val="0"/>
          <w:marTop w:val="0"/>
          <w:marBottom w:val="0"/>
          <w:divBdr>
            <w:top w:val="none" w:sz="0" w:space="0" w:color="auto"/>
            <w:left w:val="none" w:sz="0" w:space="0" w:color="auto"/>
            <w:bottom w:val="none" w:sz="0" w:space="0" w:color="auto"/>
            <w:right w:val="none" w:sz="0" w:space="0" w:color="auto"/>
          </w:divBdr>
        </w:div>
        <w:div w:id="184443837">
          <w:marLeft w:val="0"/>
          <w:marRight w:val="0"/>
          <w:marTop w:val="0"/>
          <w:marBottom w:val="0"/>
          <w:divBdr>
            <w:top w:val="none" w:sz="0" w:space="0" w:color="auto"/>
            <w:left w:val="none" w:sz="0" w:space="0" w:color="auto"/>
            <w:bottom w:val="none" w:sz="0" w:space="0" w:color="auto"/>
            <w:right w:val="none" w:sz="0" w:space="0" w:color="auto"/>
          </w:divBdr>
        </w:div>
        <w:div w:id="1575553405">
          <w:marLeft w:val="0"/>
          <w:marRight w:val="0"/>
          <w:marTop w:val="0"/>
          <w:marBottom w:val="0"/>
          <w:divBdr>
            <w:top w:val="none" w:sz="0" w:space="0" w:color="auto"/>
            <w:left w:val="none" w:sz="0" w:space="0" w:color="auto"/>
            <w:bottom w:val="none" w:sz="0" w:space="0" w:color="auto"/>
            <w:right w:val="none" w:sz="0" w:space="0" w:color="auto"/>
          </w:divBdr>
        </w:div>
        <w:div w:id="91053908">
          <w:marLeft w:val="0"/>
          <w:marRight w:val="0"/>
          <w:marTop w:val="0"/>
          <w:marBottom w:val="0"/>
          <w:divBdr>
            <w:top w:val="none" w:sz="0" w:space="0" w:color="auto"/>
            <w:left w:val="none" w:sz="0" w:space="0" w:color="auto"/>
            <w:bottom w:val="none" w:sz="0" w:space="0" w:color="auto"/>
            <w:right w:val="none" w:sz="0" w:space="0" w:color="auto"/>
          </w:divBdr>
        </w:div>
        <w:div w:id="796410072">
          <w:marLeft w:val="0"/>
          <w:marRight w:val="0"/>
          <w:marTop w:val="0"/>
          <w:marBottom w:val="0"/>
          <w:divBdr>
            <w:top w:val="none" w:sz="0" w:space="0" w:color="auto"/>
            <w:left w:val="none" w:sz="0" w:space="0" w:color="auto"/>
            <w:bottom w:val="none" w:sz="0" w:space="0" w:color="auto"/>
            <w:right w:val="none" w:sz="0" w:space="0" w:color="auto"/>
          </w:divBdr>
        </w:div>
        <w:div w:id="960527597">
          <w:marLeft w:val="0"/>
          <w:marRight w:val="0"/>
          <w:marTop w:val="0"/>
          <w:marBottom w:val="0"/>
          <w:divBdr>
            <w:top w:val="none" w:sz="0" w:space="0" w:color="auto"/>
            <w:left w:val="none" w:sz="0" w:space="0" w:color="auto"/>
            <w:bottom w:val="none" w:sz="0" w:space="0" w:color="auto"/>
            <w:right w:val="none" w:sz="0" w:space="0" w:color="auto"/>
          </w:divBdr>
        </w:div>
      </w:divsChild>
    </w:div>
    <w:div w:id="1177695710">
      <w:bodyDiv w:val="1"/>
      <w:marLeft w:val="0"/>
      <w:marRight w:val="0"/>
      <w:marTop w:val="0"/>
      <w:marBottom w:val="0"/>
      <w:divBdr>
        <w:top w:val="none" w:sz="0" w:space="0" w:color="auto"/>
        <w:left w:val="none" w:sz="0" w:space="0" w:color="auto"/>
        <w:bottom w:val="none" w:sz="0" w:space="0" w:color="auto"/>
        <w:right w:val="none" w:sz="0" w:space="0" w:color="auto"/>
      </w:divBdr>
      <w:divsChild>
        <w:div w:id="1645618405">
          <w:marLeft w:val="0"/>
          <w:marRight w:val="0"/>
          <w:marTop w:val="0"/>
          <w:marBottom w:val="0"/>
          <w:divBdr>
            <w:top w:val="none" w:sz="0" w:space="0" w:color="auto"/>
            <w:left w:val="none" w:sz="0" w:space="0" w:color="auto"/>
            <w:bottom w:val="none" w:sz="0" w:space="0" w:color="auto"/>
            <w:right w:val="none" w:sz="0" w:space="0" w:color="auto"/>
          </w:divBdr>
        </w:div>
        <w:div w:id="2034450544">
          <w:marLeft w:val="0"/>
          <w:marRight w:val="0"/>
          <w:marTop w:val="0"/>
          <w:marBottom w:val="0"/>
          <w:divBdr>
            <w:top w:val="none" w:sz="0" w:space="0" w:color="auto"/>
            <w:left w:val="none" w:sz="0" w:space="0" w:color="auto"/>
            <w:bottom w:val="none" w:sz="0" w:space="0" w:color="auto"/>
            <w:right w:val="none" w:sz="0" w:space="0" w:color="auto"/>
          </w:divBdr>
        </w:div>
        <w:div w:id="683022082">
          <w:marLeft w:val="0"/>
          <w:marRight w:val="0"/>
          <w:marTop w:val="0"/>
          <w:marBottom w:val="0"/>
          <w:divBdr>
            <w:top w:val="none" w:sz="0" w:space="0" w:color="auto"/>
            <w:left w:val="none" w:sz="0" w:space="0" w:color="auto"/>
            <w:bottom w:val="none" w:sz="0" w:space="0" w:color="auto"/>
            <w:right w:val="none" w:sz="0" w:space="0" w:color="auto"/>
          </w:divBdr>
        </w:div>
        <w:div w:id="1029188292">
          <w:marLeft w:val="0"/>
          <w:marRight w:val="0"/>
          <w:marTop w:val="0"/>
          <w:marBottom w:val="0"/>
          <w:divBdr>
            <w:top w:val="none" w:sz="0" w:space="0" w:color="auto"/>
            <w:left w:val="none" w:sz="0" w:space="0" w:color="auto"/>
            <w:bottom w:val="none" w:sz="0" w:space="0" w:color="auto"/>
            <w:right w:val="none" w:sz="0" w:space="0" w:color="auto"/>
          </w:divBdr>
        </w:div>
      </w:divsChild>
    </w:div>
    <w:div w:id="1230576467">
      <w:bodyDiv w:val="1"/>
      <w:marLeft w:val="0"/>
      <w:marRight w:val="0"/>
      <w:marTop w:val="0"/>
      <w:marBottom w:val="0"/>
      <w:divBdr>
        <w:top w:val="none" w:sz="0" w:space="0" w:color="auto"/>
        <w:left w:val="none" w:sz="0" w:space="0" w:color="auto"/>
        <w:bottom w:val="none" w:sz="0" w:space="0" w:color="auto"/>
        <w:right w:val="none" w:sz="0" w:space="0" w:color="auto"/>
      </w:divBdr>
    </w:div>
    <w:div w:id="1433013926">
      <w:bodyDiv w:val="1"/>
      <w:marLeft w:val="0"/>
      <w:marRight w:val="0"/>
      <w:marTop w:val="0"/>
      <w:marBottom w:val="0"/>
      <w:divBdr>
        <w:top w:val="none" w:sz="0" w:space="0" w:color="auto"/>
        <w:left w:val="none" w:sz="0" w:space="0" w:color="auto"/>
        <w:bottom w:val="none" w:sz="0" w:space="0" w:color="auto"/>
        <w:right w:val="none" w:sz="0" w:space="0" w:color="auto"/>
      </w:divBdr>
      <w:divsChild>
        <w:div w:id="1465465248">
          <w:marLeft w:val="0"/>
          <w:marRight w:val="0"/>
          <w:marTop w:val="0"/>
          <w:marBottom w:val="0"/>
          <w:divBdr>
            <w:top w:val="none" w:sz="0" w:space="0" w:color="auto"/>
            <w:left w:val="none" w:sz="0" w:space="0" w:color="auto"/>
            <w:bottom w:val="none" w:sz="0" w:space="0" w:color="auto"/>
            <w:right w:val="none" w:sz="0" w:space="0" w:color="auto"/>
          </w:divBdr>
        </w:div>
        <w:div w:id="1383870278">
          <w:marLeft w:val="0"/>
          <w:marRight w:val="0"/>
          <w:marTop w:val="0"/>
          <w:marBottom w:val="0"/>
          <w:divBdr>
            <w:top w:val="none" w:sz="0" w:space="0" w:color="auto"/>
            <w:left w:val="none" w:sz="0" w:space="0" w:color="auto"/>
            <w:bottom w:val="none" w:sz="0" w:space="0" w:color="auto"/>
            <w:right w:val="none" w:sz="0" w:space="0" w:color="auto"/>
          </w:divBdr>
        </w:div>
        <w:div w:id="586883437">
          <w:marLeft w:val="0"/>
          <w:marRight w:val="0"/>
          <w:marTop w:val="0"/>
          <w:marBottom w:val="0"/>
          <w:divBdr>
            <w:top w:val="none" w:sz="0" w:space="0" w:color="auto"/>
            <w:left w:val="none" w:sz="0" w:space="0" w:color="auto"/>
            <w:bottom w:val="none" w:sz="0" w:space="0" w:color="auto"/>
            <w:right w:val="none" w:sz="0" w:space="0" w:color="auto"/>
          </w:divBdr>
        </w:div>
        <w:div w:id="1965185783">
          <w:marLeft w:val="0"/>
          <w:marRight w:val="0"/>
          <w:marTop w:val="0"/>
          <w:marBottom w:val="0"/>
          <w:divBdr>
            <w:top w:val="none" w:sz="0" w:space="0" w:color="auto"/>
            <w:left w:val="none" w:sz="0" w:space="0" w:color="auto"/>
            <w:bottom w:val="none" w:sz="0" w:space="0" w:color="auto"/>
            <w:right w:val="none" w:sz="0" w:space="0" w:color="auto"/>
          </w:divBdr>
        </w:div>
      </w:divsChild>
    </w:div>
    <w:div w:id="1708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83696687107&amp;uri=CELEX:52016SC0405" TargetMode="External"/><Relationship Id="rId1" Type="http://schemas.openxmlformats.org/officeDocument/2006/relationships/hyperlink" Target="https://ec.europa.eu/commission/sites/beta-political/files/juncker-political-guidelines-speech_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174DC7-24A1-45EA-8E3F-67FD0EC38660}">
  <ds:schemaRefs>
    <ds:schemaRef ds:uri="http://schemas.openxmlformats.org/officeDocument/2006/bibliography"/>
  </ds:schemaRefs>
</ds:datastoreItem>
</file>

<file path=customXml/itemProps2.xml><?xml version="1.0" encoding="utf-8"?>
<ds:datastoreItem xmlns:ds="http://schemas.openxmlformats.org/officeDocument/2006/customXml" ds:itemID="{93707F10-6702-4332-89BF-059E16F9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8776</Words>
  <Characters>55204</Characters>
  <Application>Microsoft Office Word</Application>
  <DocSecurity>0</DocSecurity>
  <Lines>890</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2018-06-25T14:37:00Z</dcterms:created>
  <dcterms:modified xsi:type="dcterms:W3CDTF">2018-06-27T12:55:00Z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