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506FDC24-70CF-4FBB-AA90-131093F3FDDB" style="width:450.75pt;height:366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Przyczyny i cele wniosku</w:t>
      </w:r>
    </w:p>
    <w:p>
      <w:pPr>
        <w:rPr>
          <w:noProof/>
        </w:rPr>
      </w:pPr>
      <w:r>
        <w:rPr>
          <w:noProof/>
        </w:rPr>
        <w:t>Rozporządzenie Rady (UE) nr 389/2012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stanowi podstawę prawną współpracy administracyjnej między państwami członkowskimi.</w:t>
      </w:r>
    </w:p>
    <w:p>
      <w:pPr>
        <w:rPr>
          <w:noProof/>
        </w:rPr>
      </w:pPr>
      <w:r>
        <w:rPr>
          <w:noProof/>
        </w:rPr>
        <w:t>Niniejszy wniosek towarzyszy wnioskowi dotyczącemu dyrektywy Rady ustanawiającej ogólne zasady dotyczące podatku akcyzowego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w odniesieniu do rozdziału V dyrektywy Rady XXX/WE. Dotyczy on automatyzacji nadzoru nad przemieszczaniem wyrobów akcyzowych, które zostały dopuszczone do konsumpcji w jednym państwie członkowskim i są przemieszczane do innego państwa członkowskiego w celu dostarczenia do celów handlowych w tym innym państwie członkowskim.</w:t>
      </w:r>
    </w:p>
    <w:p>
      <w:pPr>
        <w:rPr>
          <w:noProof/>
        </w:rPr>
      </w:pPr>
      <w:r>
        <w:rPr>
          <w:noProof/>
        </w:rPr>
        <w:t>Zgodnie z nowymi zasadami wymagana będzie rejestracja podmiotów gospodarczych przemieszczających wyroby na podstawie rozdziału V dyrektywy XXX/WE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w rejestrze podmiotów gospodarczych, który obecnie obejmuje jedynie podmioty gospodarcze korzystające z przepisów zawartych w rozdziałach III i IV dyrektywy XXX/WE</w:t>
      </w:r>
      <w:r>
        <w:rPr>
          <w:rStyle w:val="FootnoteReference"/>
          <w:noProof/>
        </w:rPr>
        <w:footnoteReference w:id="4"/>
      </w:r>
      <w:r>
        <w:rPr>
          <w:noProof/>
        </w:rPr>
        <w:t>. Niniejszy wniosek wdraża powyższy wymóg do rozporządzenia (UE) nr 389/2012.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Spójność z przepisami obowiązującymi w tej dziedzinie polityki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Wniosek jest powiązany z przekształceniem dyrektywy Rady 2008/118/WE.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Spójność z innymi obszarami polityki Unii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Nie dotyczy.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PODSTAWA PRAWNA, POMOCNICZOŚĆ I PROPORCJONALNOŚĆ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Podstawa prawna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Podstawę niniejszego wniosku stanowi art. 113 Traktatu o funkcjonowaniu Unii Europejskiej (TFUE). Artykuł ten stanowi, że Rada, stanowiąc jednomyślnie zgodnie ze specjalną procedurą ustawodawczą i po konsultacji z Parlamentem Europejskim oraz Komitetem Ekonomiczno-Społecznym, uchwala przepisy dotyczące harmonizacji ustawodawstw odnoszących się do podatków pośrednich w państwach członkowskich.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Pomocniczość (w przypadku kompetencji niewyłącznych) </w:t>
      </w:r>
    </w:p>
    <w:p>
      <w:pPr>
        <w:rPr>
          <w:noProof/>
        </w:rPr>
      </w:pPr>
      <w:r>
        <w:rPr>
          <w:noProof/>
        </w:rPr>
        <w:t>Zasada pomocniczości ma zastosowanie, o ile wniosek nie wchodzi w zakres wyłącznych kompetencji Unii Europejskiej.</w:t>
      </w:r>
    </w:p>
    <w:p>
      <w:pPr>
        <w:rPr>
          <w:noProof/>
        </w:rPr>
      </w:pPr>
      <w:r>
        <w:rPr>
          <w:noProof/>
        </w:rPr>
        <w:t>Cele wniosku nie mogą zostać osiągnięte w sposób wystarczający przez państwa członkowskie i możliwe jest ich lepsze osiągnięcie na poziomie Unii. Istniejące krajowe procedury rejestracji są bardzo zróżnicowane i nie stanowią odpowiedniej podstawy automatyzacji tych procedur.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Proporcjonalność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Proponowana zmiana nie wykracza poza to, co jest niezbędne do rozwiązania stwierdzonego problemu, a tym samym do osiągnięcia zapisanych w Traktacie celów, a mianowicie właściwego i skutecznego funkcjonowania rynku wewnętrznego.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Niniejszy wniosek jest zgodny z zasadą proporcjonalności określoną w art. 5 ust. 4 Traktatu o Unii Europejskiej.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Celem wniosku jest wprowadzenie obowiązku rejestracji podmiotów gospodarczych przemieszczających wyroby na podstawie rozdziału V sekcja 2 dyrektywy XXX/WE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. Bez tego wniosku pełna automatyzacja przemieszczania towarów dopuszczonych do konsumpcji nie będzie możliwa.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Wybór instrumentu</w:t>
      </w:r>
    </w:p>
    <w:p>
      <w:pPr>
        <w:rPr>
          <w:noProof/>
        </w:rPr>
      </w:pPr>
      <w:r>
        <w:rPr>
          <w:noProof/>
        </w:rPr>
        <w:t>Rozporządzenie Rady.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WYNIKI OCEN </w:t>
      </w:r>
      <w:r>
        <w:rPr>
          <w:i/>
          <w:noProof/>
        </w:rPr>
        <w:t>EX POST</w:t>
      </w:r>
      <w:r>
        <w:rPr>
          <w:noProof/>
        </w:rPr>
        <w:t>, KONSULTACJI Z ZAINTERESOWANYMI STRONAMI I OCEN SKUTKÓW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Oceny </w:t>
      </w:r>
      <w:r>
        <w:rPr>
          <w:i/>
          <w:noProof/>
        </w:rPr>
        <w:t>ex post</w:t>
      </w:r>
      <w:r>
        <w:rPr>
          <w:noProof/>
        </w:rPr>
        <w:t>/kontrole sprawności obowiązującego prawodawstwa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Przeprowadzono ocenę dyrektywy 2008/118/WE. Wniosek dotyczący dyrektywy Rady ustanawiającej ogólne zasady dotyczące podatku akcyzowego opiera się na tej ocenie oraz na sprawozdaniu Komisji dla Parlamentu Europejskiego i Rady dotyczącym wdrożenia i oceny dyrektywy Rady 2008/118/WE z dnia 16 grudnia 2008 r. w sprawie ogólnych zasad dotyczących podatku akcyzowego z dnia 21 kwietnia 2017 r. (COM(2017) 184 final). W sprawozdaniu podkreślono konieczność dalszej automatyzacji, a niniejszy wniosek dotyczy jednie drobnego dostosowania związanego z tym wariantem strategicznym.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Konsultacje z zainteresowanymi stronami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Konsultacje z zainteresowanymi stronami przeprowadzono w ramach przeglądu dyrektywy Rady 2008/118/WE.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Ocena skutków</w:t>
      </w:r>
    </w:p>
    <w:p>
      <w:pPr>
        <w:rPr>
          <w:noProof/>
        </w:rPr>
      </w:pPr>
      <w:r>
        <w:rPr>
          <w:noProof/>
        </w:rPr>
        <w:t>Osobna ocena skutków nie była konieczna, wybór wariantu strategicznego zakładającego większą automatyzację wynika bowiem z oceny skutków dotyczącej przekształcenia dyrektywy 2008/118/WE.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Sprawność regulacyjna i uproszczenie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Ocenę dyrektywy 2008/118/WE przeprowadzono w ramach realizowanego przez Komisję programu REFIT.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Prawa podstawowe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Niniejszy wniosek nie narusza praw podstawowych, a w szczególności prawa do prywatności wynikającego z istniejących przepisów w sprawie ochrony danych zawartych w rozporządzeniu (UE) nr 389/2012.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WPŁYW NA BUDŻET</w:t>
      </w:r>
    </w:p>
    <w:p>
      <w:pPr>
        <w:rPr>
          <w:noProof/>
        </w:rPr>
      </w:pPr>
      <w:r>
        <w:rPr>
          <w:noProof/>
        </w:rPr>
        <w:t>Wpływ finansowy związany z wprowadzeniem fazy 4 EMCS wynika z decyzji XXX/WE</w:t>
      </w:r>
      <w:r>
        <w:rPr>
          <w:rStyle w:val="FootnoteReference"/>
          <w:noProof/>
        </w:rPr>
        <w:footnoteReference w:id="6"/>
      </w:r>
      <w:r>
        <w:rPr>
          <w:noProof/>
        </w:rPr>
        <w:t>. Wpływ rozwoju i funkcjonowania nowej poszerzonej usługi na poziomie centralnym na budżet będzie pokrywany z budżetu programu Fiscalis ze środków już przewidzianych w oficjalnym programowaniu finansowym. Nie będą wymagane żadne dodatkowe środki z budżetu UE. Ponadto niniejsza inicjatywa nie ma na celu rozstrzygać o wniosku Komisji w sprawie kolejnych wieloletnich ram finansowych.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ELEMENTY FAKULTATYWNE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Plany wdrożenia i monitorowanie, ocena i sprawozdania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Nie dotyczy.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Dokumenty wyjaśniające (w przypadku dyrektyw)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Dokumenty wyjaśniające w sprawie transpozycji przepisów niniejszego wniosku nie są konieczne.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Szczegółowe objaśnienia poszczególnych przepisów wniosku</w:t>
      </w:r>
    </w:p>
    <w:p>
      <w:pPr>
        <w:rPr>
          <w:noProof/>
        </w:rPr>
      </w:pPr>
      <w:r>
        <w:rPr>
          <w:noProof/>
        </w:rPr>
        <w:t xml:space="preserve">Wniosek dotyczy zmiany zakresu art. 19 rozporządzenia w celu uwzględnienia dwóch nowych kategorii podmiotów gospodarczych: certyfikowanych wysyłających, którzy są zarejestrowani jako wysyłający wyroby akcyzowe już dopuszczone do konsumpcji, i certyfikowanych odbiorców, którzy są zarejestrowani jako odbiorcy wyrobów akcyzowych już dopuszczonych do konsumpcji. Uprawnieni prowadzący skład i zarejestrowani wysyłający będą mieć możliwość funkcjonowania w charakterze certyfikowanych wysyłających, a uprawnieni prowadzący skład i zarejestrowani odbiorcy – w charakterze certyfikowanych odbiorców. Właściwy organ państwa członkowskiego będzie musiał zostać poinformowany o tej okoliczności i informacja ta powinna też zostać wprowadzona do rejestru. </w:t>
      </w:r>
    </w:p>
    <w:p>
      <w:pPr>
        <w:rPr>
          <w:noProof/>
        </w:rPr>
      </w:pPr>
      <w:r>
        <w:rPr>
          <w:noProof/>
        </w:rPr>
        <w:t>Zgodnie z wnioskiem rejestr elektroniczny obejmie ponadto informacje dotyczące prawa zarejestrowanego wysyłającego, by nie wypełniać w projekcie elektronicznego dokumentu administracyjnego pól dotyczących przeznaczenia w przypadku przemieszczania produktów energetycznych w procedurze zawieszenia poboru akcyzy drogą morską lub wodami śródlądowymi. Zgodnie z art. 23 dyrektywy XXX/WE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uprawniony prowadzący skład i zarejestrowany wysyłający mogą nie wypełniać pola dotyczącego przeznaczenia. Obecnie zgodnie z rozporządzeniem (UE) nr 389/2012 centralny rejestr obejmuje taką informację na temat pustego pola przeznaczenia jedynie w przypadku uprawnionego prowadzącego skład. </w:t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  <w:sectPr>
          <w:footerReference w:type="default" r:id="rId19"/>
          <w:footerReference w:type="first" r:id="rId20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2018/0181 (CNS)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ROZPORZĄDZENIE RADY</w:t>
      </w:r>
    </w:p>
    <w:p>
      <w:pPr>
        <w:pStyle w:val="Titreobjet"/>
        <w:rPr>
          <w:noProof/>
        </w:rPr>
      </w:pPr>
      <w:r>
        <w:rPr>
          <w:noProof/>
        </w:rPr>
        <w:t xml:space="preserve">zmieniające rozporządzenie (UE) nr 389/2012 w sprawie współpracy administracyjnej w dziedzinie podatków akcyzowych w odniesieniu do zawartości elektronicznego rejestru </w:t>
      </w:r>
    </w:p>
    <w:p>
      <w:pPr>
        <w:pStyle w:val="Institutionquiagit"/>
        <w:rPr>
          <w:noProof/>
        </w:rPr>
      </w:pPr>
      <w:r>
        <w:rPr>
          <w:noProof/>
        </w:rPr>
        <w:t>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 w szczególności jego art. 113,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po przekazaniu projektu aktu ustawodawczego parlamentom narodowym,</w:t>
      </w:r>
    </w:p>
    <w:p>
      <w:pPr>
        <w:rPr>
          <w:noProof/>
        </w:rPr>
      </w:pPr>
      <w:r>
        <w:rPr>
          <w:noProof/>
        </w:rPr>
        <w:t>uwzględniając opinię Parlamentu Europejskiego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uwzględniając opinię Europejskiego Komitetu Ekonomiczno-Społecznego</w:t>
      </w:r>
      <w:r>
        <w:rPr>
          <w:rStyle w:val="FootnoteReference"/>
          <w:noProof/>
        </w:rPr>
        <w:footnoteReference w:id="9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stanowiąc zgodnie ze specjalną procedurą ustawodawczą,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rPr>
          <w:noProof/>
        </w:rPr>
      </w:pP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Art. 19 rozporządzenia Rady (UE) nr 389/2012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zobowiązuje państwa członkowskie do prowadzenia elektronicznych rejestrów upoważnień podmiotów gospodarczych i składów uczestniczących w przemieszczaniu wyrobów akcyzowych w procedurze zawieszenia poboru akcyzy.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Dyrektywą XXX/WE rozszerzono zastosowanie systemu komputerowego, stosowanego obecnie do nadzoru nad przemieszczaniem wyrobów akcyzowych w procedurze zawieszenia poboru akcyzy, na nadzór nad wyrobami akcyzowymi dopuszczonymi do konsumpcji na terytorium jednego państwa członkowskiego i przemieszczanymi na terytorium innego państwa członkowskiego w celu dostarczenia ich tam do celów handlowych.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Aby umożliwić należyte funkcjonowanie systemu komputerowego poprzez zapewnienie przechowywania kompletnych, aktualnych i prawidłowych danych, należy zmienić zakres art. 19 rozporządzenia (UE) nr 389/2012 w celu uwzględnienia dwóch nowych kategorii podmiotów gospodarczych: certyfikowanych wysyłających, którzy są zarejestrowani jako wysyłający wyroby akcyzowe już dopuszczone do konsumpcji, i certyfikowanych odbiorców, którzy są zarejestrowani jako odbiorcy wyrobów akcyzowych już dopuszczonych do konsumpcji.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Zgodnie z art. 23 dyrektywy Rady XXX/WE w przypadku przemieszczania produktów energetycznych w procedurze zawieszenia poboru akcyzy drogą morską lub wodami śródlądowymi właściwe organy państwa członkowskiego wysyłki mogą zezwolić wysyłającemu na pominięcie w momencie wysyłki danych dotyczących odbiorcy w projekcie elektronicznego dokumentu administracyjnego, o którym mowa w art. 21 ust. 2 tej dyrektywy. Zgodnie z rozporządzeniem (UE) nr 389/2012 jedynie uprawnieni prowadzący skład mogą zawrzeć te informacje w rejestrze elektronicznym. Również zarejestrowani wysyłający powinni mieć możliwość wprowadzania do elektronicznego rejestru informacji o tym, że w momencie wysyłki mogą pominąć dane odbiorcy.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Ponieważ cel niniejszego rozporządzenia, a mianowicie poszerzenie zakresu elektronicznego rejestru w celu uwzględniania podmiotów gospodarczych przemieszczających wyroby akcyzowe dopuszczone do konsumpcji, nie może zostać osiągnięty w sposób wystarczający przez państwa członkowskie, ale możliwe jest – w celu zapewnienia sprawnego funkcjonowania systemu komputerowego i ułatwienia walki z oszustwami – jego lepsze osiągnięcie na poziomie Unii, Unia może podjąć działania zgodnie z zasadą pomocniczości określoną w art. 5 Traktatu o Unii Europejskiej. Zgodnie z zasadą proporcjonalności określoną w tym artykule niniejsze rozporządzenie nie wykracza poza to, co jest konieczne do osiągnięcia tego celu. </w:t>
      </w:r>
    </w:p>
    <w:p>
      <w:pPr>
        <w:pStyle w:val="ManualConsidrant"/>
        <w:rPr>
          <w:noProof/>
          <w:szCs w:val="24"/>
        </w:rPr>
      </w:pPr>
      <w:r>
        <w:t>(6)</w:t>
      </w:r>
      <w:r>
        <w:tab/>
      </w:r>
      <w:r>
        <w:rPr>
          <w:noProof/>
        </w:rPr>
        <w:t>Niniejsze rozporządzenie nie narusza praw podstawowych i respektuje zasady uznane w Karcie praw podstawowych Unii Europejskiej, w szczególności prawo do ochrony danych osobowych. W świetle ograniczeń ustanowionych w niniejszym rozporządzeniu przetwarzanie wskazanych danych w ramach niniejszego rozporządzenia nie wykracza poza to, co jest niezbędne i proporcjonalne do celów ochrony uzasadnionych interesów podatkowych państw członkowskich.</w:t>
      </w:r>
    </w:p>
    <w:p>
      <w:pPr>
        <w:pStyle w:val="ManualConsidrant"/>
        <w:rPr>
          <w:noProof/>
          <w:szCs w:val="24"/>
        </w:rPr>
      </w:pPr>
      <w:r>
        <w:t>(7)</w:t>
      </w:r>
      <w:r>
        <w:tab/>
      </w:r>
      <w:r>
        <w:rPr>
          <w:noProof/>
        </w:rPr>
        <w:t>Zgodnie z art. 28 ust. 2 rozporządzenia (WE) nr 45/2001 Parlamentu Europejskiego i Rady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skonsultowano się z Europejskim Inspektorem Ochrony Danych.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Aby dostosować datę rozpoczęcia stosowania niniejszego rozporządzenia do daty rozpoczęcia stosowania przepisów dyrektywy XXX/WE w sprawie automatyzacji przemieszczania wyrobów akcyzowych, które to wyroby zostały dopuszczone do konsumpcji na terytorium jednego państwa członkowskiego i są przemieszczane na terytorium innego państwa członkowskiego w celu dostarczenia do celów handlowych na terytorium tego innego państwa członkowskiego, oraz aby dać państwom członkowskim wystarczającą ilość czasu na przygotowanie się do zmian wynikających z niniejszego rozporządzenia, niniejsze rozporządzenie powinno mieć zastosowanie od dnia 14 lutego 2022 r.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Należy zatem odpowiednio zmienić rozporządzenie (UE) nr 389/2012,</w:t>
      </w:r>
    </w:p>
    <w:p>
      <w:pPr>
        <w:pStyle w:val="Formuledadoption"/>
        <w:rPr>
          <w:noProof/>
        </w:rPr>
      </w:pPr>
      <w:r>
        <w:rPr>
          <w:noProof/>
        </w:rPr>
        <w:t>PRZYJMUJE NINIEJSZE ROZPORZĄDZENIE: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rPr>
          <w:noProof/>
        </w:rPr>
      </w:pPr>
      <w:r>
        <w:rPr>
          <w:noProof/>
        </w:rPr>
        <w:t xml:space="preserve">W art. 19 rozporządzenia (UE) nr 389/2012 wprowadza się następujące zmiany: </w:t>
      </w:r>
    </w:p>
    <w:p>
      <w:pPr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w ust. 1 lit. a) dodaje się ppkt (iv) i (v) w brzmieniu:</w:t>
      </w:r>
    </w:p>
    <w:p>
      <w:pPr>
        <w:rPr>
          <w:noProof/>
        </w:rPr>
      </w:pPr>
      <w:r>
        <w:rPr>
          <w:noProof/>
        </w:rPr>
        <w:t>„(iv) certyfikowani wysyłający w rozumieniu art. 4 pkt 11 dyrektywy XXX/WE;</w:t>
      </w:r>
    </w:p>
    <w:p>
      <w:pPr>
        <w:rPr>
          <w:noProof/>
        </w:rPr>
      </w:pPr>
      <w:r>
        <w:rPr>
          <w:noProof/>
        </w:rPr>
        <w:t>(v) certyfikowani odbiorcy w rozumieniu art. 4 pkt 12 dyrektywy XXX/WE;”;</w:t>
      </w:r>
    </w:p>
    <w:p>
      <w:pPr>
        <w:rPr>
          <w:noProof/>
        </w:rPr>
      </w:pP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 xml:space="preserve">w ust. 2 wprowadza się następujące zmiany: 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lit. f) i g) otrzymują brzmienie: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„f) w przypadku uprawnionych prowadzących skład – skład podatkowy lub wykaz składów podatkowych, do których zezwolenie ma zastosowanie, a także – w stosownych przypadkach przewidzianych w przepisach krajowych – wskazanie, że są oni upoważnieni do pominięcia danych dotyczących odbiorców w momencie wysyłki zgodnie z art. 23 dyrektywy XXX/WE, że są oni upoważnieni do podziału przemieszczenia zgodnie z art. 24 dyrektywy XXX/WE lub że są oni upoważnieni do tego, aby ich wyroby akcyzowe zostały przemieszczone do miejsca dostawy bezpośredniej zgodnie z art. 17 ust. 4 tej dyrektywy, wskazanie, że działają jako certyfikowany wysyłający lub certyfikowany odbiorca zgodnie z art. 36 ust. 6 i 7 dyrektywy XXX/WE;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g) w przypadku zarejestrowanych odbiorców, w stosownych przypadkach przewidzianych w przepisach krajowych – wskazanie, że są oni upoważnieni do tego, aby ich wyroby akcyzowe zostały przemieszczone do miejsca dostawy bezpośredniej zgodnie z art. 17 ust. 4 dyrektywy XXX/WE, wskazanie, że działają jako certyfikowany odbiorca zgodnie z art. 36 ust. 7 dyrektywy XXX/WE;”;</w:t>
      </w:r>
    </w:p>
    <w:p>
      <w:pPr>
        <w:rPr>
          <w:rFonts w:eastAsia="Times New Roman"/>
          <w:noProof/>
          <w:szCs w:val="24"/>
        </w:rPr>
      </w:pP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dodaje się lit. k) w brzmieniu: 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„k) w przypadku zarejestrowanych wysyłających – wskazanie, że są oni upoważnieni do pominięcia danych dotyczących odbiorców w momencie wysyłki zgodnie z art. 23 dyrektywy XXX/WE, wskazanie, że działają jako certyfikowani wysyłający zgodnie z art. 36 ust. 6 dyrektywy XXX/WE.”.</w:t>
      </w:r>
    </w:p>
    <w:p>
      <w:pPr>
        <w:rPr>
          <w:noProof/>
        </w:rPr>
      </w:pPr>
    </w:p>
    <w:p>
      <w:pPr>
        <w:pStyle w:val="Titrearticle"/>
        <w:rPr>
          <w:noProof/>
        </w:rPr>
      </w:pPr>
      <w:r>
        <w:rPr>
          <w:noProof/>
        </w:rPr>
        <w:t>Artykuł 2</w:t>
      </w:r>
    </w:p>
    <w:p>
      <w:pPr>
        <w:rPr>
          <w:noProof/>
        </w:rPr>
      </w:pPr>
      <w:r>
        <w:rPr>
          <w:noProof/>
        </w:rPr>
        <w:t>Niniejsze rozporządzenie wchodzi w życie dwudziestego dnia po jego opublikowaniu w </w:t>
      </w:r>
      <w:r>
        <w:rPr>
          <w:i/>
          <w:noProof/>
        </w:rPr>
        <w:t>Dzienniku Urzędowym Unii Europejskiej</w:t>
      </w:r>
      <w:r>
        <w:rPr>
          <w:noProof/>
        </w:rPr>
        <w:t>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Niniejsze rozporządzenie stosuje się od dnia 14 lutego 2022 r.</w:t>
      </w:r>
      <w:r>
        <w:rPr>
          <w:i/>
          <w:noProof/>
        </w:rPr>
        <w:t xml:space="preserve"> </w:t>
      </w:r>
    </w:p>
    <w:p>
      <w:pPr>
        <w:pStyle w:val="Applicationdirecte"/>
        <w:rPr>
          <w:noProof/>
        </w:rPr>
      </w:pPr>
      <w:r>
        <w:rPr>
          <w:noProof/>
        </w:rPr>
        <w:t>Niniejsze rozporządzenie wiąże w całości i jest bezpośrednio stosowane we wszystkich państwach członkowskich.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Dz.U. L 121 z 2.5.2012, s. 1.</w:t>
      </w:r>
    </w:p>
  </w:footnote>
  <w:footnote w:id="2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COM(2018) 346.</w:t>
      </w:r>
    </w:p>
  </w:footnote>
  <w:footnote w:id="3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COM(2018) 346.</w:t>
      </w:r>
    </w:p>
  </w:footnote>
  <w:footnote w:id="4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COM(2018) 346.</w:t>
      </w:r>
    </w:p>
  </w:footnote>
  <w:footnote w:id="5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COM(2018) 346.</w:t>
      </w:r>
    </w:p>
  </w:footnote>
  <w:footnote w:id="6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COM(2018) 341.</w:t>
      </w:r>
    </w:p>
  </w:footnote>
  <w:footnote w:id="7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COM(2018) 346.</w:t>
      </w:r>
    </w:p>
  </w:footnote>
  <w:footnote w:id="8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Dz.U. C […] z […], s. […].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Dz.U. C […] z […], s. […].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Rozporządzenie Rady (UE) nr 389/2012 z dnia 2 maja 2012 r. w sprawie współpracy administracyjnej w dziedzinie podatków akcyzowych oraz uchylenia rozporządzenia (WE) nr 2073/2004 (Dz.U. L 121 z 8.5.2012, s. 1).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 xml:space="preserve">Rozporządzenie (WE) nr 45/2001 Parlamentu Europejskiego i Rady z dnia 18 grudnia 2000 r. o ochronie osób fizycznych w związku z przetwarzaniem danych osobowych przez instytucje i organy wspólnotowe i o swobodnym przepływie takich danych (Dz.U. L 8 z 12.1.2001, s.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3DC44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92A01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86006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5A8E8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8D6B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6225D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E1266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F3CCF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29 10:29:51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506FDC24-70CF-4FBB-AA90-131093F3FDDB"/>
    <w:docVar w:name="LW_COVERPAGE_TYPE" w:val="1"/>
    <w:docVar w:name="LW_CROSSREFERENCE" w:val="&lt;UNUSED&gt;"/>
    <w:docVar w:name="LW_DocType" w:val="COM"/>
    <w:docVar w:name="LW_EMISSION" w:val="25.5.2018"/>
    <w:docVar w:name="LW_EMISSION_ISODATE" w:val="2018-05-25"/>
    <w:docVar w:name="LW_EMISSION_LOCATION" w:val="BRX"/>
    <w:docVar w:name="LW_EMISSION_PREFIX" w:val="Bruksela, dnia "/>
    <w:docVar w:name="LW_EMISSION_SUFFIX" w:val="&lt;EMPTY&gt;"/>
    <w:docVar w:name="LW_ID_DOCMODEL" w:val="SJ-016"/>
    <w:docVar w:name="LW_ID_DOCSIGNATURE" w:val="SJ-016"/>
    <w:docVar w:name="LW_ID_DOCSTRUCTURE" w:val="COM/PL/ORG"/>
    <w:docVar w:name="LW_ID_DOCTYPE" w:val="SJ-016"/>
    <w:docVar w:name="LW_ID_EXP.MOTIFS.NEW" w:val="EM_PL_"/>
    <w:docVar w:name="LW_ID_STATUT" w:val="SJ-016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181"/>
    <w:docVar w:name="LW_REF.II.NEW.CP_YEAR" w:val="2018"/>
    <w:docVar w:name="LW_REF.INST.NEW" w:val="COM"/>
    <w:docVar w:name="LW_REF.INST.NEW_ADOPTED" w:val="final"/>
    <w:docVar w:name="LW_REF.INST.NEW_TEXT" w:val="(2018) 34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Wniosek"/>
    <w:docVar w:name="LW_SUPERTITRE" w:val="&lt;UNUSED&gt;"/>
    <w:docVar w:name="LW_TITRE.OBJ.CP" w:val="zmieniaj\u261?ce rozporz\u261?dzenie (UE) nr 389/2012 w sprawie wspó\u322?pracy administracyjnej w dziedzinie podatków akcyzowych w odniesieniu do zawarto\u347?ci elektronicznego rejestru "/>
    <w:docVar w:name="LW_TYPE.DOC.CP" w:val="ROZPORZ\u260?DZEN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50" w:after="0"/>
      <w:jc w:val="left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50" w:after="0"/>
      <w:jc w:val="left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5161">
                      <w:marLeft w:val="5472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190">
                      <w:marLeft w:val="5472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B3E30BDCA03AB479C0B1BA53C70FC71" ma:contentTypeVersion="2" ma:contentTypeDescription="Create a new document in this library." ma:contentTypeScope="" ma:versionID="1054be081d7fc0cadf532e1ad876c885">
  <xsd:schema xmlns:xsd="http://www.w3.org/2001/XMLSchema" xmlns:xs="http://www.w3.org/2001/XMLSchema" xmlns:p="http://schemas.microsoft.com/office/2006/metadata/properties" xmlns:ns3="b1a5d756-6628-4580-811b-28fb5674f657" targetNamespace="http://schemas.microsoft.com/office/2006/metadata/properties" ma:root="true" ma:fieldsID="a1daedb22f6c8eb6f89027b4c60b39d6" ns3:_="">
    <xsd:import namespace="b1a5d756-6628-4580-811b-28fb5674f657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5d756-6628-4580-811b-28fb5674f657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b1a5d756-6628-4580-811b-28fb5674f657" xsi:nil="true"/>
    <EC_Collab_DocumentLanguage xmlns="b1a5d756-6628-4580-811b-28fb5674f657">EN</EC_Collab_DocumentLanguage>
    <EC_Collab_Status xmlns="b1a5d756-6628-4580-811b-28fb5674f657">Draft</EC_Collab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3913-580D-4351-8140-417CE0406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5d756-6628-4580-811b-28fb5674f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D3AD7-7F7B-47F1-979F-4BAD5FF41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46E7B-7CB4-4A4C-8DB3-D6E38B6F13D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b1a5d756-6628-4580-811b-28fb5674f657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B9FA4D-9C77-44E4-9990-A9D945A5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7</Pages>
  <Words>1668</Words>
  <Characters>11517</Characters>
  <Application>Microsoft Office Word</Application>
  <DocSecurity>0</DocSecurity>
  <Lines>225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2018-04-26T08:02:00Z</cp:lastPrinted>
  <dcterms:created xsi:type="dcterms:W3CDTF">2018-06-26T13:15:00Z</dcterms:created>
  <dcterms:modified xsi:type="dcterms:W3CDTF">2018-06-29T08:29:00Z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SJ-016</vt:lpwstr>
  </property>
  <property fmtid="{D5CDD505-2E9C-101B-9397-08002B2CF9AE}" pid="10" name="ContentTypeId">
    <vt:lpwstr>0x010100258AA79CEB83498886A3A0868112325000CB3E30BDCA03AB479C0B1BA53C70FC71</vt:lpwstr>
  </property>
  <property fmtid="{D5CDD505-2E9C-101B-9397-08002B2CF9AE}" pid="11" name="DQCStatus">
    <vt:lpwstr>Green (DQC version 03)</vt:lpwstr>
  </property>
</Properties>
</file>