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11EB9B8-314E-438A-A5DF-BBBBFD2CC440" style="width:450.35pt;height:352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spacing w:before="100" w:beforeAutospacing="1"/>
        <w:rPr>
          <w:rFonts w:eastAsia="Times New Roman"/>
          <w:noProof/>
          <w:szCs w:val="24"/>
        </w:rPr>
      </w:pPr>
      <w:r>
        <w:rPr>
          <w:noProof/>
        </w:rPr>
        <w:t xml:space="preserve">Komise v souladu s rozhodnutím Rady, kterým se Komise pověřuje k zahájení jednání, sjednala jménem Evropské unie a jejích členských států s Gruzií dohodu o společném leteckém prostoru (dále jen „dohoda“).  </w:t>
      </w:r>
    </w:p>
    <w:p>
      <w:pPr>
        <w:rPr>
          <w:noProof/>
        </w:rPr>
      </w:pPr>
      <w:r>
        <w:rPr>
          <w:noProof/>
        </w:rPr>
        <w:t>Součástí politiky sousedství EU je nahradit tento soubor dvoustranných dohod vytvořením společného leteckého prostoru mezi EU a jejími sousedy. Cílem dohody je postupné otevírání trhů umožňující vzájemný přístup k trasám a kapacitě; nediskriminace a rovné podmínky pro hospodářské subjekty založené na zásadách smluv EU, jakož i přizpůsobení gruzínských leteckých právních předpisů právním předpisům EU v otázkách, jako je bezpečnost, ochrana před protiprávními činy a uspořádání letového provozu.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>Dohoda byla podepsána dne 2. prosince 2010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Pokud jde o EU, jsou smluvními stranami dohody jak Unie, tak i její členské státy. Dnem 9. února 2017 byl všemi členskými státy dokončen proces ratifikace, s výjimkou Chorvatské republiky. </w:t>
      </w:r>
    </w:p>
    <w:p>
      <w:pPr>
        <w:pStyle w:val="c01pointaltn"/>
        <w:jc w:val="both"/>
        <w:rPr>
          <w:noProof/>
        </w:rPr>
      </w:pPr>
      <w:r>
        <w:rPr>
          <w:noProof/>
        </w:rPr>
        <w:t>Chorvatská republika přistoupí k dohodě v souladu s postupem stanoveným v aktu o přistoupení připojeném ke smlouvě o přistoupení ze dne 5. prosince 2011 a příslušný protokol o přistoupení Chorvatské republiky k této dohodě byl podepsán v listopadu 2014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Předkládaným návrhem se mění původní návrh Komise (pod číslem KOM(2010) 339 v konečném znění</w:t>
      </w:r>
      <w:r>
        <w:rPr>
          <w:rStyle w:val="FootnoteReference"/>
          <w:noProof/>
        </w:rPr>
        <w:footnoteReference w:id="3"/>
      </w:r>
      <w:r>
        <w:rPr>
          <w:noProof/>
        </w:rPr>
        <w:t>), který byl schválen dne 28. června 2010 a následně předložen Radě, a to zejména s cílem zohlednit vstup v platnost Lisabonské smlouvy a rozsudek Evropského soudního dvora ze dne 28. dubna 2015 ve věci C-28/12. Aby se Radě usnadnilo přezkoumání daného návrhu rozhodnutí, předkládá se celé jeho znění jako pozměněný návrh.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</w:t>
      </w:r>
    </w:p>
    <w:p>
      <w:pPr>
        <w:rPr>
          <w:noProof/>
          <w:u w:color="000000"/>
          <w:bdr w:val="nil"/>
        </w:rPr>
      </w:pPr>
      <w:r>
        <w:rPr>
          <w:noProof/>
        </w:rPr>
        <w:t xml:space="preserve"> Ustanovení čl. 100 odst. 2 SFEU ve spojení s čl. 218 odst. 6 písm. a) bodem v) SFEU.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HODNOCENÍ EX-POST, KONZULTACÍ SE ZÚČASTNĚNÝMI STRANAMI A POSOUZENÍ DOPADŮ</w:t>
      </w:r>
    </w:p>
    <w:p>
      <w:pPr>
        <w:rPr>
          <w:noProof/>
        </w:rPr>
      </w:pPr>
      <w:r>
        <w:rPr>
          <w:noProof/>
        </w:rPr>
        <w:t>Nevztahuje se na tento návrh.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provádění a způsob monitorování, hodnocení a podávání zpráv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Nevztahuje se na tento návrh.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2010/0186 (NLE)</w:t>
      </w:r>
    </w:p>
    <w:p>
      <w:pPr>
        <w:pStyle w:val="Statut"/>
        <w:rPr>
          <w:noProof/>
        </w:rPr>
      </w:pPr>
      <w:r>
        <w:rPr>
          <w:noProof/>
        </w:rPr>
        <w:t>Pozměněný 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uzavření dohody o společném leteckém prostoru mezi Evropskou unií a jejími členskými státy na jedné straně a Gruzií na straně druhé jménem Unie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rFonts w:eastAsia="Times New Roman"/>
          <w:noProof/>
        </w:rPr>
      </w:pPr>
      <w:r>
        <w:rPr>
          <w:noProof/>
        </w:rPr>
        <w:t>s ohledem na Smlouvu o fungování Evropské unie, a zejména na čl. 100 odst. 2 ve spojení s čl. 218 odst. 6 druhým pododstavcem písm. a) bodem v) této smlouvy,</w:t>
      </w:r>
    </w:p>
    <w:p>
      <w:pPr>
        <w:rPr>
          <w:rFonts w:eastAsia="Times New Roman"/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s ohledem na souhlas Evropského parlamentu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V souladu s rozhodnutím Rady, kterým se Komise pověřuje k zahájení jednání, sjednala Komise jménem Evropské unie a jejích členských států s Gruzií dohodu o společném leteckém prostoru (dále jen „dohoda“).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 souladu s rozhodnutím Rady a zástupců vlád členských států Evropské unie zasedajících v Radě 2012/708/EU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byla dohoda dne 2. prosince 2010 podepsána s výhradou jejího pozdějšího uzavření.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Dohoda byla ratifikována všemi členskými státy, s výjimkou Chorvatské republiky. Chorvatská republika přistoupí k dohodě v souladu s postupem stanoveným v aktu o přistoupení připojeném ke smlouvě o přistoupení ze dne 5. prosince 2011 a příslušný protokol o přistoupení Chorvatské republiky k této smlouvě byl podepsán v listopadu 2014.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Dohoda by nyní měla být schválena jménem Unie.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Články 3 a 4 rozhodnutí 2012/708/EU obsahují ustanovení o rozhodování a zastupování, pokud jde o různé záležitosti stanovené v dohodě. Vzhledem k rozsudku Evropského soudního dvora ze dne 28. dubna 2015 ve věci C-28/12 by se uvedená ustanovení měla přestat uplatňovat. S ohledem na Smlouvy nejsou nová ustanovení týkající se těchto záležitostí ani ustanovení o povinnostech členských států poskytovat informace nutná. Ustanovení článků 3, 4 a 5 rozhodnutí 2012/708/ES by proto měla pozbýt platnosti ke dni vstupu tohoto rozhodnutí v platnost,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rFonts w:eastAsia="Times New Roman"/>
          <w:noProof/>
        </w:rPr>
      </w:pPr>
      <w:r>
        <w:rPr>
          <w:noProof/>
        </w:rPr>
        <w:t>Dohoda o společném leteckém prostoru mezi Evropskou unií a jejími členskými státy na jedné straně a Gruzií na straně druhé (dále jen „dohoda“) se schvaluje jménem Unie.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Článek 2</w:t>
      </w:r>
    </w:p>
    <w:p>
      <w:pPr>
        <w:rPr>
          <w:rFonts w:eastAsia="Times New Roman"/>
          <w:noProof/>
        </w:rPr>
      </w:pPr>
      <w:r>
        <w:rPr>
          <w:noProof/>
        </w:rPr>
        <w:t xml:space="preserve">Předseda Rady určí osobu zmocněnou (osoby zmocněné) uložit jménem Evropské unie schvalovací listinu stanovenou článkem 29 dohody, a vyjádřit tím souhlas Unie být touto dohodou vázána. </w:t>
      </w:r>
    </w:p>
    <w:p>
      <w:pPr>
        <w:rPr>
          <w:rFonts w:eastAsia="Times New Roman"/>
          <w:noProof/>
        </w:rPr>
      </w:pPr>
      <w:r>
        <w:rPr>
          <w:noProof/>
        </w:rPr>
        <w:tab/>
      </w:r>
    </w:p>
    <w:p>
      <w:pPr>
        <w:jc w:val="center"/>
        <w:rPr>
          <w:i/>
          <w:noProof/>
        </w:rPr>
      </w:pPr>
      <w:r>
        <w:rPr>
          <w:i/>
          <w:noProof/>
        </w:rPr>
        <w:t>Článek 3</w:t>
      </w:r>
    </w:p>
    <w:p>
      <w:pPr>
        <w:rPr>
          <w:noProof/>
        </w:rPr>
      </w:pPr>
      <w:r>
        <w:rPr>
          <w:noProof/>
        </w:rPr>
        <w:t>Postoj, který má Unie zaujmout k rozhodnutím smíšeného výboru podle článku 22 dohody, pokud jde o pouhé začlenění právních předpisů Unie do přílohy III (o předpisech upravujících civilní letectví) dohody s výhradou případných potřebných technických úprav, přijímá Komise po konzultaci se zvláštním výborem jmenovaným Radou.</w:t>
      </w:r>
    </w:p>
    <w:p>
      <w:pPr>
        <w:jc w:val="center"/>
        <w:rPr>
          <w:i/>
          <w:noProof/>
        </w:rPr>
      </w:pPr>
      <w:r>
        <w:rPr>
          <w:i/>
          <w:noProof/>
        </w:rPr>
        <w:t>Článek 4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Ustanovení článků 3, 4 a 5 rozhodnutí 2012/708/EU pozbývají platnosti ke dni vstupu tohoto rozhodnutí v platnost. </w:t>
      </w:r>
    </w:p>
    <w:p>
      <w:pPr>
        <w:pStyle w:val="Titrearticle"/>
        <w:rPr>
          <w:noProof/>
        </w:rPr>
      </w:pPr>
      <w:r>
        <w:rPr>
          <w:noProof/>
        </w:rPr>
        <w:t>Článek 5</w:t>
      </w:r>
    </w:p>
    <w:p>
      <w:pPr>
        <w:keepLines/>
        <w:spacing w:after="480"/>
        <w:rPr>
          <w:rFonts w:eastAsia="Times New Roman"/>
          <w:noProof/>
        </w:rPr>
      </w:pPr>
      <w:r>
        <w:rPr>
          <w:noProof/>
        </w:rPr>
        <w:t>Toto rozhodnutí vstupuje v platnost dnem přijetí.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"/>
      </w:pPr>
      <w:r>
        <w:rPr>
          <w:rStyle w:val="FootnoteReference"/>
        </w:rPr>
        <w:footnoteRef/>
      </w:r>
      <w:r>
        <w:tab/>
        <w:t>2012/708/EU: Rozhodnutí Rady a zástupců vlád členských států, zasedajících v Radě ze dne 15. října 2010 o podpisu a prozatímním provádění Dohody mezi Evropskou unií a jejími členskými státy na jedné straně a Gruzií na straně druhé o společném leteckém prostoru (Úř. věst. L 321, 20.11.2012, s. 1).</w:t>
      </w:r>
    </w:p>
  </w:footnote>
  <w:footnote w:id="2">
    <w:p>
      <w:pPr>
        <w:pStyle w:val="Footnote"/>
      </w:pPr>
      <w:r>
        <w:rPr>
          <w:rStyle w:val="FootnoteReference"/>
        </w:rPr>
        <w:footnoteRef/>
      </w:r>
      <w:r>
        <w:tab/>
        <w:t>Rozhodnutí Rady 2014/928/EU ze dne 8. října 2014 o podpisu, jménem Evropské unie a jejích členských států, a o prozatímním provádění Protokolu, kterým se mění Dohoda o společném leteckém prostoru mezi Evropskou unií a jejími členskými státy na jedné straně a Gruzií na straně druhé s ohledem na přistoupení Chorvatské republiky k Evropské unii (Úř. věst. L 365, 19.12.2014, s. 1).</w:t>
      </w:r>
    </w:p>
  </w:footnote>
  <w:footnote w:id="3">
    <w:p>
      <w:pPr>
        <w:pStyle w:val="Footnote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http://eur-lex.europa.eu/legal-content/CS/TXT/PDF/?uri=CELEX:52010PC0339&amp;from=CS</w:t>
        </w:r>
      </w:hyperlink>
      <w:r>
        <w:t xml:space="preserve">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Úř. věst. C , , s. .</w:t>
      </w:r>
    </w:p>
  </w:footnote>
  <w:footnote w:id="5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Úř. věst. L 321, 20.11.2012.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5A46F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BBA97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2C2F8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7C26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A06E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A6F1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EC69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B9CFB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0 07:37:3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4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11EB9B8-314E-438A-A5DF-BBBBFD2CC440"/>
    <w:docVar w:name="LW_COVERPAGE_TYPE" w:val="1"/>
    <w:docVar w:name="LW_CROSSREFERENCE" w:val="&lt;UNUSED&gt;"/>
    <w:docVar w:name="LW_DocType" w:val="COM"/>
    <w:docVar w:name="LW_EMISSION" w:val="28.6.2018"/>
    <w:docVar w:name="LW_EMISSION_ISODATE" w:val="2018-06-28"/>
    <w:docVar w:name="LW_EMISSION_LOCATION" w:val="BRX"/>
    <w:docVar w:name="LW_EMISSION_PREFIX" w:val="V Bruselu dne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86"/>
    <w:docVar w:name="LW_REF.II.NEW.CP_YEAR" w:val="2010"/>
    <w:docVar w:name="LW_REF.INST.NEW" w:val="COM"/>
    <w:docVar w:name="LW_REF.INST.NEW_ADOPTED" w:val="final"/>
    <w:docVar w:name="LW_REF.INST.NEW_TEXT" w:val="(2018) 4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ozm\u283?n\u283?ný návrh"/>
    <w:docVar w:name="LW_SUPERTITRE" w:val="&lt;UNUSED&gt;"/>
    <w:docVar w:name="LW_TITRE.OBJ.CP" w:val="o uzav\u345?ení dohody o spole\u269?ném leteckém prostoru mezi Evropskou unií a jejími \u269?lenskými státy na jedné stran\u283? a Gruzií na stran\u283? druhé jménem Unie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tapplicable">
    <w:name w:val="Not applicable"/>
    <w:basedOn w:val="ManualHeading2"/>
    <w:rPr>
      <w:rFonts w:eastAsia="Arial Unicode MS"/>
      <w:u w:color="000000"/>
      <w:bdr w:val="ni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c01pointaltn">
    <w:name w:val="c01pointaltn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Footnote">
    <w:name w:val="Footnote"/>
    <w:basedOn w:val="Default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tapplicable">
    <w:name w:val="Not applicable"/>
    <w:basedOn w:val="ManualHeading2"/>
    <w:rPr>
      <w:rFonts w:eastAsia="Arial Unicode MS"/>
      <w:u w:color="000000"/>
      <w:bdr w:val="ni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c01pointaltn">
    <w:name w:val="c01pointaltn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Footnote">
    <w:name w:val="Footnote"/>
    <w:basedOn w:val="Default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PDF/?uri=CELEX:52010PC0339&amp;from=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CF86-F0C5-4B07-BCE0-6F8272A7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734</Words>
  <Characters>4078</Characters>
  <Application>Microsoft Office Word</Application>
  <DocSecurity>0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2017-10-05T07:02:00Z</cp:lastPrinted>
  <dcterms:created xsi:type="dcterms:W3CDTF">2018-06-11T15:12:00Z</dcterms:created>
  <dcterms:modified xsi:type="dcterms:W3CDTF">2018-06-20T05:37:00Z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SG-010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