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1C05B32F-939C-44BA-AC60-502562EA1841" style="width:450.45pt;height:366.3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spacing w:before="100" w:beforeAutospacing="1"/>
        <w:rPr>
          <w:rFonts w:eastAsia="Times New Roman"/>
          <w:noProof/>
          <w:szCs w:val="24"/>
        </w:rPr>
      </w:pPr>
      <w:r>
        <w:rPr>
          <w:noProof/>
        </w:rPr>
        <w:t>Comisia a negociat, în numele Uniunii Europene și al statelor sale membre, Acordul privind spațiul aerian comun cu Georgia (denumit în continuare „acordul”) în conformitate cu decizia Consiliului de autorizare a Comisiei în vederea deschiderii negocierilor.</w:t>
      </w:r>
    </w:p>
    <w:p>
      <w:pPr>
        <w:rPr>
          <w:noProof/>
        </w:rPr>
      </w:pPr>
      <w:r>
        <w:rPr>
          <w:noProof/>
        </w:rPr>
        <w:t>Politica de vecinătate a UE urmărește, printre altele, înlocuirea acestei rețele de acorduri bilaterale prin înființarea unui spațiu aerian comun între UE și țările sale vecine. Acordul are ca obiective deschiderea treptată a piețelor în ceea ce privește accesul reciproc la rute și la capacitate pe bază de reciprocitate, nediscriminarea și asigurarea unor condiții de concurență echitabile pentru agenții economici pe baza principiilor tratatelor UE, precum și alinierea legislației georgiene în domeniul aviației la legislația UE în privința unor chestiuni precum siguranța, securitatea și managementul traficului aerian.</w:t>
      </w:r>
    </w:p>
    <w:p>
      <w:pPr>
        <w:spacing w:before="100" w:beforeAutospacing="1"/>
        <w:rPr>
          <w:rFonts w:eastAsia="Times New Roman"/>
          <w:noProof/>
        </w:rPr>
      </w:pPr>
      <w:r>
        <w:rPr>
          <w:noProof/>
        </w:rPr>
        <w:t>Acordul a fost semnat la 2 decembrie 2010</w:t>
      </w:r>
      <w:r>
        <w:rPr>
          <w:rStyle w:val="FootnoteReference"/>
          <w:noProof/>
        </w:rPr>
        <w:footnoteReference w:id="1"/>
      </w:r>
      <w:r>
        <w:rPr>
          <w:noProof/>
        </w:rPr>
        <w:t xml:space="preserve">. În ceea ce privește UE, atât Uniunea, cât și statele sale membre sunt părți la acest acord. Procesul de ratificare a fost finalizat de către toate statele membre la 9 februarie 2017, cu excepția Republicii Croația. </w:t>
      </w:r>
    </w:p>
    <w:p>
      <w:pPr>
        <w:pStyle w:val="c01pointaltn"/>
        <w:jc w:val="both"/>
        <w:rPr>
          <w:noProof/>
        </w:rPr>
      </w:pPr>
      <w:r>
        <w:rPr>
          <w:noProof/>
        </w:rPr>
        <w:t>Republica Croația aderă la acord în conformitate cu procedura prevăzută în Actul de aderare anexat la Tratatul de aderare din 5 decembrie 2011, iar Protocolul relevant de aderare a Republicii Croația la acest acord a fost semnat în noiembrie 2014</w:t>
      </w:r>
      <w:r>
        <w:rPr>
          <w:rStyle w:val="FootnoteReference"/>
          <w:noProof/>
        </w:rPr>
        <w:footnoteReference w:id="2"/>
      </w:r>
      <w:r>
        <w:rPr>
          <w:noProof/>
        </w:rPr>
        <w:t>.</w:t>
      </w:r>
    </w:p>
    <w:p>
      <w:pPr>
        <w:rPr>
          <w:noProof/>
        </w:rPr>
      </w:pPr>
      <w:r>
        <w:rPr>
          <w:noProof/>
        </w:rPr>
        <w:t>În special pentru a ține seama de intrarea în vigoare a Tratatului de la Lisabona și în urma hotărârii Curții de Justiție a Uniunii Europene din 28 aprilie 2015 în cauza C-28/12, prezenta propunere modifică propunerea inițială a Comisiei [COM(2010)339 final</w:t>
      </w:r>
      <w:r>
        <w:rPr>
          <w:rStyle w:val="FootnoteReference"/>
          <w:noProof/>
        </w:rPr>
        <w:footnoteReference w:id="3"/>
      </w:r>
      <w:r>
        <w:rPr>
          <w:noProof/>
        </w:rPr>
        <w:t>], care a fost adoptată la 28 iunie 2010 și prezentată ulterior Consiliului. Pentru a înlesni examinarea de către Consiliu, textul relevant este prezentat în întregime ca propunere modificată.</w:t>
      </w:r>
    </w:p>
    <w:p>
      <w:pPr>
        <w:pStyle w:val="ManualHeading1"/>
        <w:rPr>
          <w:noProof/>
        </w:rPr>
      </w:pPr>
      <w:r>
        <w:rPr>
          <w:noProof/>
        </w:rPr>
        <w:t>2.</w:t>
      </w:r>
      <w:r>
        <w:rPr>
          <w:noProof/>
        </w:rPr>
        <w:tab/>
        <w:t>TEMEIUL JURIDIC</w:t>
      </w:r>
    </w:p>
    <w:p>
      <w:pPr>
        <w:rPr>
          <w:noProof/>
          <w:u w:color="000000"/>
          <w:bdr w:val="nil"/>
        </w:rPr>
      </w:pPr>
      <w:r>
        <w:rPr>
          <w:noProof/>
        </w:rPr>
        <w:t>Articolul 100 alineatul (2) din TFUE, coroborat cu articolul 218 alineatul (6) litera (a) punctul v) din TFUE.</w:t>
      </w:r>
    </w:p>
    <w:p>
      <w:pPr>
        <w:pStyle w:val="ManualHeading1"/>
        <w:rPr>
          <w:noProof/>
        </w:rPr>
      </w:pPr>
      <w:r>
        <w:rPr>
          <w:noProof/>
        </w:rPr>
        <w:t>3.</w:t>
      </w:r>
      <w:r>
        <w:rPr>
          <w:noProof/>
        </w:rPr>
        <w:tab/>
        <w:t xml:space="preserve">REZULTATELE EVALUĂRILOR </w:t>
      </w:r>
      <w:r>
        <w:rPr>
          <w:i/>
          <w:noProof/>
        </w:rPr>
        <w:t>EX POST</w:t>
      </w:r>
      <w:r>
        <w:rPr>
          <w:noProof/>
        </w:rPr>
        <w:t>, ALE CONSULTĂRILOR CU PĂRȚILE INTERESATE ȘI ALE EVALUĂRII IMPACTULUI</w:t>
      </w:r>
    </w:p>
    <w:p>
      <w:pPr>
        <w:rPr>
          <w:noProof/>
        </w:rPr>
      </w:pPr>
      <w:r>
        <w:rPr>
          <w:noProof/>
        </w:rPr>
        <w:t>Nu se aplică.</w:t>
      </w:r>
    </w:p>
    <w:p>
      <w:pPr>
        <w:pStyle w:val="ManualHeading1"/>
        <w:rPr>
          <w:noProof/>
        </w:rPr>
      </w:pPr>
      <w:r>
        <w:rPr>
          <w:noProof/>
        </w:rPr>
        <w:t>4.</w:t>
      </w:r>
      <w:r>
        <w:rPr>
          <w:noProof/>
        </w:rPr>
        <w:tab/>
        <w:t>IMPLICAȚIILE BUGETARE</w:t>
      </w:r>
    </w:p>
    <w:p>
      <w:pPr>
        <w:pBdr>
          <w:top w:val="nil"/>
          <w:left w:val="nil"/>
          <w:bottom w:val="nil"/>
          <w:right w:val="nil"/>
          <w:between w:val="nil"/>
          <w:bar w:val="nil"/>
        </w:pBdr>
        <w:spacing w:before="0" w:after="240"/>
        <w:rPr>
          <w:rFonts w:eastAsia="Arial Unicode MS"/>
          <w:noProof/>
        </w:rPr>
      </w:pPr>
      <w:r>
        <w:rPr>
          <w:noProof/>
        </w:rPr>
        <w:t>Nu se aplică.</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rPr>
        <w:t>•</w:t>
      </w:r>
      <w:r>
        <w:rPr>
          <w:noProof/>
        </w:rPr>
        <w:tab/>
        <w:t>Planuri de punere în aplicare și măsuri de monitorizare, evaluare și raportare</w:t>
      </w:r>
    </w:p>
    <w:p>
      <w:pPr>
        <w:pBdr>
          <w:top w:val="nil"/>
          <w:left w:val="nil"/>
          <w:bottom w:val="nil"/>
          <w:right w:val="nil"/>
          <w:between w:val="nil"/>
          <w:bar w:val="nil"/>
        </w:pBdr>
        <w:spacing w:before="0" w:after="240"/>
        <w:rPr>
          <w:noProof/>
        </w:rPr>
      </w:pPr>
      <w:r>
        <w:rPr>
          <w:noProof/>
        </w:rPr>
        <w:t>Nu se aplică.</w:t>
      </w:r>
    </w:p>
    <w:p>
      <w:pPr>
        <w:pBdr>
          <w:top w:val="nil"/>
          <w:left w:val="nil"/>
          <w:bottom w:val="nil"/>
          <w:right w:val="nil"/>
          <w:between w:val="nil"/>
          <w:bar w:val="nil"/>
        </w:pBdr>
        <w:spacing w:before="0" w:after="240"/>
        <w:rPr>
          <w:noProof/>
        </w:rPr>
      </w:pP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2010/0186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referitoare la încheierea, în numele Uniunii, a Acordului privind spațiul aerian comun între Uniunea Europeană și statele sale membre, pe de o parte, și Georgia, pe de altă parte</w:t>
      </w:r>
    </w:p>
    <w:p>
      <w:pPr>
        <w:pStyle w:val="Institutionquiagit"/>
        <w:rPr>
          <w:noProof/>
        </w:rPr>
      </w:pPr>
      <w:r>
        <w:rPr>
          <w:noProof/>
        </w:rPr>
        <w:t>CONSILIUL UNIUNII EUROPENE,</w:t>
      </w:r>
    </w:p>
    <w:p>
      <w:pPr>
        <w:rPr>
          <w:rFonts w:eastAsia="Times New Roman"/>
          <w:noProof/>
        </w:rPr>
      </w:pPr>
      <w:r>
        <w:rPr>
          <w:noProof/>
        </w:rPr>
        <w:t>având în vedere Tratatul privind funcționarea Uniunii Europene, în special articolul 100 alineatul (2), coroborat cu articolul 218 alineatul (6) litera (a) punctul v),</w:t>
      </w:r>
    </w:p>
    <w:p>
      <w:pPr>
        <w:rPr>
          <w:rFonts w:eastAsia="Times New Roman"/>
          <w:noProof/>
        </w:rPr>
      </w:pPr>
      <w:r>
        <w:rPr>
          <w:noProof/>
        </w:rPr>
        <w:t>având în vedere propunerea Comisiei Europene,</w:t>
      </w:r>
    </w:p>
    <w:p>
      <w:pPr>
        <w:rPr>
          <w:noProof/>
        </w:rPr>
      </w:pPr>
      <w:r>
        <w:rPr>
          <w:noProof/>
        </w:rPr>
        <w:t>având în vedere aprobarea Parlamentului European</w:t>
      </w:r>
      <w:r>
        <w:rPr>
          <w:rStyle w:val="FootnoteReference"/>
          <w:noProof/>
        </w:rPr>
        <w:footnoteReference w:id="4"/>
      </w:r>
      <w:r>
        <w:rPr>
          <w:noProof/>
        </w:rPr>
        <w:t xml:space="preserve">, </w:t>
      </w:r>
    </w:p>
    <w:p>
      <w:pPr>
        <w:rPr>
          <w:noProof/>
        </w:rPr>
      </w:pPr>
      <w:r>
        <w:rPr>
          <w:noProof/>
        </w:rPr>
        <w:t>întrucât:</w:t>
      </w:r>
    </w:p>
    <w:p>
      <w:pPr>
        <w:pStyle w:val="ManualConsidrant"/>
        <w:rPr>
          <w:noProof/>
        </w:rPr>
      </w:pPr>
      <w:r>
        <w:t>(1)</w:t>
      </w:r>
      <w:r>
        <w:tab/>
      </w:r>
      <w:r>
        <w:rPr>
          <w:noProof/>
        </w:rPr>
        <w:t>Comisia a negociat, în numele Uniunii Europene și al statelor sale membre, Acordul privind spațiul aerian comun cu Georgia (denumit în continuare „acordul”) în conformitate cu decizia Consiliului de autorizare a Comisiei în vederea deschiderii negocierilor.</w:t>
      </w:r>
    </w:p>
    <w:p>
      <w:pPr>
        <w:pStyle w:val="ManualConsidrant"/>
        <w:rPr>
          <w:noProof/>
        </w:rPr>
      </w:pPr>
      <w:r>
        <w:t>(2)</w:t>
      </w:r>
      <w:r>
        <w:tab/>
      </w:r>
      <w:r>
        <w:rPr>
          <w:noProof/>
        </w:rPr>
        <w:t>Acordul a fost semnat la 2 decembrie 2010, sub rezerva încheierii sale la o dată ulterioară, în conformitate cu Decizia 2012/708/UE a Consiliului și a reprezentanților guvernelor statelor membre ale Uniunii Europene, reuniți în cadrul Consiliului</w:t>
      </w:r>
      <w:r>
        <w:rPr>
          <w:rStyle w:val="FootnoteReference"/>
          <w:noProof/>
        </w:rPr>
        <w:footnoteReference w:id="5"/>
      </w:r>
      <w:r>
        <w:rPr>
          <w:noProof/>
        </w:rPr>
        <w:t xml:space="preserve">. </w:t>
      </w:r>
    </w:p>
    <w:p>
      <w:pPr>
        <w:pStyle w:val="ManualConsidrant"/>
        <w:rPr>
          <w:noProof/>
        </w:rPr>
      </w:pPr>
      <w:r>
        <w:t>(3)</w:t>
      </w:r>
      <w:r>
        <w:tab/>
      </w:r>
      <w:r>
        <w:rPr>
          <w:noProof/>
        </w:rPr>
        <w:t>Acordul a fost ratificat de toate statele membre, cu excepția Republicii Croația. Republica Croația aderă la acord în conformitate cu procedura prevăzută în Actul de aderare anexat la Tratatul de aderare din 5 decembrie 2011, iar Protocolul relevant de aderare a Republicii Croația la acest acord a fost semnat în noiembrie 2014.</w:t>
      </w:r>
    </w:p>
    <w:p>
      <w:pPr>
        <w:pStyle w:val="ManualConsidrant"/>
        <w:rPr>
          <w:noProof/>
        </w:rPr>
      </w:pPr>
      <w:r>
        <w:t>(4)</w:t>
      </w:r>
      <w:r>
        <w:tab/>
      </w:r>
      <w:r>
        <w:rPr>
          <w:noProof/>
        </w:rPr>
        <w:t>Acordul ar trebui aprobat în numele Uniunii.</w:t>
      </w:r>
    </w:p>
    <w:p>
      <w:pPr>
        <w:pStyle w:val="ManualConsidrant"/>
        <w:rPr>
          <w:noProof/>
        </w:rPr>
      </w:pPr>
      <w:r>
        <w:t>(5)</w:t>
      </w:r>
      <w:r>
        <w:tab/>
      </w:r>
      <w:r>
        <w:rPr>
          <w:noProof/>
        </w:rPr>
        <w:t>Articolele 3 și 4 din Decizia 2012/708/UE conțin dispoziții referitoare la procesul de luare a deciziilor și la reprezentare cu privire la diverse aspecte prevăzute în acord. Având în vedere hotărârea Curții de Justiție a Uniunii Europene din 28 aprilie 2015 în cauza C-28/12, aplicarea dispozițiilor în cauză ar trebui suspendată. Având în vedere tratatele, nu sunt necesare noi dispoziții cu privire la aceste aspecte și nici dispoziții privind obligațiile de informare ale statelor membre. În consecință, articolele 3, 4 și 5 din Decizia 2012/708/UE ar trebui să înceteze să se aplice la data intrării în vigoare a prezentei decizii,</w:t>
      </w:r>
    </w:p>
    <w:p>
      <w:pPr>
        <w:pStyle w:val="Formuledadoption"/>
        <w:rPr>
          <w:noProof/>
        </w:rPr>
      </w:pPr>
      <w:r>
        <w:rPr>
          <w:noProof/>
        </w:rPr>
        <w:t xml:space="preserve">ADOPTĂ PREZENTA DECIZIE: </w:t>
      </w:r>
    </w:p>
    <w:p>
      <w:pPr>
        <w:pStyle w:val="Titrearticle"/>
        <w:rPr>
          <w:noProof/>
        </w:rPr>
      </w:pPr>
      <w:r>
        <w:rPr>
          <w:noProof/>
        </w:rPr>
        <w:t>Articolul 1</w:t>
      </w:r>
    </w:p>
    <w:p>
      <w:pPr>
        <w:rPr>
          <w:rFonts w:eastAsia="Times New Roman"/>
          <w:noProof/>
        </w:rPr>
      </w:pPr>
      <w:r>
        <w:rPr>
          <w:noProof/>
        </w:rPr>
        <w:t>Se aprobă, în numele Uniunii, Acordul privind spațiul aerian comun între Uniunea Europeană și statele sale membre, pe de o parte, și Georgia, pe de altă parte (denumit în continuare „acordul”).</w:t>
      </w:r>
    </w:p>
    <w:p>
      <w:pPr>
        <w:pStyle w:val="Titrearticle"/>
        <w:keepNext w:val="0"/>
        <w:rPr>
          <w:noProof/>
        </w:rPr>
      </w:pPr>
      <w:r>
        <w:rPr>
          <w:noProof/>
        </w:rPr>
        <w:t>Articolul 2</w:t>
      </w:r>
    </w:p>
    <w:p>
      <w:pPr>
        <w:rPr>
          <w:rFonts w:eastAsia="Times New Roman"/>
          <w:noProof/>
        </w:rPr>
      </w:pPr>
      <w:r>
        <w:rPr>
          <w:noProof/>
        </w:rPr>
        <w:t xml:space="preserve">Președintele Consiliului desemnează persoana împuternicită sau persoanele împuternicite să depună, în numele Uniunii Europene, instrumentul de aprobare prevăzut la articolul 29 din acord, prin care se exprimă consimțământul Uniunii de a-și asuma obligații în temeiul acordului. </w:t>
      </w:r>
    </w:p>
    <w:p>
      <w:pPr>
        <w:rPr>
          <w:rFonts w:eastAsia="Times New Roman"/>
          <w:noProof/>
        </w:rPr>
      </w:pPr>
      <w:r>
        <w:rPr>
          <w:noProof/>
        </w:rPr>
        <w:tab/>
      </w:r>
    </w:p>
    <w:p>
      <w:pPr>
        <w:jc w:val="center"/>
        <w:rPr>
          <w:i/>
          <w:noProof/>
        </w:rPr>
      </w:pPr>
      <w:r>
        <w:rPr>
          <w:i/>
          <w:noProof/>
        </w:rPr>
        <w:t>Articolul 3</w:t>
      </w:r>
    </w:p>
    <w:p>
      <w:pPr>
        <w:rPr>
          <w:noProof/>
        </w:rPr>
      </w:pPr>
      <w:r>
        <w:rPr>
          <w:noProof/>
        </w:rPr>
        <w:t>Comisia adoptă poziția care urmează a fi luată de Uniune în ceea ce privește deciziile comitetului mixt în temeiul articolului 22 din acord privind doar includerea legislației Uniunii în anexa III (Norme aplicabile aviației civile) la acord, sub rezerva modificărilor tehnice necesare, după consultarea unui comitet special desemnat de Consiliu.</w:t>
      </w:r>
    </w:p>
    <w:p>
      <w:pPr>
        <w:jc w:val="center"/>
        <w:rPr>
          <w:i/>
          <w:noProof/>
        </w:rPr>
      </w:pPr>
      <w:r>
        <w:rPr>
          <w:i/>
          <w:noProof/>
        </w:rPr>
        <w:t>Articolul 4</w:t>
      </w:r>
    </w:p>
    <w:p>
      <w:pPr>
        <w:rPr>
          <w:rFonts w:eastAsia="Times New Roman"/>
          <w:noProof/>
          <w:szCs w:val="24"/>
        </w:rPr>
      </w:pPr>
      <w:r>
        <w:rPr>
          <w:noProof/>
        </w:rPr>
        <w:t xml:space="preserve">Articolele 3, 4 și 5 din Decizia 2012/708/UE încetează să se aplice la data intrării în vigoare a prezentei decizii. </w:t>
      </w:r>
    </w:p>
    <w:p>
      <w:pPr>
        <w:pStyle w:val="Titrearticle"/>
        <w:rPr>
          <w:noProof/>
        </w:rPr>
      </w:pPr>
      <w:r>
        <w:rPr>
          <w:noProof/>
        </w:rPr>
        <w:t>Articolul 5</w:t>
      </w:r>
    </w:p>
    <w:p>
      <w:pPr>
        <w:keepLines/>
        <w:spacing w:after="480"/>
        <w:rPr>
          <w:rFonts w:eastAsia="Times New Roman"/>
          <w:noProof/>
        </w:rPr>
      </w:pPr>
      <w:r>
        <w:rPr>
          <w:noProof/>
        </w:rPr>
        <w:t>Prezenta decizie intră în vigoare la data adoptării.</w:t>
      </w: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
      </w:pPr>
      <w:r>
        <w:rPr>
          <w:rStyle w:val="FootnoteReference"/>
        </w:rPr>
        <w:footnoteRef/>
      </w:r>
      <w:r>
        <w:tab/>
        <w:t>Decizia 2012/708/UE a Consiliului și a reprezentanților guvernelor statelor membre, reuniți în cadrul Consiliului din 15 octombrie 2010 privind semnarea și aplicarea cu titlu provizoriu a Acordului privind spațiul aerian comun între Uniunea Europeană și statele membre ale acesteia, pe de o parte, și Georgia, pe de altă parte, JO L 321, 20.11.2012, p. 1.</w:t>
      </w:r>
    </w:p>
  </w:footnote>
  <w:footnote w:id="2">
    <w:p>
      <w:pPr>
        <w:pStyle w:val="Footnote"/>
      </w:pPr>
      <w:r>
        <w:rPr>
          <w:rStyle w:val="FootnoteReference"/>
        </w:rPr>
        <w:footnoteRef/>
      </w:r>
      <w:r>
        <w:tab/>
        <w:t>Decizia Consiliului 2014/928/UE din 8 octombrie 2014 privind semnarea în numele Uniunii și al statelor sale membre și aplicarea provizorie a unui Protocol de modificare a Acordului privind spațiul aerian comun dintre Uniunea Europeană și statele sale membre, pe de o parte și Georgia, pe de altă parte, pentru a se ține seama de aderarea Republicii Croația la Uniunea Europeană, JO L 365, 19.12.2014, p. 1.</w:t>
      </w:r>
    </w:p>
  </w:footnote>
  <w:footnote w:id="3">
    <w:p>
      <w:pPr>
        <w:pStyle w:val="Footnote"/>
      </w:pPr>
      <w:r>
        <w:rPr>
          <w:rStyle w:val="FootnoteReference"/>
        </w:rPr>
        <w:footnoteRef/>
      </w:r>
      <w:r>
        <w:tab/>
      </w:r>
      <w:hyperlink r:id="rId1">
        <w:r>
          <w:rPr>
            <w:rStyle w:val="Hyperlink"/>
          </w:rPr>
          <w:t>http://eur-lex.europa.eu/legal-content/RO/TXT/?uri=CELEX:52010PC0339</w:t>
        </w:r>
      </w:hyperlink>
      <w:r>
        <w:t xml:space="preserve"> </w:t>
      </w:r>
    </w:p>
  </w:footnote>
  <w:footnote w:id="4">
    <w:p>
      <w:pPr>
        <w:pStyle w:val="FootnoteText"/>
      </w:pPr>
      <w:r>
        <w:rPr>
          <w:rStyle w:val="FootnoteReference"/>
        </w:rPr>
        <w:footnoteRef/>
      </w:r>
      <w:r>
        <w:tab/>
        <w:t>JO C , , p. .</w:t>
      </w:r>
    </w:p>
  </w:footnote>
  <w:footnote w:id="5">
    <w:p>
      <w:pPr>
        <w:pStyle w:val="FootnoteText"/>
        <w:rPr>
          <w:lang w:val="pl-PL"/>
        </w:rPr>
      </w:pPr>
      <w:r>
        <w:rPr>
          <w:rStyle w:val="FootnoteReference"/>
        </w:rPr>
        <w:footnoteRef/>
      </w:r>
      <w:r>
        <w:tab/>
        <w:t>JO L 321 din 20.11.2012.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5A46F1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BBA97F2"/>
    <w:lvl w:ilvl="0">
      <w:start w:val="1"/>
      <w:numFmt w:val="decimal"/>
      <w:pStyle w:val="ListNumber3"/>
      <w:lvlText w:val="%1."/>
      <w:lvlJc w:val="left"/>
      <w:pPr>
        <w:tabs>
          <w:tab w:val="num" w:pos="926"/>
        </w:tabs>
        <w:ind w:left="926" w:hanging="360"/>
      </w:pPr>
    </w:lvl>
  </w:abstractNum>
  <w:abstractNum w:abstractNumId="2">
    <w:nsid w:val="FFFFFF7F"/>
    <w:multiLevelType w:val="singleLevel"/>
    <w:tmpl w:val="D2C2F88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07C26B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EA06E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A6F1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EC69844"/>
    <w:lvl w:ilvl="0">
      <w:start w:val="1"/>
      <w:numFmt w:val="decimal"/>
      <w:pStyle w:val="ListNumber"/>
      <w:lvlText w:val="%1."/>
      <w:lvlJc w:val="left"/>
      <w:pPr>
        <w:tabs>
          <w:tab w:val="num" w:pos="360"/>
        </w:tabs>
        <w:ind w:left="360" w:hanging="360"/>
      </w:pPr>
    </w:lvl>
  </w:abstractNum>
  <w:abstractNum w:abstractNumId="7">
    <w:nsid w:val="FFFFFF89"/>
    <w:multiLevelType w:val="singleLevel"/>
    <w:tmpl w:val="5B9CFB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7"/>
  <w:hideSpellingErrors/>
  <w:hideGrammaticalErrors/>
  <w:attachedTemplate r:id="rId1"/>
  <w:revisionView w:markup="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20 07:38:4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4"/>
    <w:docVar w:name="DQCStatus" w:val="Green"/>
    <w:docVar w:name="DQCVersion" w:val="3"/>
    <w:docVar w:name="DQCWithWarnings" w:val="0"/>
    <w:docVar w:name="LW_CORRIGENDUM" w:val="&lt;UNUSED&gt;"/>
    <w:docVar w:name="LW_COVERPAGE_EXISTS" w:val="True"/>
    <w:docVar w:name="LW_COVERPAGE_GUID" w:val="1C05B32F-939C-44BA-AC60-502562EA1841"/>
    <w:docVar w:name="LW_COVERPAGE_TYPE" w:val="1"/>
    <w:docVar w:name="LW_CROSSREFERENCE" w:val="&lt;UNUSED&gt;"/>
    <w:docVar w:name="LW_DocType" w:val="COM"/>
    <w:docVar w:name="LW_EMISSION" w:val="28.6.2018"/>
    <w:docVar w:name="LW_EMISSION_ISODATE" w:val="2018-06-28"/>
    <w:docVar w:name="LW_EMISSION_LOCATION" w:val="BRX"/>
    <w:docVar w:name="LW_EMISSION_PREFIX" w:val="Bruxelles, "/>
    <w:docVar w:name="LW_EMISSION_SUFFIX" w:val=" "/>
    <w:docVar w:name="LW_ID_DOCMODEL" w:val="SJ-019"/>
    <w:docVar w:name="LW_ID_DOCSIGNATURE" w:val="SJ-019"/>
    <w:docVar w:name="LW_ID_DOCSTRUCTURE" w:val="COM/PL/MOD"/>
    <w:docVar w:name="LW_ID_DOCTYPE" w:val="SG-010"/>
    <w:docVar w:name="LW_ID_STATUT" w:val="SG-010"/>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186"/>
    <w:docVar w:name="LW_REF.II.NEW.CP_YEAR" w:val="2010"/>
    <w:docVar w:name="LW_REF.INST.NEW" w:val="COM"/>
    <w:docVar w:name="LW_REF.INST.NEW_ADOPTED" w:val="final"/>
    <w:docVar w:name="LW_REF.INST.NEW_TEXT" w:val="(2018) 49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nere de"/>
    <w:docVar w:name="LW_SUPERTITRE" w:val="&lt;UNUSED&gt;"/>
    <w:docVar w:name="LW_TITRE.OBJ.CP" w:val="referitoare la încheierea, în numele Uniunii, a Acordului privind spa\u539?iul aerian comun între Uniunea European\u259? \u537?i statele sale membre, pe de o parte, \u537?i Georgia, pe de alt\u259? parte"/>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Notapplicable">
    <w:name w:val="Not applicable"/>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01pointaltn">
    <w:name w:val="c01pointaltn"/>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Default"/>
    <w:pPr>
      <w:jc w:val="both"/>
    </w:pPr>
    <w:rPr>
      <w:rFonts w:ascii="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customStyle="1" w:styleId="Notapplicable">
    <w:name w:val="Not applicable"/>
    <w:basedOn w:val="ManualHeading2"/>
    <w:rPr>
      <w:rFonts w:eastAsia="Arial Unicode MS"/>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customStyle="1" w:styleId="c01pointaltn">
    <w:name w:val="c01pointaltn"/>
    <w:basedOn w:val="Normal"/>
    <w:pPr>
      <w:spacing w:before="100" w:beforeAutospacing="1" w:after="100" w:afterAutospacing="1"/>
      <w:jc w:val="left"/>
    </w:pPr>
    <w:rPr>
      <w:rFonts w:eastAsia="Times New Roman"/>
      <w:szCs w:val="24"/>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Footnote">
    <w:name w:val="Footnote"/>
    <w:basedOn w:val="Default"/>
    <w:pPr>
      <w:jc w:val="both"/>
    </w:pPr>
    <w:rPr>
      <w:rFonts w:ascii="Times New Roman" w:hAnsi="Times New Roman" w:cs="Times New Roman"/>
      <w:sz w:val="20"/>
      <w:szCs w:val="20"/>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TXT/?uri=CELEX:52010PC03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EEFD-B552-4F7E-9261-65F64CFE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Pages>
  <Words>827</Words>
  <Characters>4669</Characters>
  <Application>Microsoft Office Word</Application>
  <DocSecurity>0</DocSecurity>
  <Lines>95</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2017-10-05T07:02:00Z</cp:lastPrinted>
  <dcterms:created xsi:type="dcterms:W3CDTF">2018-06-19T12:50:00Z</dcterms:created>
  <dcterms:modified xsi:type="dcterms:W3CDTF">2018-06-20T05:38:00Z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COM/PL/MOD</vt:lpwstr>
  </property>
  <property fmtid="{D5CDD505-2E9C-101B-9397-08002B2CF9AE}" pid="3" name="Version">
    <vt:lpwstr>5.8.86.0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SG-010</vt:lpwstr>
  </property>
  <property fmtid="{D5CDD505-2E9C-101B-9397-08002B2CF9AE}" pid="9" name="Level of sensitivity">
    <vt:lpwstr>Standard treatment</vt:lpwstr>
  </property>
  <property fmtid="{D5CDD505-2E9C-101B-9397-08002B2CF9AE}" pid="10" name="DQCStatus">
    <vt:lpwstr>Green (DQC version 03)</vt:lpwstr>
  </property>
</Properties>
</file>