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743066B5-0087-4BD4-9123-EBD6F5BC8312" style="width:450.35pt;height:366.1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spacing w:before="100" w:beforeAutospacing="1"/>
        <w:rPr>
          <w:rFonts w:eastAsia="Times New Roman"/>
          <w:noProof/>
          <w:szCs w:val="24"/>
        </w:rPr>
      </w:pPr>
      <w:r>
        <w:rPr>
          <w:noProof/>
        </w:rPr>
        <w:t xml:space="preserve">Komisja wynegocjowała – w imieniu Unii Europejskiej i jej państw członkowskich – umowę o wspólnym obszarze lotniczym z Gruzją (zwaną dalej „umową”) zgodnie z decyzją Rady upoważniającą Komisję do rozpoczęcia negocjacji. </w:t>
      </w:r>
    </w:p>
    <w:p>
      <w:pPr>
        <w:rPr>
          <w:noProof/>
        </w:rPr>
      </w:pPr>
      <w:r>
        <w:rPr>
          <w:noProof/>
        </w:rPr>
        <w:t>Elementem unijnej polityki sąsiedztwa jest zastąpienie sieci umów dwustronnych poprzez ustanowienie wspólnego europejskiego obszaru lotniczego między UE i jej sąsiadami. Umowa ma na celu stopniowe otwieranie rynku w zakresie dostępu do tras i zdolności na zasadzie wzajemności; zagwarantowanie niedyskryminacji i równych warunków działania dla podmiotów gospodarczych w oparciu o zasady ustanowione w traktatach UE; a także dostosowanie gruzińskiego prawa lotniczego do przepisów UE w kwestiach takich jak: bezpieczeństwo lotnicze, ochrona lotnictwa i zarządzanie ruchem lotniczym.</w:t>
      </w:r>
    </w:p>
    <w:p>
      <w:pPr>
        <w:spacing w:before="100" w:beforeAutospacing="1"/>
        <w:rPr>
          <w:rFonts w:eastAsia="Times New Roman"/>
          <w:noProof/>
        </w:rPr>
      </w:pPr>
      <w:r>
        <w:rPr>
          <w:noProof/>
        </w:rPr>
        <w:t>Umowa została podpisana dnia 2 grudnia 2010 r.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Jeśli chodzi o UE, to stronami umowy są zarówno Unia, jak i jej państwa członkowskie. Proces ratyfikacji został zakończony przez wszystkie państwa członkowskie, z wyjątkiem Republiki Chorwacji, w dniu 9 lutego 2017 r. </w:t>
      </w:r>
    </w:p>
    <w:p>
      <w:pPr>
        <w:pStyle w:val="c01pointaltn"/>
        <w:jc w:val="both"/>
        <w:rPr>
          <w:noProof/>
        </w:rPr>
      </w:pPr>
      <w:r>
        <w:rPr>
          <w:noProof/>
        </w:rPr>
        <w:t>Republika Chorwacji przystępuje do umowy zgodnie z procedurą przewidzianą w Akcie przystąpienia załączonym do traktatu o przystąpieniu z dnia 5 grudnia 2011 r., a odpowiedni protokół przystąpienia Republiki Chorwacji do tej umowy został podpisany w listopadzie 2014 r.</w:t>
      </w:r>
      <w:r>
        <w:rPr>
          <w:rStyle w:val="FootnoteReference"/>
          <w:noProof/>
        </w:rPr>
        <w:footnoteReference w:id="2"/>
      </w:r>
    </w:p>
    <w:p>
      <w:pPr>
        <w:rPr>
          <w:noProof/>
        </w:rPr>
      </w:pPr>
      <w:r>
        <w:rPr>
          <w:noProof/>
        </w:rPr>
        <w:t>Niniejszy wniosek zmienia pierwotny wniosek Komisji (COM(2010) 339 final</w:t>
      </w:r>
      <w:r>
        <w:rPr>
          <w:rStyle w:val="FootnoteReference"/>
          <w:noProof/>
        </w:rPr>
        <w:footnoteReference w:id="3"/>
      </w:r>
      <w:r>
        <w:rPr>
          <w:noProof/>
        </w:rPr>
        <w:t>) – który został przyjęty w dniu 28 czerwca 2010 r., a następnie przekazany Radzie – przede wszystkim w celu uwzględnienia wejścia w życie Traktatu z Lizbony oraz w związku z wyrokiem Europejskiego Trybunału Sprawiedliwości z dnia 28 kwietnia 2015 r. w sprawie C-28/12. W celu ułatwienia analizy przez Radę cały przedmiotowy tekst przedłożono jako zmieniony wniosek.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</w:t>
      </w:r>
    </w:p>
    <w:p>
      <w:pPr>
        <w:rPr>
          <w:noProof/>
          <w:u w:color="000000"/>
          <w:bdr w:val="nil"/>
        </w:rPr>
      </w:pPr>
      <w:r>
        <w:rPr>
          <w:noProof/>
        </w:rPr>
        <w:t>Artykuł 100 ust. 2 TFUE w związku z art. 218 ust. 6 lit. a) ppkt (v) TFUE.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WYNIKI OCEN </w:t>
      </w:r>
      <w:r>
        <w:rPr>
          <w:i/>
          <w:noProof/>
        </w:rPr>
        <w:t>EX POST</w:t>
      </w:r>
      <w:r>
        <w:rPr>
          <w:noProof/>
        </w:rPr>
        <w:t>, KONSULTACJI Z ZAINTERESOWANYMI STRONAMI I OCEN SKUTKÓW</w:t>
      </w:r>
    </w:p>
    <w:p>
      <w:pPr>
        <w:rPr>
          <w:noProof/>
        </w:rPr>
      </w:pPr>
      <w:r>
        <w:rPr>
          <w:noProof/>
        </w:rPr>
        <w:t>Nie dotyczy</w:t>
      </w:r>
    </w:p>
    <w:p>
      <w:pPr>
        <w:pStyle w:val="ManualHeading1"/>
        <w:rPr>
          <w:noProof/>
        </w:rPr>
      </w:pPr>
      <w:r>
        <w:rPr>
          <w:noProof/>
        </w:rPr>
        <w:lastRenderedPageBreak/>
        <w:t>4.</w:t>
      </w:r>
      <w:r>
        <w:rPr>
          <w:noProof/>
        </w:rPr>
        <w:tab/>
        <w:t>WPŁYW NA BUDŻET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Nie dotyczy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Plany wdrożenia i monitorowanie, ocena i sprawozdania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Nie dotyczy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>
      <w:pPr>
        <w:rPr>
          <w:noProof/>
        </w:rPr>
        <w:sectPr>
          <w:footerReference w:type="default" r:id="rId16"/>
          <w:footerReference w:type="first" r:id="rId17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lastRenderedPageBreak/>
        <w:t>2010/0186 (NLE)</w:t>
      </w:r>
    </w:p>
    <w:p>
      <w:pPr>
        <w:pStyle w:val="Statut"/>
        <w:rPr>
          <w:noProof/>
        </w:rPr>
      </w:pPr>
      <w:r>
        <w:rPr>
          <w:noProof/>
        </w:rPr>
        <w:t>Zmieniony wniosek</w:t>
      </w:r>
    </w:p>
    <w:p>
      <w:pPr>
        <w:pStyle w:val="Typedudocument"/>
        <w:rPr>
          <w:noProof/>
        </w:rPr>
      </w:pPr>
      <w:r>
        <w:rPr>
          <w:noProof/>
        </w:rPr>
        <w:t>DECYZJA RADY</w:t>
      </w:r>
    </w:p>
    <w:p>
      <w:pPr>
        <w:pStyle w:val="Titreobjet"/>
        <w:rPr>
          <w:noProof/>
        </w:rPr>
      </w:pPr>
      <w:r>
        <w:rPr>
          <w:noProof/>
        </w:rPr>
        <w:t>w sprawie zawarcia, w imieniu Unii, Umowy o wspólnym obszarze lotniczym między Unią Europejską i jej państwami członkowskimi, z jednej strony, a Gruzją, z drugiej strony</w:t>
      </w:r>
    </w:p>
    <w:p>
      <w:pPr>
        <w:pStyle w:val="Institutionquiagit"/>
        <w:rPr>
          <w:noProof/>
        </w:rPr>
      </w:pPr>
      <w:r>
        <w:rPr>
          <w:noProof/>
        </w:rPr>
        <w:t>RADA UNII EUROPEJSKIEJ,</w:t>
      </w:r>
    </w:p>
    <w:p>
      <w:pPr>
        <w:rPr>
          <w:rFonts w:eastAsia="Times New Roman"/>
          <w:noProof/>
        </w:rPr>
      </w:pPr>
      <w:r>
        <w:rPr>
          <w:noProof/>
        </w:rPr>
        <w:t>uwzględniając Traktat o funkcjonowaniu Unii Europejskiej, w szczególności jego art. 100 ust. 2 w związku z art. 218 ust. 6 lit. a) ppkt (v),</w:t>
      </w:r>
    </w:p>
    <w:p>
      <w:pPr>
        <w:rPr>
          <w:rFonts w:eastAsia="Times New Roman"/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uwzględniając zgodę Parlamentu Europejskiego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, </w:t>
      </w:r>
    </w:p>
    <w:p>
      <w:pPr>
        <w:rPr>
          <w:noProof/>
        </w:rPr>
      </w:pPr>
      <w:r>
        <w:rPr>
          <w:noProof/>
        </w:rPr>
        <w:t>a także mając na 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Komisja wynegocjowała – w imieniu Unii Europejskiej i jej państw członkowskich – umowę o wspólnym obszarze lotniczym z Gruzją (zwaną dalej „umową”) zgodnie z decyzją Rady upoważniającą Komisję do rozpoczęcia negocjacji.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Umowa ta została podpisana w dniu 2 grudnia 2010 r., z zastrzeżeniem jej zawarcia w późniejszym terminie, zgodnie z decyzją Rady oraz przedstawicieli państw członkowskich Unii Europejskiej zebranych w Radzie 2012/708/UE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Umowa została ratyfikowana przez wszystkie państwa członkowskie z wyjątkiem Republiki Chorwacji. Republika Chorwacji przystępuje do umowy zgodnie z procedurą przewidzianą w Akcie przystąpienia załączonym do traktatu o przystąpieniu z dnia 5 grudnia 2011 r., a odpowiedni protokół przystąpienia Republiki Chorwacji do tej umowy został podpisany w listopadzie 2014 r.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Umowę należy obecnie zatwierdzić w imieniu Unii.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Art. 3 i 4 decyzji 2012/708/UE zawierają przepisy o trybie podejmowania decyzji oraz reprezentowaniu w odniesieniu do różnych kwestii określonych w Umowie. W świetle wyroku Europejskiego Trybunału Sprawiedliwości z dnia 28 kwietnia 2015 r. w sprawie C-28/12 należy zaprzestać stosowania tych przepisów. Biorąc pod uwagę traktaty, nowe przepisy w tym zakresie ani przepisy dotyczące zobowiązania państw członkowskich do informowania nie są konieczne. W związku z tym art. 3, 4 i 5 decyzji 2012/708/UE powinny przestać obowiązywać z datą wejścia w życie niniejszej decyzji,</w:t>
      </w:r>
    </w:p>
    <w:p>
      <w:pPr>
        <w:pStyle w:val="Formuledadoption"/>
        <w:rPr>
          <w:noProof/>
        </w:rPr>
      </w:pPr>
      <w:r>
        <w:rPr>
          <w:noProof/>
        </w:rPr>
        <w:lastRenderedPageBreak/>
        <w:t xml:space="preserve">PRZYJMUJE NINIEJSZĄ DECYZJĘ: 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rFonts w:eastAsia="Times New Roman"/>
          <w:noProof/>
        </w:rPr>
      </w:pPr>
      <w:r>
        <w:rPr>
          <w:noProof/>
        </w:rPr>
        <w:t>Niniejszym zatwierdza się w imieniu Unii Europejskiej Umowę o wspólnym obszarze lotniczym między Unią Europejską i jej państwami członkowskimi, z jednej strony, a Gruzją, z drugiej strony (zwaną dalej „umową”).</w:t>
      </w:r>
    </w:p>
    <w:p>
      <w:pPr>
        <w:pStyle w:val="Titrearticle"/>
        <w:keepNext w:val="0"/>
        <w:rPr>
          <w:noProof/>
        </w:rPr>
      </w:pPr>
      <w:r>
        <w:rPr>
          <w:noProof/>
        </w:rPr>
        <w:t>Artykuł 2</w:t>
      </w:r>
    </w:p>
    <w:p>
      <w:pPr>
        <w:rPr>
          <w:rFonts w:eastAsia="Times New Roman"/>
          <w:noProof/>
        </w:rPr>
      </w:pPr>
      <w:r>
        <w:rPr>
          <w:noProof/>
        </w:rPr>
        <w:t xml:space="preserve">Przewodniczący Rady wyznacza osobę uprawnioną lub osoby uprawnione do złożenia w imieniu Unii Europejskiej instrumentu zatwierdzenia określonego w art. 29 umowy w celu wyrażenia zgody Unii na to, aby umowa stała się dla niej wiążąca. </w:t>
      </w:r>
    </w:p>
    <w:p>
      <w:pPr>
        <w:rPr>
          <w:rFonts w:eastAsia="Times New Roman"/>
          <w:noProof/>
        </w:rPr>
      </w:pPr>
      <w:r>
        <w:rPr>
          <w:noProof/>
        </w:rPr>
        <w:tab/>
      </w:r>
    </w:p>
    <w:p>
      <w:pPr>
        <w:jc w:val="center"/>
        <w:rPr>
          <w:i/>
          <w:noProof/>
        </w:rPr>
      </w:pPr>
      <w:r>
        <w:rPr>
          <w:i/>
          <w:noProof/>
        </w:rPr>
        <w:t>Artykuł 3</w:t>
      </w:r>
    </w:p>
    <w:p>
      <w:pPr>
        <w:rPr>
          <w:noProof/>
        </w:rPr>
      </w:pPr>
      <w:r>
        <w:rPr>
          <w:noProof/>
        </w:rPr>
        <w:t>Komisja, po konsultacji ze specjalnym komitetem wyznaczonym przez Radę, przyjmuje stanowisko, jakie ma zająć Unia w odniesieniu do decyzji wspólnego komitetu ustanowionego na podstawie art. 22 umowy, dotyczących jedynie włączenia prawodawstwa Unii do załącznika III (Przepisy mające zastosowanie do lotnictwa cywilnego) do umowy, z zastrzeżeniem wszelkich koniecznych dostosowań technicznych.</w:t>
      </w:r>
    </w:p>
    <w:p>
      <w:pPr>
        <w:jc w:val="center"/>
        <w:rPr>
          <w:i/>
          <w:noProof/>
        </w:rPr>
      </w:pPr>
      <w:r>
        <w:rPr>
          <w:i/>
          <w:noProof/>
        </w:rPr>
        <w:t>Artykuł 4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Art. 3, 4 i 5 decyzji 2012/708/UE przestają obowiązywać z datą wejścia w życie niniejszej decyzji. </w:t>
      </w:r>
    </w:p>
    <w:p>
      <w:pPr>
        <w:pStyle w:val="Titrearticle"/>
        <w:rPr>
          <w:noProof/>
        </w:rPr>
      </w:pPr>
      <w:r>
        <w:rPr>
          <w:noProof/>
        </w:rPr>
        <w:t>Artykuł 5</w:t>
      </w:r>
    </w:p>
    <w:p>
      <w:pPr>
        <w:keepLines/>
        <w:spacing w:after="480"/>
        <w:rPr>
          <w:rFonts w:eastAsia="Times New Roman"/>
          <w:noProof/>
        </w:rPr>
      </w:pPr>
      <w:r>
        <w:rPr>
          <w:noProof/>
        </w:rPr>
        <w:t>Niniejsza decyzja wchodzi w życie z dniem jej przyjęcia.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ab/>
        <w:t>Przewodniczący</w:t>
      </w:r>
    </w:p>
    <w:sect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"/>
      </w:pPr>
      <w:r>
        <w:rPr>
          <w:rStyle w:val="FootnoteReference"/>
        </w:rPr>
        <w:footnoteRef/>
      </w:r>
      <w:r>
        <w:tab/>
        <w:t>Decyzja Rady i przedstawicieli rządów państw członkowskich zebranych w Radzie 2012/708/UE z dnia 15 października 2010 r. w sprawie podpisania i tymczasowego stosowania Umowy o wspólnym obszarze lotniczym między Unią Europejską i jej państwami członkowskimi, z jednej strony, a Gruzją, z drugiej strony, Dz.U. L 321 z 20.11.2012, s. 1.</w:t>
      </w:r>
    </w:p>
  </w:footnote>
  <w:footnote w:id="2">
    <w:p>
      <w:pPr>
        <w:pStyle w:val="Footnote"/>
      </w:pPr>
      <w:r>
        <w:rPr>
          <w:rStyle w:val="FootnoteReference"/>
        </w:rPr>
        <w:footnoteRef/>
      </w:r>
      <w:r>
        <w:tab/>
        <w:t>Decyzja Rady 2014/928/UE z dnia 8 października 2014 r. w sprawie podpisania, w imieniu Unii i jej państw członkowskich, oraz tymczasowego stosowania Protokołu zmieniającego Umowę o wspólnym obszarze lotniczym między Unią Europejską i jej państwami członkowskimi, z jednej strony, a Gruzją, z drugiej strony, w celu uwzględnienia przystąpienia Republiki Chorwacji do Unii Europejskiej, Dz.U. L 365 z 19.12.2014, s. 1.</w:t>
      </w:r>
    </w:p>
  </w:footnote>
  <w:footnote w:id="3">
    <w:p>
      <w:pPr>
        <w:pStyle w:val="Footnote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http://eur-lex.europa.eu/resource.html?uri=cellar:123e8378-dbfd-41b8-ae95-641301c3fcfa.0018.03/DOC_4&amp;format=PDF</w:t>
        </w:r>
      </w:hyperlink>
      <w:r>
        <w:t xml:space="preserve">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C  z , s. 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Dz.U. L 321 z 20.11.2012.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5A46F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4BBA97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D2C2F8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7C26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EA06E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F3A6F1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EC69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B9CFB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1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6-20 07:38:43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4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43066B5-0087-4BD4-9123-EBD6F5BC8312"/>
    <w:docVar w:name="LW_COVERPAGE_TYPE" w:val="1"/>
    <w:docVar w:name="LW_CROSSREFERENCE" w:val="&lt;UNUSED&gt;"/>
    <w:docVar w:name="LW_DocType" w:val="COM"/>
    <w:docVar w:name="LW_EMISSION" w:val="28.6.2018"/>
    <w:docVar w:name="LW_EMISSION_ISODATE" w:val="2018-06-28"/>
    <w:docVar w:name="LW_EMISSION_LOCATION" w:val="BRX"/>
    <w:docVar w:name="LW_EMISSION_PREFIX" w:val="Bruksela, dnia "/>
    <w:docVar w:name="LW_EMISSION_SUFFIX" w:val=" r."/>
    <w:docVar w:name="LW_ID_DOCMODEL" w:val="SJ-019"/>
    <w:docVar w:name="LW_ID_DOCSIGNATURE" w:val="SJ-019"/>
    <w:docVar w:name="LW_ID_DOCSTRUCTURE" w:val="COM/PL/MOD"/>
    <w:docVar w:name="LW_ID_DOCTYPE" w:val="SG-010"/>
    <w:docVar w:name="LW_ID_STATUT" w:val="SG-010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186"/>
    <w:docVar w:name="LW_REF.II.NEW.CP_YEAR" w:val="2010"/>
    <w:docVar w:name="LW_REF.INST.NEW" w:val="COM"/>
    <w:docVar w:name="LW_REF.INST.NEW_ADOPTED" w:val="final"/>
    <w:docVar w:name="LW_REF.INST.NEW_TEXT" w:val="(2018) 495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TATUT.CP" w:val="Zmieniony wniosek"/>
    <w:docVar w:name="LW_SUPERTITRE" w:val="&lt;UNUSED&gt;"/>
    <w:docVar w:name="LW_TITRE.OBJ.CP" w:val="w sprawie zawarcia, w imieniu Unii, Umowy o wspólnym obszarze lotniczym mi\u281?dzy Uni\u261? Europejsk\u261? i jej pa\u324?stwami cz\u322?onkowskimi, z jednej strony, a Gruzj\u261?, z drugiej strony"/>
    <w:docVar w:name="LW_TYPE.DOC.CP" w:val="DECYZJA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tapplicable">
    <w:name w:val="Not applicable"/>
    <w:basedOn w:val="ManualHeading2"/>
    <w:rPr>
      <w:rFonts w:eastAsia="Arial Unicode MS"/>
      <w:u w:color="000000"/>
      <w:bdr w:val="ni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c01pointaltn">
    <w:name w:val="c01pointaltn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Footnote">
    <w:name w:val="Footnote"/>
    <w:basedOn w:val="Default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Notapplicable">
    <w:name w:val="Not applicable"/>
    <w:basedOn w:val="ManualHeading2"/>
    <w:rPr>
      <w:rFonts w:eastAsia="Arial Unicode MS"/>
      <w:u w:color="000000"/>
      <w:bdr w:val="ni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c01pointaltn">
    <w:name w:val="c01pointaltn"/>
    <w:basedOn w:val="Normal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Footnote">
    <w:name w:val="Footnote"/>
    <w:basedOn w:val="Default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4"/>
      </w:numPr>
    </w:pPr>
  </w:style>
  <w:style w:type="paragraph" w:customStyle="1" w:styleId="Tiret1">
    <w:name w:val="Tiret 1"/>
    <w:basedOn w:val="Point1"/>
    <w:pPr>
      <w:numPr>
        <w:numId w:val="25"/>
      </w:numPr>
    </w:pPr>
  </w:style>
  <w:style w:type="paragraph" w:customStyle="1" w:styleId="Tiret2">
    <w:name w:val="Tiret 2"/>
    <w:basedOn w:val="Point2"/>
    <w:pPr>
      <w:numPr>
        <w:numId w:val="26"/>
      </w:numPr>
    </w:pPr>
  </w:style>
  <w:style w:type="paragraph" w:customStyle="1" w:styleId="Tiret3">
    <w:name w:val="Tiret 3"/>
    <w:basedOn w:val="Point3"/>
    <w:pPr>
      <w:numPr>
        <w:numId w:val="27"/>
      </w:numPr>
    </w:pPr>
  </w:style>
  <w:style w:type="paragraph" w:customStyle="1" w:styleId="Tiret4">
    <w:name w:val="Tiret 4"/>
    <w:basedOn w:val="Point4"/>
    <w:pPr>
      <w:numPr>
        <w:numId w:val="28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9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1"/>
      </w:numPr>
    </w:pPr>
  </w:style>
  <w:style w:type="paragraph" w:customStyle="1" w:styleId="Point1number">
    <w:name w:val="Point 1 (number)"/>
    <w:basedOn w:val="Normal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pPr>
      <w:numPr>
        <w:ilvl w:val="8"/>
        <w:numId w:val="31"/>
      </w:numPr>
    </w:pPr>
  </w:style>
  <w:style w:type="paragraph" w:customStyle="1" w:styleId="Bullet0">
    <w:name w:val="Bullet 0"/>
    <w:basedOn w:val="Normal"/>
    <w:pPr>
      <w:numPr>
        <w:numId w:val="32"/>
      </w:numPr>
    </w:pPr>
  </w:style>
  <w:style w:type="paragraph" w:customStyle="1" w:styleId="Bullet1">
    <w:name w:val="Bullet 1"/>
    <w:basedOn w:val="Normal"/>
    <w:pPr>
      <w:numPr>
        <w:numId w:val="33"/>
      </w:numPr>
    </w:pPr>
  </w:style>
  <w:style w:type="paragraph" w:customStyle="1" w:styleId="Bullet2">
    <w:name w:val="Bullet 2"/>
    <w:basedOn w:val="Normal"/>
    <w:pPr>
      <w:numPr>
        <w:numId w:val="34"/>
      </w:numPr>
    </w:pPr>
  </w:style>
  <w:style w:type="paragraph" w:customStyle="1" w:styleId="Bullet3">
    <w:name w:val="Bullet 3"/>
    <w:basedOn w:val="Normal"/>
    <w:pPr>
      <w:numPr>
        <w:numId w:val="35"/>
      </w:numPr>
    </w:pPr>
  </w:style>
  <w:style w:type="paragraph" w:customStyle="1" w:styleId="Bullet4">
    <w:name w:val="Bullet 4"/>
    <w:basedOn w:val="Normal"/>
    <w:pPr>
      <w:numPr>
        <w:numId w:val="36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resource.html?uri=cellar:123e8378-dbfd-41b8-ae95-641301c3fcfa.0018.03/DOC_4&amp;format=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FE22-4E25-4CA9-8339-E3C8F0B6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5</Pages>
  <Words>747</Words>
  <Characters>4488</Characters>
  <Application>Microsoft Office Word</Application>
  <DocSecurity>0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2017-10-05T07:02:00Z</cp:lastPrinted>
  <dcterms:created xsi:type="dcterms:W3CDTF">2018-06-19T06:59:00Z</dcterms:created>
  <dcterms:modified xsi:type="dcterms:W3CDTF">2018-06-20T05:38:00Z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COM/PL/MOD</vt:lpwstr>
  </property>
  <property fmtid="{D5CDD505-2E9C-101B-9397-08002B2CF9AE}" pid="3" name="Version">
    <vt:lpwstr>5.8.86.0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WTemplateID">
    <vt:lpwstr>SG-010</vt:lpwstr>
  </property>
  <property fmtid="{D5CDD505-2E9C-101B-9397-08002B2CF9AE}" pid="9" name="Level of sensitivity">
    <vt:lpwstr>Standard treatment</vt:lpwstr>
  </property>
  <property fmtid="{D5CDD505-2E9C-101B-9397-08002B2CF9AE}" pid="10" name="DQCStatus">
    <vt:lpwstr>Green (DQC version 03)</vt:lpwstr>
  </property>
</Properties>
</file>