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E45A801-A5F7-475E-81DE-3A3B80C06FA6"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spacing w:before="100" w:beforeAutospacing="1"/>
        <w:rPr>
          <w:rFonts w:eastAsia="Times New Roman"/>
          <w:noProof/>
          <w:szCs w:val="24"/>
        </w:rPr>
      </w:pPr>
      <w:r>
        <w:rPr>
          <w:noProof/>
        </w:rPr>
        <w:t xml:space="preserve">Eiropas Savienības un tās dalībvalstu vārdā Komisija ir risinājusi sarunas par Kopējās aviācijas telpas nolīgumu (turpmāk "nolīgums") ar Gruziju saskaņā ar Padomes lēmumu, ar kuru Komisiju pilnvaroja sākt sarunas. </w:t>
      </w:r>
    </w:p>
    <w:p>
      <w:pPr>
        <w:rPr>
          <w:noProof/>
        </w:rPr>
      </w:pPr>
      <w:r>
        <w:rPr>
          <w:noProof/>
        </w:rPr>
        <w:t>Daļa no ES kaimiņattiecību politikas aspektiem ir šā divpusējo nolīgumu tīkla aizstāšana, izveidojot Kopēju aviācijas telpu starp ES un tās kaimiņvalstīm. Nolīguma mērķis ir pakāpeniski atvērt tirgu, nodrošinot maršrutu un jaudas pieejamību uz savstarpības pamatiem; nediskriminējošus un līdzvērtīgus konkurences apstākļus ekonomikas dalībniekiem, pamatojoties uz ES līgumu principiem; kā arī saskaņot Gruzijas tiesību aktus aviācijas jomā ar ES tiesību aktiem tādos jautājumos kā lidojumu drošība, drošība un gaisa satiksmes pārvaldība.</w:t>
      </w:r>
    </w:p>
    <w:p>
      <w:pPr>
        <w:spacing w:before="100" w:beforeAutospacing="1"/>
        <w:rPr>
          <w:rFonts w:eastAsia="Times New Roman"/>
          <w:noProof/>
        </w:rPr>
      </w:pPr>
      <w:r>
        <w:rPr>
          <w:noProof/>
        </w:rPr>
        <w:t>Nolīgums tika parakstīts 2010. gada 2. decembrī</w:t>
      </w:r>
      <w:r>
        <w:rPr>
          <w:rStyle w:val="FootnoteReference"/>
          <w:noProof/>
        </w:rPr>
        <w:footnoteReference w:id="1"/>
      </w:r>
      <w:r>
        <w:rPr>
          <w:noProof/>
        </w:rPr>
        <w:t xml:space="preserve">. No ES puses nolīguma puses ir gan Savienība, gan tās dalībvalstis. Ratifikācijas process 2017. gada 9. februārī ir pabeigts visās dalībvalstīs, izņemot Horvātijas Republiku. </w:t>
      </w:r>
    </w:p>
    <w:p>
      <w:pPr>
        <w:pStyle w:val="c01pointaltn"/>
        <w:jc w:val="both"/>
        <w:rPr>
          <w:noProof/>
        </w:rPr>
      </w:pPr>
      <w:r>
        <w:rPr>
          <w:noProof/>
        </w:rPr>
        <w:t>Horvātijas Republika pievienosies nolīgumam saskaņā ar procedūru, kas paredzēta Pievienošanās aktā, kas ir pievienots 2011. gada 5. decembra Pievienošanās līgumam, un attiecīgais protokols par Horvātijas Republikas pievienošanos šim nolīgumam tika parakstīts 2014. gada novembrī</w:t>
      </w:r>
      <w:r>
        <w:rPr>
          <w:rStyle w:val="FootnoteReference"/>
          <w:noProof/>
        </w:rPr>
        <w:footnoteReference w:id="2"/>
      </w:r>
      <w:r>
        <w:rPr>
          <w:noProof/>
        </w:rPr>
        <w:t>.</w:t>
      </w:r>
    </w:p>
    <w:p>
      <w:pPr>
        <w:rPr>
          <w:noProof/>
        </w:rPr>
      </w:pPr>
      <w:r>
        <w:rPr>
          <w:noProof/>
        </w:rPr>
        <w:t>Īpaši ņemot vērā Lisabonas līguma stāšanos spēkā, un ievērojot Eiropas Savienības Tiesas 2015. gada 28. aprīļa spriedumu lietā C-28/12, ar šo priekšlikumu groza sākotnējo Komisijas priekšlikumu (COM(2010) 339 galīgā redakcija</w:t>
      </w:r>
      <w:r>
        <w:rPr>
          <w:rStyle w:val="FootnoteReference"/>
          <w:noProof/>
        </w:rPr>
        <w:footnoteReference w:id="3"/>
      </w:r>
      <w:r>
        <w:rPr>
          <w:noProof/>
        </w:rPr>
        <w:t>), ko pieņēma 2010. gada 28. jūnijā un pēc tam iesniedza Padomei. Lai atvieglotu izskatīšanu Padomē, viss attiecīgais teksts ir iesniegts kā grozītais priekšlikums.</w:t>
      </w:r>
    </w:p>
    <w:p>
      <w:pPr>
        <w:pStyle w:val="ManualHeading1"/>
        <w:rPr>
          <w:noProof/>
        </w:rPr>
      </w:pPr>
      <w:r>
        <w:rPr>
          <w:noProof/>
        </w:rPr>
        <w:t>2.</w:t>
      </w:r>
      <w:r>
        <w:rPr>
          <w:noProof/>
        </w:rPr>
        <w:tab/>
        <w:t>JURIDISKAIS PAMATS</w:t>
      </w:r>
    </w:p>
    <w:p>
      <w:pPr>
        <w:rPr>
          <w:noProof/>
          <w:u w:color="000000"/>
          <w:bdr w:val="nil"/>
        </w:rPr>
      </w:pPr>
      <w:r>
        <w:rPr>
          <w:noProof/>
        </w:rPr>
        <w:t>LESD 100. panta 2. punkts saistībā ar LESD 218. panta 6. punkta a) un v) apakšpunktiem.</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rPr>
          <w:noProof/>
        </w:rPr>
      </w:pPr>
      <w:r>
        <w:rPr>
          <w:noProof/>
        </w:rPr>
        <w:t>Neattiecas.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lastRenderedPageBreak/>
        <w:t>5.</w:t>
      </w:r>
      <w:r>
        <w:rPr>
          <w:noProof/>
        </w:rPr>
        <w:tab/>
        <w:t>CITI ELEMENTI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pBdr>
          <w:top w:val="nil"/>
          <w:left w:val="nil"/>
          <w:bottom w:val="nil"/>
          <w:right w:val="nil"/>
          <w:between w:val="nil"/>
          <w:bar w:val="nil"/>
        </w:pBdr>
        <w:spacing w:before="0" w:after="240"/>
        <w:rPr>
          <w:noProof/>
        </w:rPr>
      </w:pPr>
      <w:r>
        <w:rPr>
          <w:noProof/>
        </w:rPr>
        <w:t>Neattiecas.</w:t>
      </w:r>
    </w:p>
    <w:p>
      <w:pPr>
        <w:pBdr>
          <w:top w:val="nil"/>
          <w:left w:val="nil"/>
          <w:bottom w:val="nil"/>
          <w:right w:val="nil"/>
          <w:between w:val="nil"/>
          <w:bar w:val="nil"/>
        </w:pBdr>
        <w:spacing w:before="0" w:after="240"/>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2010/0186 (NLE)</w:t>
      </w:r>
    </w:p>
    <w:p>
      <w:pPr>
        <w:pStyle w:val="Statut"/>
        <w:rPr>
          <w:noProof/>
        </w:rPr>
      </w:pPr>
      <w:r>
        <w:rPr>
          <w:noProof/>
        </w:rPr>
        <w:t>Grozīts priekšlikums</w:t>
      </w:r>
    </w:p>
    <w:p>
      <w:pPr>
        <w:pStyle w:val="Typedudocument"/>
        <w:rPr>
          <w:noProof/>
        </w:rPr>
      </w:pPr>
      <w:r>
        <w:rPr>
          <w:noProof/>
        </w:rPr>
        <w:t>PADOMES LĒMUMS</w:t>
      </w:r>
    </w:p>
    <w:p>
      <w:pPr>
        <w:pStyle w:val="Titreobjet"/>
        <w:rPr>
          <w:noProof/>
        </w:rPr>
      </w:pPr>
      <w:r>
        <w:rPr>
          <w:noProof/>
        </w:rPr>
        <w:t>par to, lai Savienības vārdā noslēgtu Kopējās gaisa telpas nolīgumu starp Eiropas Savienību un tās dalībvalstīm, no vienas puses, un Gruziju, no otras puses</w:t>
      </w:r>
    </w:p>
    <w:p>
      <w:pPr>
        <w:pStyle w:val="Institutionquiagit"/>
        <w:rPr>
          <w:noProof/>
        </w:rPr>
      </w:pPr>
      <w:r>
        <w:rPr>
          <w:noProof/>
        </w:rPr>
        <w:t>EIROPAS SAVIENĪBAS PADOME,</w:t>
      </w:r>
    </w:p>
    <w:p>
      <w:pPr>
        <w:rPr>
          <w:rFonts w:eastAsia="Times New Roman"/>
          <w:noProof/>
        </w:rPr>
      </w:pPr>
      <w:r>
        <w:rPr>
          <w:noProof/>
        </w:rPr>
        <w:t>ņemot vērā Līgumu par Eiropas Savienības darbību un jo īpaši tā 100. panta 2. punktu saistībā ar tā 218. panta 6. punkta a) apakšpunkta v) punktu,</w:t>
      </w:r>
    </w:p>
    <w:p>
      <w:pPr>
        <w:rPr>
          <w:rFonts w:eastAsia="Times New Roman"/>
          <w:noProof/>
        </w:rPr>
      </w:pPr>
      <w:r>
        <w:rPr>
          <w:noProof/>
        </w:rPr>
        <w:t>ņemot vērā Eiropas Komisijas priekšlikumu,</w:t>
      </w:r>
    </w:p>
    <w:p>
      <w:pPr>
        <w:rPr>
          <w:noProof/>
        </w:rPr>
      </w:pPr>
      <w:r>
        <w:rPr>
          <w:noProof/>
        </w:rPr>
        <w:t>ņemot vērā Eiropas Parlamenta piekrišanu</w:t>
      </w:r>
      <w:r>
        <w:rPr>
          <w:rStyle w:val="FootnoteReference"/>
          <w:noProof/>
        </w:rPr>
        <w:footnoteReference w:id="4"/>
      </w:r>
      <w:r>
        <w:rPr>
          <w:noProof/>
        </w:rPr>
        <w:t xml:space="preserve">, </w:t>
      </w:r>
    </w:p>
    <w:p>
      <w:pPr>
        <w:rPr>
          <w:noProof/>
        </w:rPr>
      </w:pPr>
      <w:r>
        <w:rPr>
          <w:noProof/>
        </w:rPr>
        <w:t>tā kā:</w:t>
      </w:r>
    </w:p>
    <w:p>
      <w:pPr>
        <w:pStyle w:val="ManualConsidrant"/>
        <w:rPr>
          <w:noProof/>
        </w:rPr>
      </w:pPr>
      <w:r>
        <w:t>(1)</w:t>
      </w:r>
      <w:r>
        <w:tab/>
      </w:r>
      <w:r>
        <w:rPr>
          <w:noProof/>
        </w:rPr>
        <w:t>Eiropas Savienības un tās dalībvalstu vārdā Komisija ir risinājusi sarunas par Kopējās aviācijas telpas nolīgumu ar Gruziju (turpmāk "nolīgums") saskaņā ar Padomes lēmumu, ar kuru Komisiju pilnvaroja sākt sarunas.</w:t>
      </w:r>
    </w:p>
    <w:p>
      <w:pPr>
        <w:pStyle w:val="ManualConsidrant"/>
        <w:rPr>
          <w:noProof/>
        </w:rPr>
      </w:pPr>
      <w:r>
        <w:t>(2)</w:t>
      </w:r>
      <w:r>
        <w:tab/>
      </w:r>
      <w:r>
        <w:rPr>
          <w:noProof/>
        </w:rPr>
        <w:t>Nolīgums tika parakstīts 2010. gada 2. decembrī, ņemot vērā tā noslēgšanu vēlāk, saskaņā ar Padomes un Padomē sanākušo Eiropas Savienības dalībvalstu pārstāvju Lēmumu 2012/708/ES</w:t>
      </w:r>
      <w:r>
        <w:rPr>
          <w:rStyle w:val="FootnoteReference"/>
          <w:noProof/>
        </w:rPr>
        <w:footnoteReference w:id="5"/>
      </w:r>
      <w:r>
        <w:rPr>
          <w:noProof/>
        </w:rPr>
        <w:t xml:space="preserve">. </w:t>
      </w:r>
    </w:p>
    <w:p>
      <w:pPr>
        <w:pStyle w:val="ManualConsidrant"/>
        <w:rPr>
          <w:noProof/>
        </w:rPr>
      </w:pPr>
      <w:r>
        <w:t>(3)</w:t>
      </w:r>
      <w:r>
        <w:tab/>
      </w:r>
      <w:r>
        <w:rPr>
          <w:noProof/>
        </w:rPr>
        <w:t>Nolīgums ir ratificēts visās dalībvalstīs, izņemot Horvātijas Republiku. Horvātijas Republika pievienosies nolīgumam saskaņā ar procedūru, kas paredzēta Pievienošanās aktā, kas ir pievienots 2011. gada 5. decembra Pievienošanās līgumam, un attiecīgais protokols par Horvātijas Republikas pievienošanos šim nolīgumam tika parakstīts 2014. gada novembrī.</w:t>
      </w:r>
    </w:p>
    <w:p>
      <w:pPr>
        <w:pStyle w:val="ManualConsidrant"/>
        <w:rPr>
          <w:noProof/>
        </w:rPr>
      </w:pPr>
      <w:r>
        <w:t>(4)</w:t>
      </w:r>
      <w:r>
        <w:tab/>
      </w:r>
      <w:r>
        <w:rPr>
          <w:noProof/>
        </w:rPr>
        <w:t>Nolīgums tagad būtu jāapstiprina Savienības vārdā.</w:t>
      </w:r>
    </w:p>
    <w:p>
      <w:pPr>
        <w:pStyle w:val="ManualConsidrant"/>
        <w:rPr>
          <w:noProof/>
        </w:rPr>
      </w:pPr>
      <w:r>
        <w:t>(5)</w:t>
      </w:r>
      <w:r>
        <w:tab/>
      </w:r>
      <w:r>
        <w:rPr>
          <w:noProof/>
        </w:rPr>
        <w:t>Lēmuma 2012/708/ES 3. un 4. pants ietver noteikumus par lēmumu pieņemšanu un pārstāvību dažādos nolīgumā izklāstītos jautājumos. Ņemot vērā Eiropas Savienības Tiesas 2015. gada 28. aprīļa spriedumu lietā C-28/12, minēto noteikumu piemērošana būtu jāpārtrauc. Ņemot vērā Līgumus, par šiem jautājumiem nav nepieciešami jauni noteikumi, ne arī noteikumi par dalībvalstīm noteikto informācijas sniegšanas pienākumu. Tāpēc Lēmuma 2012/708/EK 3., 4. un 5. pantu būtu jābeidz piemērot no dienas, kad stājas spēkā šis lēmums,</w:t>
      </w:r>
    </w:p>
    <w:p>
      <w:pPr>
        <w:pStyle w:val="Formuledadoption"/>
        <w:rPr>
          <w:noProof/>
        </w:rPr>
      </w:pPr>
      <w:r>
        <w:rPr>
          <w:noProof/>
        </w:rPr>
        <w:t xml:space="preserve">IR PIEŅĒMUSI ŠO LĒMUMU. </w:t>
      </w:r>
    </w:p>
    <w:p>
      <w:pPr>
        <w:pStyle w:val="Titrearticle"/>
        <w:rPr>
          <w:noProof/>
        </w:rPr>
      </w:pPr>
      <w:r>
        <w:rPr>
          <w:noProof/>
        </w:rPr>
        <w:t>1. pants</w:t>
      </w:r>
    </w:p>
    <w:p>
      <w:pPr>
        <w:rPr>
          <w:rFonts w:eastAsia="Times New Roman"/>
          <w:noProof/>
        </w:rPr>
      </w:pPr>
      <w:r>
        <w:rPr>
          <w:noProof/>
        </w:rPr>
        <w:t>Ar šo lēmumu Savienības vārdā apstiprina Kopējās aviācijas telpas nolīgumu (turpmāk – "nolīgums") starp Eiropas Savienību un tās dalībvalstīm, no vienas puses, un Gruziju, no otras puses.</w:t>
      </w:r>
    </w:p>
    <w:p>
      <w:pPr>
        <w:pStyle w:val="Titrearticle"/>
        <w:keepNext w:val="0"/>
        <w:rPr>
          <w:noProof/>
        </w:rPr>
      </w:pPr>
      <w:r>
        <w:rPr>
          <w:noProof/>
        </w:rPr>
        <w:lastRenderedPageBreak/>
        <w:t>2. pants</w:t>
      </w:r>
    </w:p>
    <w:p>
      <w:pPr>
        <w:rPr>
          <w:rFonts w:eastAsia="Times New Roman"/>
          <w:noProof/>
        </w:rPr>
      </w:pPr>
      <w:r>
        <w:rPr>
          <w:noProof/>
        </w:rPr>
        <w:t xml:space="preserve">Padomes priekšsēdētājs ieceļ personu vai personas, kuras Savienības vārdā ir tiesīgas deponēt nolīguma 29. pantā paredzēto apstiprināšanas instrumentu, lai paustu Savienības piekrišanu ievērot nolīguma saistības. </w:t>
      </w:r>
    </w:p>
    <w:p>
      <w:pPr>
        <w:rPr>
          <w:rFonts w:eastAsia="Times New Roman"/>
          <w:noProof/>
        </w:rPr>
      </w:pPr>
      <w:r>
        <w:rPr>
          <w:noProof/>
        </w:rPr>
        <w:tab/>
      </w:r>
    </w:p>
    <w:p>
      <w:pPr>
        <w:jc w:val="center"/>
        <w:rPr>
          <w:i/>
          <w:noProof/>
        </w:rPr>
      </w:pPr>
      <w:r>
        <w:rPr>
          <w:i/>
          <w:noProof/>
        </w:rPr>
        <w:t>3. pants</w:t>
      </w:r>
    </w:p>
    <w:p>
      <w:pPr>
        <w:rPr>
          <w:noProof/>
        </w:rPr>
      </w:pPr>
      <w:r>
        <w:rPr>
          <w:noProof/>
        </w:rPr>
        <w:t>Nostāju, kas Savienībai jāieņem attiecībā uz Apvienotās komitejas lēmumiem saskaņā ar nolīguma 22. pantu, kuri attiecas vienīgi uz Savienības tiesību aktu iekļaušanu nolīguma III pielikumā (Noteikumi, kas piemērojami civilās aviācijas jomā), ņemot vērā visas nepieciešamās tehniskās korekcijas, pieņem Komisija pēc apspriešanās ar Padomes izraudzīto īpašo komiteju.</w:t>
      </w:r>
    </w:p>
    <w:p>
      <w:pPr>
        <w:jc w:val="center"/>
        <w:rPr>
          <w:i/>
          <w:noProof/>
        </w:rPr>
      </w:pPr>
      <w:r>
        <w:rPr>
          <w:i/>
          <w:noProof/>
        </w:rPr>
        <w:t>4. pants</w:t>
      </w:r>
    </w:p>
    <w:p>
      <w:pPr>
        <w:rPr>
          <w:rFonts w:eastAsia="Times New Roman"/>
          <w:noProof/>
          <w:szCs w:val="24"/>
        </w:rPr>
      </w:pPr>
      <w:r>
        <w:rPr>
          <w:noProof/>
        </w:rPr>
        <w:t xml:space="preserve">Lēmuma 2012/708/ES 3., 4. un 5. pantu beidz piemērot šā lēmuma spēkā stāšanās dienā. </w:t>
      </w:r>
    </w:p>
    <w:p>
      <w:pPr>
        <w:pStyle w:val="Titrearticle"/>
        <w:rPr>
          <w:noProof/>
        </w:rPr>
      </w:pPr>
      <w:r>
        <w:rPr>
          <w:noProof/>
        </w:rPr>
        <w:t>5. pants</w:t>
      </w:r>
    </w:p>
    <w:p>
      <w:pPr>
        <w:keepLines/>
        <w:spacing w:after="480"/>
        <w:rPr>
          <w:rFonts w:eastAsia="Times New Roman"/>
          <w:noProof/>
        </w:rPr>
      </w:pPr>
      <w:r>
        <w:rPr>
          <w:noProof/>
        </w:rPr>
        <w:t>Šis lēmums stājas spēkā tā pieņemšanas dienā.</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
      </w:pPr>
      <w:r>
        <w:rPr>
          <w:rStyle w:val="FootnoteReference"/>
        </w:rPr>
        <w:footnoteRef/>
      </w:r>
      <w:r>
        <w:tab/>
        <w:t>Padomes un Padomē sanākušo dalībvalstu valdību pārstāvju 2010. gada 15. oktobra Lēmums 2012/708/ES par to, lai parakstītu un provizoriski piemērotu Kopējās aviācijas telpas nolīgumu starp Eiropas Savienību un tās dalībvalstīm, no vienas puses, un Gruziju, no otras puses (OV L 321, 20.11.2012., 1. lpp.).</w:t>
      </w:r>
    </w:p>
  </w:footnote>
  <w:footnote w:id="2">
    <w:p>
      <w:pPr>
        <w:pStyle w:val="Footnote"/>
      </w:pPr>
      <w:r>
        <w:rPr>
          <w:rStyle w:val="FootnoteReference"/>
        </w:rPr>
        <w:footnoteRef/>
      </w:r>
      <w:r>
        <w:tab/>
        <w:t>Padomes 2014. gada 8. oktobra Lēmums 2014/928/ES par to, lai Savienības un tās dalībvalstu vārdā parakstītu un provizoriski piemērotu Protokolu, ar ko groza Kopējās aviācijas telpas nolīgumu starp Eiropas Savienību un tās dalībvalstīm, no vienas puses, un Gruziju, no otras puses, lai ņemtu vērā Horvātijas Republikas pievienošanos Eiropas Savienībai (OV L 365, 19.12.2014., 1. lpp.).</w:t>
      </w:r>
    </w:p>
  </w:footnote>
  <w:footnote w:id="3">
    <w:p>
      <w:pPr>
        <w:pStyle w:val="Footnote"/>
      </w:pPr>
      <w:r>
        <w:rPr>
          <w:rStyle w:val="FootnoteReference"/>
        </w:rPr>
        <w:footnoteRef/>
      </w:r>
      <w:r>
        <w:tab/>
      </w:r>
      <w:hyperlink r:id="rId1">
        <w:r>
          <w:rPr>
            <w:rStyle w:val="Hyperlink"/>
          </w:rPr>
          <w:t>http://eur-lex.europa.eu/legal-content/LV/TXT/PDF/?uri=CELEX:52010PC0339&amp;qid=1520852117894&amp;from=LV</w:t>
        </w:r>
        <w:r>
          <w:rPr>
            <w:rStyle w:val="Hyperlink"/>
            <w:u w:val="none"/>
          </w:rPr>
          <w:t>.</w:t>
        </w:r>
      </w:hyperlink>
      <w:r>
        <w:t xml:space="preserve"> </w:t>
      </w:r>
    </w:p>
  </w:footnote>
  <w:footnote w:id="4">
    <w:p>
      <w:pPr>
        <w:pStyle w:val="FootnoteText"/>
        <w:rPr>
          <w:lang w:val="nn-NO"/>
        </w:rPr>
      </w:pPr>
      <w:r>
        <w:rPr>
          <w:rStyle w:val="FootnoteReference"/>
        </w:rPr>
        <w:footnoteRef/>
      </w:r>
      <w:r>
        <w:rPr>
          <w:lang w:val="nn-NO"/>
        </w:rPr>
        <w:tab/>
        <w:t>OV C , , . lpp.</w:t>
      </w:r>
    </w:p>
  </w:footnote>
  <w:footnote w:id="5">
    <w:p>
      <w:pPr>
        <w:pStyle w:val="FootnoteText"/>
        <w:rPr>
          <w:lang w:val="nn-NO"/>
        </w:rPr>
      </w:pPr>
      <w:r>
        <w:rPr>
          <w:rStyle w:val="FootnoteReference"/>
        </w:rPr>
        <w:footnoteRef/>
      </w:r>
      <w:r>
        <w:rPr>
          <w:lang w:val="nn-NO"/>
        </w:rPr>
        <w:tab/>
        <w:t>OV L 321, 20.11.2012., 1./2.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5A46F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BA97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2C2F8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07C2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A06E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A6F1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EC69844"/>
    <w:lvl w:ilvl="0">
      <w:start w:val="1"/>
      <w:numFmt w:val="decimal"/>
      <w:pStyle w:val="ListNumber"/>
      <w:lvlText w:val="%1."/>
      <w:lvlJc w:val="left"/>
      <w:pPr>
        <w:tabs>
          <w:tab w:val="num" w:pos="360"/>
        </w:tabs>
        <w:ind w:left="360" w:hanging="360"/>
      </w:pPr>
    </w:lvl>
  </w:abstractNum>
  <w:abstractNum w:abstractNumId="7">
    <w:nsid w:val="FFFFFF89"/>
    <w:multiLevelType w:val="singleLevel"/>
    <w:tmpl w:val="5B9CFB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hideSpellingErrors/>
  <w:hideGrammaticalErrors/>
  <w:attachedTemplate r:id="rId1"/>
  <w:revisionView w:markup="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0 07:38: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6E45A801-A5F7-475E-81DE-3A3B80C06FA6"/>
    <w:docVar w:name="LW_COVERPAGE_TYPE" w:val="1"/>
    <w:docVar w:name="LW_CROSSREFERENCE" w:val="&lt;UNUSED&gt;"/>
    <w:docVar w:name="LW_DocType" w:val="COM"/>
    <w:docVar w:name="LW_EMISSION" w:val="28.6.2018"/>
    <w:docVar w:name="LW_EMISSION_ISODATE" w:val="2018-06-28"/>
    <w:docVar w:name="LW_EMISSION_LOCATION" w:val="BRX"/>
    <w:docVar w:name="LW_EMISSION_PREFIX" w:val="Briselē, "/>
    <w:docVar w:name="LW_EMISSION_SUFFIX" w:val="."/>
    <w:docVar w:name="LW_ID_DOCMODEL" w:val="SJ-019"/>
    <w:docVar w:name="LW_ID_DOCSIGNATURE" w:val="SJ-019"/>
    <w:docVar w:name="LW_ID_DOCSTRUCTURE" w:val="COM/PL/MOD"/>
    <w:docVar w:name="LW_ID_DOCTYPE" w:val="SG-010"/>
    <w:docVar w:name="LW_ID_STATUT" w:val="SG-010"/>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186"/>
    <w:docVar w:name="LW_REF.II.NEW.CP_YEAR" w:val="2010"/>
    <w:docVar w:name="LW_REF.INST.NEW" w:val="COM"/>
    <w:docVar w:name="LW_REF.INST.NEW_ADOPTED" w:val="final"/>
    <w:docVar w:name="LW_REF.INST.NEW_TEXT" w:val="(2018) 4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Groz\u299?ts priek\u353?likums"/>
    <w:docVar w:name="LW_SUPERTITRE" w:val="&lt;UNUSED&gt;"/>
    <w:docVar w:name="LW_TITRE.OBJ.CP" w:val="par to, lai Savien\u299?bas v\u257?rd\u257? nosl\u275?gtu Kop\u275?j\u257?s gaisa telpas nol\u299?gumu starp Eiropas Savien\u299?bu un t\u257?s dal\u299?bvalst\u299?m, no vienas puses, un Gruziju, no otras puses"/>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Notapplicable">
    <w:name w:val="Not applicable"/>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c01pointaltn">
    <w:name w:val="c01pointaltn"/>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Default"/>
    <w:pPr>
      <w:jc w:val="both"/>
    </w:pPr>
    <w:rPr>
      <w:rFonts w:ascii="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Notapplicable">
    <w:name w:val="Not applicable"/>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c01pointaltn">
    <w:name w:val="c01pointaltn"/>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Default"/>
    <w:pPr>
      <w:jc w:val="both"/>
    </w:pPr>
    <w:rPr>
      <w:rFonts w:ascii="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PDF/?uri=CELEX:52010PC0339&amp;qid=1520852117894&amp;from=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BB19-0898-41F2-9C7A-CC835074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661</Words>
  <Characters>4224</Characters>
  <Application>Microsoft Office Word</Application>
  <DocSecurity>0</DocSecurity>
  <Lines>91</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2017-10-05T07:02:00Z</cp:lastPrinted>
  <dcterms:created xsi:type="dcterms:W3CDTF">2018-06-19T12:45:00Z</dcterms:created>
  <dcterms:modified xsi:type="dcterms:W3CDTF">2018-06-20T05:38:00Z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SG-010</vt:lpwstr>
  </property>
  <property fmtid="{D5CDD505-2E9C-101B-9397-08002B2CF9AE}" pid="9" name="Level of sensitivity">
    <vt:lpwstr>Standard treatment</vt:lpwstr>
  </property>
  <property fmtid="{D5CDD505-2E9C-101B-9397-08002B2CF9AE}" pid="10" name="DQCStatus">
    <vt:lpwstr>Green (DQC version 03)</vt:lpwstr>
  </property>
</Properties>
</file>