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01153166-BB75-4195-AFF4-3102F536D332" style="width:450.8pt;height:396.9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PRÍLOHA</w:t>
      </w:r>
    </w:p>
    <w:p>
      <w:pPr>
        <w:pStyle w:val="ChapterTitle"/>
        <w:rPr>
          <w:noProof/>
        </w:rPr>
      </w:pPr>
      <w:r>
        <w:rPr>
          <w:noProof/>
        </w:rPr>
        <w:t>Nízkouhlíkové referenčné hodnoty a referenčné hodnoty pre kladný vplyv v oblasti emisií uhlíka</w:t>
      </w:r>
    </w:p>
    <w:p>
      <w:pPr>
        <w:pStyle w:val="SectionTitle"/>
        <w:rPr>
          <w:noProof/>
        </w:rPr>
      </w:pPr>
      <w:r>
        <w:rPr>
          <w:noProof/>
        </w:rPr>
        <w:t>Metodika pre nízkouhlíkové referenčné hodnoty</w:t>
      </w:r>
    </w:p>
    <w:p>
      <w:pPr>
        <w:pStyle w:val="NumPar1"/>
        <w:numPr>
          <w:ilvl w:val="0"/>
          <w:numId w:val="1"/>
        </w:numPr>
        <w:rPr>
          <w:noProof/>
        </w:rPr>
      </w:pPr>
      <w:r>
        <w:rPr>
          <w:noProof/>
        </w:rPr>
        <w:t>Správca nízkouhlíkovej referenčnej hodnoty je povinný formalizovať, zdokumentovať a zverejniť akúkoľvek metodiku použitú na výpočet nízkouhlíkových referenčných hodnôt, pričom uvedie: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zoznam podkladových aktív, ktoré sa používajú na výpočet nízkouhlíkovej referenčnej hodnoty;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všetky kritéria a metódy vrátane výberu a váhových koeficientov, metriky a náhrad použitých pri výpočte referenčnej hodnoty;</w:t>
      </w:r>
    </w:p>
    <w:p>
      <w:pPr>
        <w:pStyle w:val="Point1"/>
        <w:rPr>
          <w:rFonts w:eastAsia="Arial Unicode MS"/>
          <w:noProof/>
        </w:rPr>
      </w:pPr>
      <w:r>
        <w:rPr>
          <w:noProof/>
        </w:rPr>
        <w:t>c)</w:t>
      </w:r>
      <w:r>
        <w:rPr>
          <w:noProof/>
        </w:rPr>
        <w:tab/>
        <w:t>kritéria uplatnené s cieľom vylúčiť aktíva alebo spoločnosti, ktoré sú spojené s takou úrovňou uhlíkovej stopy alebo úrovňou zásob fosílnych palív, ktorá neumožňuje zaradenie do nízkouhlíkovej referenčnej hodnoty;</w:t>
      </w:r>
    </w:p>
    <w:p>
      <w:pPr>
        <w:pStyle w:val="Point1"/>
        <w:rPr>
          <w:rFonts w:eastAsia="Arial Unicode MS"/>
          <w:noProof/>
        </w:rPr>
      </w:pPr>
      <w:r>
        <w:rPr>
          <w:noProof/>
        </w:rPr>
        <w:t>d)</w:t>
      </w:r>
      <w:r>
        <w:rPr>
          <w:noProof/>
        </w:rPr>
        <w:tab/>
        <w:t>kritériá a metódy týkajúce sa spôsobu, akým sa prostredníctvom nízkouhlíkovej referenčnej hodnoty meria uhlíková stopa a úspory emisií uhlíka spojené s podkladovými aktívami v indexovom portfóliu;</w:t>
      </w:r>
    </w:p>
    <w:p>
      <w:pPr>
        <w:pStyle w:val="Point1"/>
        <w:rPr>
          <w:rFonts w:eastAsia="Arial Unicode MS"/>
          <w:noProof/>
        </w:rPr>
      </w:pPr>
      <w:r>
        <w:rPr>
          <w:noProof/>
        </w:rPr>
        <w:t>e)</w:t>
      </w:r>
      <w:r>
        <w:rPr>
          <w:noProof/>
        </w:rPr>
        <w:tab/>
        <w:t>odchýlka medzi nízkouhlíkovou referenčnou hodnotou a materským indexom;</w:t>
      </w:r>
    </w:p>
    <w:p>
      <w:pPr>
        <w:pStyle w:val="Point1"/>
        <w:rPr>
          <w:rFonts w:eastAsia="Arial Unicode MS"/>
          <w:noProof/>
        </w:rPr>
      </w:pPr>
      <w:r>
        <w:rPr>
          <w:noProof/>
        </w:rPr>
        <w:t>f)</w:t>
      </w:r>
      <w:r>
        <w:rPr>
          <w:noProof/>
        </w:rPr>
        <w:tab/>
        <w:t>kladné opätovné váženie nízkouhlíkových aktív zahrnutých v nízkouhlíkovej referenčnej hodnote oproti materskému indexu a vysvetlenie dôvodov, pre ktoré je toto opätovné váženie potrebné s cieľom zohľadniť vybrané ciele nízkouhlíkovej referenčnej hodnoty;</w:t>
      </w:r>
    </w:p>
    <w:p>
      <w:pPr>
        <w:pStyle w:val="Point1"/>
        <w:rPr>
          <w:noProof/>
        </w:rPr>
      </w:pPr>
      <w:r>
        <w:rPr>
          <w:noProof/>
        </w:rPr>
        <w:t>g)</w:t>
      </w:r>
      <w:r>
        <w:rPr>
          <w:noProof/>
        </w:rPr>
        <w:tab/>
        <w:t>pomer medzi trhovou hodnotou cenných papierov, ktoré sú zahrnuté v nízkouhlíkovej referenčnej hodnote, a trhovou hodnotou cenných papierov zahrnutých v materskom indexe;</w:t>
      </w:r>
    </w:p>
    <w:p>
      <w:pPr>
        <w:pStyle w:val="Point1"/>
        <w:rPr>
          <w:rFonts w:eastAsia="Arial Unicode MS"/>
          <w:noProof/>
        </w:rPr>
      </w:pPr>
      <w:r>
        <w:rPr>
          <w:noProof/>
        </w:rPr>
        <w:t>h)</w:t>
      </w:r>
      <w:r>
        <w:rPr>
          <w:noProof/>
        </w:rPr>
        <w:tab/>
        <w:t>typ a zdroj vstupných údajov použitých na výber aktív alebo spoločností vhodných pre nízkouhlíkovú referenčnú hodnotu vrátane nižšie uvedeného:</w:t>
      </w:r>
    </w:p>
    <w:p>
      <w:pPr>
        <w:pStyle w:val="Point2"/>
        <w:rPr>
          <w:noProof/>
        </w:rPr>
      </w:pPr>
      <w:r>
        <w:rPr>
          <w:noProof/>
        </w:rPr>
        <w:t>i)</w:t>
      </w:r>
      <w:r>
        <w:rPr>
          <w:noProof/>
        </w:rPr>
        <w:tab/>
        <w:t>emisie zo zdrojov kontrolovaných spoločnosťou;</w:t>
      </w:r>
    </w:p>
    <w:p>
      <w:pPr>
        <w:pStyle w:val="Point2"/>
        <w:rPr>
          <w:noProof/>
        </w:rPr>
      </w:pPr>
      <w:r>
        <w:rPr>
          <w:noProof/>
        </w:rPr>
        <w:t>ii)</w:t>
      </w:r>
      <w:r>
        <w:rPr>
          <w:noProof/>
        </w:rPr>
        <w:tab/>
        <w:t>emisie zo spotreby kúpenej elektrickej energie, pary alebo iných zdrojov energie vyrobenej na dodávateľskom trhu spoločnosti;</w:t>
      </w:r>
    </w:p>
    <w:p>
      <w:pPr>
        <w:pStyle w:val="Point2"/>
        <w:rPr>
          <w:noProof/>
        </w:rPr>
      </w:pPr>
      <w:r>
        <w:rPr>
          <w:noProof/>
        </w:rPr>
        <w:t>iii)</w:t>
      </w:r>
      <w:r>
        <w:rPr>
          <w:noProof/>
        </w:rPr>
        <w:tab/>
        <w:t>emisie, ktoré sú dôsledkom činností spoločnosti, avšak nie sú priamo kontrolované spoločnosťou;</w:t>
      </w:r>
    </w:p>
    <w:p>
      <w:pPr>
        <w:pStyle w:val="Point2"/>
        <w:rPr>
          <w:noProof/>
        </w:rPr>
      </w:pPr>
      <w:r>
        <w:rPr>
          <w:noProof/>
        </w:rPr>
        <w:t>iv)</w:t>
      </w:r>
      <w:r>
        <w:rPr>
          <w:noProof/>
        </w:rPr>
        <w:tab/>
        <w:t>emisie, ktoré budú naďalej existovať, ak produkty alebo služby spoločnosti budú nahradené náhradami s vyššími emisiami uhlíka („úspory emisií“);</w:t>
      </w:r>
    </w:p>
    <w:p>
      <w:pPr>
        <w:pStyle w:val="Point2"/>
        <w:rPr>
          <w:noProof/>
        </w:rPr>
      </w:pPr>
      <w:r>
        <w:rPr>
          <w:noProof/>
        </w:rPr>
        <w:t>v)</w:t>
      </w:r>
      <w:r>
        <w:rPr>
          <w:noProof/>
        </w:rPr>
        <w:tab/>
        <w:t>skutočnosť, či sa v rámci vstupných údajov využívajú metódy environmentálnej stopy výrobkov a environmentálnej stopy organizácií, ako sa vymedzujú v bode 2 písm. a) a b) odporúčania Komisie 2013/179/EÚ;</w:t>
      </w:r>
    </w:p>
    <w:p>
      <w:pPr>
        <w:pStyle w:val="Point1"/>
        <w:rPr>
          <w:noProof/>
        </w:rPr>
      </w:pPr>
      <w:r>
        <w:rPr>
          <w:noProof/>
        </w:rPr>
        <w:lastRenderedPageBreak/>
        <w:t>i)</w:t>
      </w:r>
      <w:r>
        <w:rPr>
          <w:noProof/>
        </w:rPr>
        <w:tab/>
        <w:t>celková expozícia indexového portfólia voči uhlíkovej stope a odhadované vplyvy nízkouhlíkovej stratégie sledovanej referenčnou hodnotou na zmiernenie zmeny klímy;</w:t>
      </w:r>
    </w:p>
    <w:p>
      <w:pPr>
        <w:pStyle w:val="Point1"/>
        <w:rPr>
          <w:noProof/>
        </w:rPr>
      </w:pPr>
      <w:r>
        <w:rPr>
          <w:noProof/>
        </w:rPr>
        <w:t>j)</w:t>
      </w:r>
      <w:r>
        <w:rPr>
          <w:noProof/>
        </w:rPr>
        <w:tab/>
        <w:t>dôvody pre prijatie konkrétnej stratégie alebo cieľa pre nízkouhlíkovú metodiku a vysvetlenie dôvodov, pre ktoré je daná metodika vhodná na výpočet nízkouhlíkových cieľov referenčnej hodnoty;</w:t>
      </w:r>
    </w:p>
    <w:p>
      <w:pPr>
        <w:pStyle w:val="Point1"/>
        <w:rPr>
          <w:rFonts w:eastAsia="Arial Unicode MS"/>
          <w:noProof/>
        </w:rPr>
      </w:pPr>
      <w:r>
        <w:rPr>
          <w:noProof/>
        </w:rPr>
        <w:t>k)</w:t>
      </w:r>
      <w:r>
        <w:rPr>
          <w:noProof/>
        </w:rPr>
        <w:tab/>
        <w:t>postup interného preskúmania a schválenia danej metodiky, ako aj periodicita takéhoto interného preskúmania.</w:t>
      </w:r>
    </w:p>
    <w:p>
      <w:pPr>
        <w:adjustRightInd w:val="0"/>
        <w:spacing w:before="480"/>
        <w:rPr>
          <w:b/>
          <w:i/>
          <w:noProof/>
          <w:szCs w:val="24"/>
        </w:rPr>
      </w:pPr>
      <w:r>
        <w:rPr>
          <w:b/>
          <w:i/>
          <w:noProof/>
        </w:rPr>
        <w:t>Metodika pre referenčné hodnoty pre kladný vplyv v oblasti emisií uhlíka</w:t>
      </w:r>
    </w:p>
    <w:p>
      <w:pPr>
        <w:pStyle w:val="NumPar1"/>
        <w:rPr>
          <w:noProof/>
        </w:rPr>
      </w:pPr>
      <w:r>
        <w:rPr>
          <w:noProof/>
        </w:rPr>
        <w:t>Správcovia referenčnej hodnoty pre kladný vplyv v oblasti emisií uhlíka sú okrem povinností vzťahujúcich sa na správcu nízkouhlíkovej referenčnej hodnoty povinní zverejniť kladný vplyv v oblasti emisií uhlíka každého podkladového aktíva zahrnutého v referenčnej hodnote, ako aj uviesť vzorec alebo výpočet používaný na určenie toho, či úspory emisií prekračujú uhlíkovú stopu investičných aktív alebo spoločnosti („podiel kladného vplyvu v oblasti emisií uhlíka“).</w:t>
      </w:r>
    </w:p>
    <w:p>
      <w:pPr>
        <w:adjustRightInd w:val="0"/>
        <w:rPr>
          <w:b/>
          <w:i/>
          <w:noProof/>
          <w:szCs w:val="24"/>
        </w:rPr>
      </w:pPr>
      <w:r>
        <w:rPr>
          <w:b/>
          <w:i/>
          <w:noProof/>
        </w:rPr>
        <w:t>Zmeny metodiky</w:t>
      </w:r>
    </w:p>
    <w:p>
      <w:pPr>
        <w:pStyle w:val="NumPar1"/>
        <w:rPr>
          <w:noProof/>
        </w:rPr>
      </w:pPr>
      <w:r>
        <w:rPr>
          <w:noProof/>
        </w:rPr>
        <w:t>Správcovia nízkouhlíkových referenčných hodnôt a referenčných hodnôt pre kladný vplyv v oblasti emisií uhlíka prijmú a zverejnia v prospech používateľov postupy a dôvody pre akékoľvek navrhované podstatné zmeny vo svojej metodike. Tieto postupy musia byť v súlade s hlavným cieľom, podľa ktorého musia výpočty referenčných hodnôt nepretržite zodpovedať cieľom, ktorými je dosiahnutie zníženia emisií uhlíka alebo kladného vplyvu v oblasti emisií uhlíka. Týmito postupmi sa zabezpečí: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oznámenie v dostatočnom časovom predstihu umožňujúcom používateľom analyzovať a pripomienkovať vplyv uvedených navrhovaných zmien, a to s prihliadnutím na výpočet zo strany správcov, v ktorom sa zohľadňujú celkové okolnosti;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možnosť pre používateľov pripomienkovať uvedené zmeny a pre správcov odpovedať na tieto pripomienky, pričom tieto pripomienky musia byť prístupné pre všetkých používateľov na trhu po uplynutí akejkoľvek lehoty poskytnutej na konzultáciu, a to s výnimkou prípadu, keď pripomienkujúca osoba požadovala dôvernosť.</w:t>
      </w:r>
    </w:p>
    <w:p>
      <w:pPr>
        <w:pStyle w:val="NumPar1"/>
        <w:rPr>
          <w:noProof/>
        </w:rPr>
      </w:pPr>
      <w:r>
        <w:rPr>
          <w:noProof/>
        </w:rPr>
        <w:t>Správcovia nízkouhlíkových referenčných hodnôt a referenčných hodnôt pre kladný vplyv v oblasti emisií uhlíka pravidelne preskúmavajú svoje metodiky s cieľom zabezpečiť, aby spoľahlivo odrážali relevantné ciele, ktorými je dosiahnutie zníženia emisií uhlíka alebo kladného vplyvu v oblasti emisií uhlíka, pričom musia mať zavedený postup na zohľadňovanie názorov relevantných používateľov.“.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24022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5F441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F4C40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9ECC40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E6EEB7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192AD54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DD032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6064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27 14:52:0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k"/>
    <w:docVar w:name="LW_ACCOMPAGNANT.CP" w:val="k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01153166-BB75-4195-AFF4-3102F536D332"/>
    <w:docVar w:name="LW_COVERPAGE_TYPE" w:val="1"/>
    <w:docVar w:name="LW_CROSSREFERENCE" w:val="{SEC(2018) 257 final}_x000a_{SWD(2018) 264 final}_x000a_{SWD(2018) 265 final}"/>
    <w:docVar w:name="LW_DocType" w:val="ANNEX"/>
    <w:docVar w:name="LW_EMISSION" w:val="24. 5. 2018"/>
    <w:docVar w:name="LW_EMISSION_ISODATE" w:val="2018-05-24"/>
    <w:docVar w:name="LW_EMISSION_LOCATION" w:val="BRX"/>
    <w:docVar w:name="LW_EMISSION_PREFIX" w:val="V Bruseli"/>
    <w:docVar w:name="LW_EMISSION_SUFFIX" w:val="&lt;EMPTY&gt;"/>
    <w:docVar w:name="LW_ID_DOCSTRUCTURE" w:val="COM/ANNEX"/>
    <w:docVar w:name="LW_ID_DOCTYPE" w:val="SG-017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OBJETACTEPRINCIPAL" w:val="ktorým sa mení nariadenie (EÚ) 2016/1011, pokia\u318? ide o nízkouhlíkové referen\u269?né hodnoty a referen\u269?né hodnoty pre kladný vplyv v oblasti emisií uhlíka"/>
    <w:docVar w:name="LW_OBJETACTEPRINCIPAL.CP" w:val="ktorým sa mení nariadenie (EÚ) 2016/1011, pokia\u318? ide o nízkouhlíkové referen\u269?né hodnoty a referen\u269?né hodnoty pre kladný vplyv v oblasti emisií uhlíka"/>
    <w:docVar w:name="LW_PART_NBR" w:val="1"/>
    <w:docVar w:name="LW_PART_NBR_TOTAL" w:val="1"/>
    <w:docVar w:name="LW_REF.INST.NEW" w:val="COM"/>
    <w:docVar w:name="LW_REF.INST.NEW_ADOPTED" w:val="final"/>
    <w:docVar w:name="LW_REF.INST.NEW_TEXT" w:val="(2018) 35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RÍLOHA"/>
    <w:docVar w:name="LW_TYPE.DOC.CP" w:val="PRÍLOHA"/>
    <w:docVar w:name="LW_TYPEACTEPRINCIPAL" w:val="návrhu NARIADENIA EURÓPSKEHO PARLAMENTU A RADY,"/>
    <w:docVar w:name="LW_TYPEACTEPRINCIPAL.CP" w:val="návrhu NARIADENIA EURÓPSKEHO PARLAMENTU A RADY,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3</Pages>
  <Words>619</Words>
  <Characters>4092</Characters>
  <Application>Microsoft Office Word</Application>
  <DocSecurity>0</DocSecurity>
  <Lines>78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SCHILTZ Priscille (FISMA)</dc:creator>
  <cp:lastModifiedBy>DIGIT/A3</cp:lastModifiedBy>
  <cp:revision>7</cp:revision>
  <cp:lastPrinted>2018-05-24T08:44:00Z</cp:lastPrinted>
  <dcterms:created xsi:type="dcterms:W3CDTF">2018-06-26T12:03:00Z</dcterms:created>
  <dcterms:modified xsi:type="dcterms:W3CDTF">2018-06-27T12:52:00Z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