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2C" w:rsidRDefault="00A55ED2" w:rsidP="00A55ED2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BF48AAE-1AA5-44ED-8583-EE5DAD54F7E0" style="width:450.8pt;height:463.95pt">
            <v:imagedata r:id="rId9" o:title=""/>
          </v:shape>
        </w:pict>
      </w:r>
    </w:p>
    <w:p w:rsidR="00093C2C" w:rsidRDefault="00093C2C">
      <w:pPr>
        <w:rPr>
          <w:noProof/>
        </w:rPr>
        <w:sectPr w:rsidR="00093C2C" w:rsidSect="00A55E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093C2C" w:rsidRDefault="00A55ED2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I </w:t>
      </w:r>
      <w:r>
        <w:rPr>
          <w:noProof/>
        </w:rPr>
        <w:br/>
        <w:t>Obliczanie średnich indywidualnych poziomów emisji, średniego docelowego indywidualnego poziomu emisji oraz nadwyżki emisji</w:t>
      </w:r>
    </w:p>
    <w:p w:rsidR="00093C2C" w:rsidRDefault="00A55ED2">
      <w:pPr>
        <w:pStyle w:val="Heading1"/>
        <w:numPr>
          <w:ilvl w:val="0"/>
          <w:numId w:val="9"/>
        </w:numPr>
        <w:rPr>
          <w:noProof/>
        </w:rPr>
      </w:pPr>
      <w:r>
        <w:rPr>
          <w:noProof/>
        </w:rPr>
        <w:t xml:space="preserve">podgrupy </w:t>
      </w:r>
      <w:r>
        <w:rPr>
          <w:noProof/>
        </w:rPr>
        <w:t>pojazdów</w:t>
      </w:r>
    </w:p>
    <w:p w:rsidR="00093C2C" w:rsidRDefault="00A55ED2">
      <w:pPr>
        <w:ind w:left="850"/>
        <w:rPr>
          <w:noProof/>
        </w:rPr>
      </w:pPr>
      <w:r>
        <w:rPr>
          <w:noProof/>
        </w:rPr>
        <w:t>Każdy nowy pojazd ciężki jest przypisany do jednej z podgrup określonych w tabeli 1 zgodnie z podanymi w niej warunkami.</w:t>
      </w:r>
    </w:p>
    <w:p w:rsidR="00093C2C" w:rsidRDefault="00A55ED2">
      <w:pPr>
        <w:ind w:left="850"/>
        <w:rPr>
          <w:b/>
          <w:noProof/>
        </w:rPr>
      </w:pPr>
      <w:r>
        <w:rPr>
          <w:b/>
          <w:noProof/>
        </w:rPr>
        <w:t>Tabela 1 – Podgrupy pojazdów (sg)</w:t>
      </w:r>
    </w:p>
    <w:tbl>
      <w:tblPr>
        <w:tblStyle w:val="TableGrid"/>
        <w:tblW w:w="6913" w:type="dxa"/>
        <w:tblInd w:w="850" w:type="dxa"/>
        <w:tblLayout w:type="fixed"/>
        <w:tblLook w:val="04A0" w:firstRow="1" w:lastRow="0" w:firstColumn="1" w:lastColumn="0" w:noHBand="0" w:noVBand="1"/>
      </w:tblPr>
      <w:tblGrid>
        <w:gridCol w:w="2377"/>
        <w:gridCol w:w="1559"/>
        <w:gridCol w:w="1559"/>
        <w:gridCol w:w="1418"/>
      </w:tblGrid>
      <w:tr w:rsidR="00093C2C">
        <w:tc>
          <w:tcPr>
            <w:tcW w:w="2377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Pojazdy ciężkie 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Typ kabiny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Moc silnika</w:t>
            </w:r>
          </w:p>
        </w:tc>
        <w:tc>
          <w:tcPr>
            <w:tcW w:w="1418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Podgrupa pojazdów (sg)</w:t>
            </w:r>
          </w:p>
        </w:tc>
      </w:tr>
      <w:tr w:rsidR="00093C2C">
        <w:tc>
          <w:tcPr>
            <w:tcW w:w="2377" w:type="dxa"/>
            <w:vMerge w:val="restart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 xml:space="preserve">Samochody ciężarowe </w:t>
            </w:r>
            <w:r>
              <w:rPr>
                <w:noProof/>
              </w:rPr>
              <w:t>jednoczłonowe o konfiguracji osi 4x2 i o maksymalnej masie całkowitej &gt; 16 ton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Wszystkie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&lt;170 kW</w:t>
            </w:r>
          </w:p>
        </w:tc>
        <w:tc>
          <w:tcPr>
            <w:tcW w:w="1418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  <w:p w:rsidR="00093C2C" w:rsidRDefault="00093C2C">
            <w:pPr>
              <w:rPr>
                <w:b/>
                <w:noProof/>
              </w:rPr>
            </w:pPr>
          </w:p>
        </w:tc>
      </w:tr>
      <w:tr w:rsidR="00093C2C">
        <w:tc>
          <w:tcPr>
            <w:tcW w:w="2377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Kabina dzienna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≥170 kW</w:t>
            </w:r>
          </w:p>
        </w:tc>
        <w:tc>
          <w:tcPr>
            <w:tcW w:w="1418" w:type="dxa"/>
            <w:vMerge w:val="restart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</w:tr>
      <w:tr w:rsidR="00093C2C">
        <w:tc>
          <w:tcPr>
            <w:tcW w:w="2377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Kabina sypialna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≥170 kW i &lt;265 kW</w:t>
            </w:r>
          </w:p>
        </w:tc>
        <w:tc>
          <w:tcPr>
            <w:tcW w:w="1418" w:type="dxa"/>
            <w:vMerge/>
          </w:tcPr>
          <w:p w:rsidR="00093C2C" w:rsidRDefault="00093C2C">
            <w:pPr>
              <w:rPr>
                <w:b/>
                <w:noProof/>
              </w:rPr>
            </w:pPr>
          </w:p>
        </w:tc>
      </w:tr>
      <w:tr w:rsidR="00093C2C">
        <w:tc>
          <w:tcPr>
            <w:tcW w:w="2377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Kabina sypialna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≥265 kW</w:t>
            </w:r>
          </w:p>
        </w:tc>
        <w:tc>
          <w:tcPr>
            <w:tcW w:w="1418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</w:tr>
      <w:tr w:rsidR="00093C2C">
        <w:tc>
          <w:tcPr>
            <w:tcW w:w="2377" w:type="dxa"/>
            <w:vMerge w:val="restart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 xml:space="preserve">Samochody ciężarowe jednoczłonowe o konfiguracji </w:t>
            </w:r>
            <w:r>
              <w:rPr>
                <w:noProof/>
              </w:rPr>
              <w:t>osi 6x2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Kabina dzienna</w:t>
            </w:r>
          </w:p>
        </w:tc>
        <w:tc>
          <w:tcPr>
            <w:tcW w:w="1559" w:type="dxa"/>
            <w:vMerge w:val="restart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Wszystkie</w:t>
            </w:r>
          </w:p>
        </w:tc>
        <w:tc>
          <w:tcPr>
            <w:tcW w:w="1418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</w:tr>
      <w:tr w:rsidR="00093C2C">
        <w:tc>
          <w:tcPr>
            <w:tcW w:w="2377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Kabina sypialna</w:t>
            </w:r>
          </w:p>
        </w:tc>
        <w:tc>
          <w:tcPr>
            <w:tcW w:w="1559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418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</w:tr>
      <w:tr w:rsidR="00093C2C">
        <w:tc>
          <w:tcPr>
            <w:tcW w:w="2377" w:type="dxa"/>
            <w:vMerge w:val="restart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Ciągniki o konfiguracji osi 4x2 i o maksymalnej masie całkowitej &gt; 16 ton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Kabina dzienna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Wszystkie</w:t>
            </w:r>
          </w:p>
        </w:tc>
        <w:tc>
          <w:tcPr>
            <w:tcW w:w="1418" w:type="dxa"/>
            <w:vMerge w:val="restart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</w:tr>
      <w:tr w:rsidR="00093C2C">
        <w:tc>
          <w:tcPr>
            <w:tcW w:w="2377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Kabina sypialna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&lt; 265 kW</w:t>
            </w:r>
          </w:p>
        </w:tc>
        <w:tc>
          <w:tcPr>
            <w:tcW w:w="1418" w:type="dxa"/>
            <w:vMerge/>
          </w:tcPr>
          <w:p w:rsidR="00093C2C" w:rsidRDefault="00093C2C">
            <w:pPr>
              <w:rPr>
                <w:b/>
                <w:noProof/>
              </w:rPr>
            </w:pPr>
          </w:p>
        </w:tc>
      </w:tr>
      <w:tr w:rsidR="00093C2C">
        <w:tc>
          <w:tcPr>
            <w:tcW w:w="2377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Kabina sypialna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≥ 265 kW</w:t>
            </w:r>
          </w:p>
        </w:tc>
        <w:tc>
          <w:tcPr>
            <w:tcW w:w="1418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</w:tr>
      <w:tr w:rsidR="00093C2C">
        <w:tc>
          <w:tcPr>
            <w:tcW w:w="2377" w:type="dxa"/>
            <w:vMerge w:val="restart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 xml:space="preserve">Ciągniki o konfiguracji </w:t>
            </w:r>
            <w:r>
              <w:rPr>
                <w:noProof/>
              </w:rPr>
              <w:t>osi 6x2</w:t>
            </w: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Kabina dzienna</w:t>
            </w:r>
          </w:p>
        </w:tc>
        <w:tc>
          <w:tcPr>
            <w:tcW w:w="1559" w:type="dxa"/>
            <w:vMerge w:val="restart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Wszystkie</w:t>
            </w:r>
          </w:p>
        </w:tc>
        <w:tc>
          <w:tcPr>
            <w:tcW w:w="1418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</w:tr>
      <w:tr w:rsidR="00093C2C">
        <w:tc>
          <w:tcPr>
            <w:tcW w:w="2377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559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Kabina sypialna</w:t>
            </w:r>
          </w:p>
        </w:tc>
        <w:tc>
          <w:tcPr>
            <w:tcW w:w="1559" w:type="dxa"/>
            <w:vMerge/>
          </w:tcPr>
          <w:p w:rsidR="00093C2C" w:rsidRDefault="00093C2C">
            <w:pPr>
              <w:rPr>
                <w:noProof/>
              </w:rPr>
            </w:pPr>
          </w:p>
        </w:tc>
        <w:tc>
          <w:tcPr>
            <w:tcW w:w="1418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</w:tr>
    </w:tbl>
    <w:p w:rsidR="00093C2C" w:rsidRDefault="00093C2C">
      <w:pPr>
        <w:spacing w:before="0" w:after="0"/>
        <w:ind w:left="720"/>
        <w:jc w:val="left"/>
        <w:rPr>
          <w:rFonts w:ascii="Calibri" w:eastAsia="Times New Roman" w:hAnsi="Calibri"/>
          <w:noProof/>
          <w:sz w:val="22"/>
          <w:shd w:val="clear" w:color="auto" w:fill="FFFF00"/>
        </w:rPr>
      </w:pPr>
    </w:p>
    <w:p w:rsidR="00093C2C" w:rsidRDefault="00A55ED2">
      <w:pPr>
        <w:ind w:left="850"/>
        <w:rPr>
          <w:noProof/>
          <w:sz w:val="22"/>
        </w:rPr>
      </w:pPr>
      <w:r>
        <w:rPr>
          <w:noProof/>
          <w:sz w:val="22"/>
        </w:rPr>
        <w:t xml:space="preserve">„Kabina sypialna” oznacza typ kabiny z przedziałem, który znajduje się za siedzeniem kierowcy, przeznaczonym do spania, zgłaszany zgodnie z rozporządzeniem (UE) 2018/... [HDV M&amp;R]. </w:t>
      </w:r>
    </w:p>
    <w:p w:rsidR="00093C2C" w:rsidRDefault="00A55ED2">
      <w:pPr>
        <w:ind w:left="850"/>
        <w:rPr>
          <w:noProof/>
          <w:sz w:val="22"/>
        </w:rPr>
      </w:pPr>
      <w:r>
        <w:rPr>
          <w:noProof/>
          <w:sz w:val="22"/>
        </w:rPr>
        <w:lastRenderedPageBreak/>
        <w:t xml:space="preserve">„Kabina </w:t>
      </w:r>
      <w:r>
        <w:rPr>
          <w:noProof/>
          <w:sz w:val="22"/>
        </w:rPr>
        <w:t>dzienna” oznacza typ kabiny, która nie jest kabiną sypialną.</w:t>
      </w:r>
    </w:p>
    <w:p w:rsidR="00093C2C" w:rsidRDefault="00A55ED2">
      <w:pPr>
        <w:ind w:left="850"/>
        <w:rPr>
          <w:noProof/>
          <w:sz w:val="22"/>
        </w:rPr>
      </w:pPr>
      <w:r>
        <w:rPr>
          <w:noProof/>
          <w:sz w:val="22"/>
        </w:rPr>
        <w:t>Jeżeli nowego pojazdu ciężkiego nie można przypisać do podgrupy pojazdów, ponieważ nie są dostępne informacje o rodzaju kabiny lub mocy silnika, należy go przypisać do podgrupy pojazdów dalekobie</w:t>
      </w:r>
      <w:r>
        <w:rPr>
          <w:noProof/>
          <w:sz w:val="22"/>
        </w:rPr>
        <w:t>żnych (LH) odpowiadającej jego typowi podwozia (samochód ciężarowy jednoczłonowy lub ciągnik) i konfiguracji osi (4x2 lub 6x2).</w:t>
      </w:r>
    </w:p>
    <w:p w:rsidR="00093C2C" w:rsidRDefault="00A55ED2">
      <w:pPr>
        <w:ind w:left="851"/>
        <w:rPr>
          <w:noProof/>
          <w:sz w:val="22"/>
        </w:rPr>
      </w:pPr>
      <w:r>
        <w:rPr>
          <w:noProof/>
          <w:sz w:val="22"/>
        </w:rPr>
        <w:t>Jeżeli nowy pojazd ciężki jest przypisany do podgrupy 4-UD, ale dane dotyczące emisji CO</w:t>
      </w:r>
      <w:r>
        <w:rPr>
          <w:noProof/>
          <w:sz w:val="22"/>
          <w:vertAlign w:val="subscript"/>
        </w:rPr>
        <w:t>2</w:t>
      </w:r>
      <w:r>
        <w:rPr>
          <w:noProof/>
          <w:sz w:val="22"/>
        </w:rPr>
        <w:t xml:space="preserve"> w g/km nie są dostępne dla profili zad</w:t>
      </w:r>
      <w:r>
        <w:rPr>
          <w:noProof/>
          <w:sz w:val="22"/>
        </w:rPr>
        <w:t>ań UDL lub UDR określonych w tabeli 2 w pkt 2.1, nowy pojazd ciężki należy przypisać do podgrupy 4-RD.</w:t>
      </w:r>
    </w:p>
    <w:p w:rsidR="00093C2C" w:rsidRDefault="00A55ED2">
      <w:pPr>
        <w:pStyle w:val="Heading1"/>
        <w:rPr>
          <w:noProof/>
        </w:rPr>
      </w:pPr>
      <w:r>
        <w:rPr>
          <w:noProof/>
        </w:rPr>
        <w:t>Obliczanie średniego indywidualnego poziomu emisji producenta</w:t>
      </w:r>
    </w:p>
    <w:p w:rsidR="00093C2C" w:rsidRDefault="00A55ED2">
      <w:pPr>
        <w:pStyle w:val="Heading2"/>
        <w:rPr>
          <w:noProof/>
        </w:rPr>
      </w:pPr>
      <w:r>
        <w:rPr>
          <w:noProof/>
        </w:rPr>
        <w:t>Obliczanie indywidualnego poziomu emisji CO</w:t>
      </w:r>
      <w:r>
        <w:rPr>
          <w:noProof/>
          <w:vertAlign w:val="subscript"/>
        </w:rPr>
        <w:t>2</w:t>
      </w:r>
      <w:r>
        <w:rPr>
          <w:noProof/>
        </w:rPr>
        <w:t xml:space="preserve"> dla nowego pojazdu ciężkiego</w:t>
      </w:r>
    </w:p>
    <w:p w:rsidR="00093C2C" w:rsidRDefault="00A55ED2">
      <w:pPr>
        <w:ind w:left="850"/>
        <w:rPr>
          <w:noProof/>
        </w:rPr>
      </w:pPr>
      <w:r>
        <w:rPr>
          <w:noProof/>
        </w:rPr>
        <w:t xml:space="preserve">Indywidualny </w:t>
      </w:r>
      <w:r>
        <w:rPr>
          <w:noProof/>
        </w:rPr>
        <w:t>poziom emisji w g/km (</w:t>
      </w: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>v</w:t>
      </w:r>
      <w:r>
        <w:rPr>
          <w:noProof/>
        </w:rPr>
        <w:t xml:space="preserve">) nowego pojazdu ciężkiego </w:t>
      </w:r>
      <w:r>
        <w:rPr>
          <w:i/>
          <w:noProof/>
        </w:rPr>
        <w:t>v</w:t>
      </w:r>
      <w:r>
        <w:rPr>
          <w:noProof/>
        </w:rPr>
        <w:t xml:space="preserve"> przypisanego do podgrupy </w:t>
      </w:r>
      <w:r>
        <w:rPr>
          <w:i/>
          <w:noProof/>
        </w:rPr>
        <w:t>sg</w:t>
      </w:r>
      <w:r>
        <w:rPr>
          <w:noProof/>
        </w:rPr>
        <w:t xml:space="preserve"> oblicza się zgodnie z następującym wzorem:</w:t>
      </w:r>
    </w:p>
    <w:p w:rsidR="00093C2C" w:rsidRDefault="00093C2C">
      <w:pPr>
        <w:ind w:left="850"/>
        <w:rPr>
          <w:noProof/>
        </w:rPr>
      </w:pPr>
    </w:p>
    <w:p w:rsidR="00093C2C" w:rsidRDefault="00A55ED2">
      <w:pPr>
        <w:pStyle w:val="Text4"/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mp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  <m:r>
                    <w:rPr>
                      <w:rFonts w:ascii="Cambria Math" w:hAnsi="Cambria Math"/>
                      <w:noProof/>
                    </w:rPr>
                    <m:t>mp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noProof/>
            </w:rPr>
            <m:t>×</m:t>
          </m:r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r>
                <w:rPr>
                  <w:rFonts w:ascii="Cambria Math" w:hAnsi="Cambria Math"/>
                  <w:noProof/>
                </w:rPr>
                <m:t>mp</m:t>
              </m:r>
            </m:sub>
          </m:sSub>
        </m:oMath>
      </m:oMathPara>
    </w:p>
    <w:p w:rsidR="00093C2C" w:rsidRDefault="00A55ED2">
      <w:pPr>
        <w:ind w:left="850"/>
        <w:rPr>
          <w:noProof/>
          <w:szCs w:val="24"/>
        </w:rPr>
      </w:pPr>
      <w:r>
        <w:rPr>
          <w:noProof/>
        </w:rPr>
        <w:t>gdzie:</w:t>
      </w:r>
    </w:p>
    <w:p w:rsidR="00093C2C" w:rsidRDefault="00A55ED2">
      <w:pPr>
        <w:ind w:left="850"/>
        <w:rPr>
          <w:noProof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</w:rPr>
              <m:t>mp</m:t>
            </m:r>
          </m:e>
        </m:nary>
      </m:oMath>
      <w:r>
        <w:rPr>
          <w:noProof/>
        </w:rPr>
        <w:tab/>
      </w:r>
      <w:r>
        <w:rPr>
          <w:noProof/>
        </w:rPr>
        <w:tab/>
        <w:t xml:space="preserve">oznacza sumę wszystkich profili zadań </w:t>
      </w:r>
      <w:r>
        <w:rPr>
          <w:i/>
          <w:noProof/>
        </w:rPr>
        <w:t>mp</w:t>
      </w:r>
      <w:r>
        <w:rPr>
          <w:noProof/>
        </w:rPr>
        <w:t xml:space="preserve"> wymienionych w tabeli 2;</w:t>
      </w:r>
    </w:p>
    <w:p w:rsidR="00093C2C" w:rsidRDefault="00A55ED2">
      <w:pPr>
        <w:ind w:left="2155" w:hanging="1305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 xml:space="preserve">oznacza podgrupę, do której przypisano nowy pojazd ciężki </w:t>
      </w:r>
      <w:r>
        <w:rPr>
          <w:i/>
          <w:noProof/>
        </w:rPr>
        <w:t>v</w:t>
      </w:r>
      <w:r>
        <w:rPr>
          <w:noProof/>
        </w:rPr>
        <w:t xml:space="preserve"> zgodnie z sekcją 1 niniejszego załącznika;</w:t>
      </w:r>
    </w:p>
    <w:p w:rsidR="00093C2C" w:rsidRDefault="00A55ED2">
      <w:pPr>
        <w:ind w:left="2155" w:hanging="1305"/>
        <w:rPr>
          <w:noProof/>
          <w:szCs w:val="24"/>
        </w:rPr>
      </w:pPr>
      <w:r>
        <w:rPr>
          <w:noProof/>
        </w:rPr>
        <w:t>W</w:t>
      </w:r>
      <w:r>
        <w:rPr>
          <w:noProof/>
          <w:vertAlign w:val="subscript"/>
        </w:rPr>
        <w:t>sg,mp,</w:t>
      </w:r>
      <w:r>
        <w:rPr>
          <w:noProof/>
        </w:rPr>
        <w:t xml:space="preserve"> </w:t>
      </w:r>
      <w:r>
        <w:rPr>
          <w:noProof/>
        </w:rPr>
        <w:tab/>
        <w:t>oznacza wagę profilu zadań określoną w tabeli 2;</w:t>
      </w:r>
    </w:p>
    <w:p w:rsidR="00093C2C" w:rsidRDefault="00A55ED2">
      <w:pPr>
        <w:ind w:left="2155" w:hanging="1305"/>
        <w:rPr>
          <w:noProof/>
          <w:szCs w:val="24"/>
        </w:rPr>
      </w:pPr>
      <w:r>
        <w:rPr>
          <w:noProof/>
        </w:rPr>
        <w:t>CO2</w:t>
      </w:r>
      <w:r>
        <w:rPr>
          <w:noProof/>
          <w:vertAlign w:val="subscript"/>
        </w:rPr>
        <w:t>v,mp</w:t>
      </w:r>
      <w:r>
        <w:rPr>
          <w:noProof/>
        </w:rPr>
        <w:tab/>
        <w:t>oznacza emisje CO</w:t>
      </w:r>
      <w:r>
        <w:rPr>
          <w:noProof/>
          <w:vertAlign w:val="subscript"/>
        </w:rPr>
        <w:t>2</w:t>
      </w:r>
      <w:r>
        <w:rPr>
          <w:noProof/>
        </w:rPr>
        <w:t xml:space="preserve"> w g/km nowego pojazdu ciężkiego </w:t>
      </w:r>
      <w:r>
        <w:rPr>
          <w:i/>
          <w:noProof/>
        </w:rPr>
        <w:t>v</w:t>
      </w:r>
      <w:r>
        <w:rPr>
          <w:noProof/>
        </w:rPr>
        <w:t xml:space="preserve"> określone dla profilu zadań </w:t>
      </w:r>
      <w:r>
        <w:rPr>
          <w:i/>
          <w:noProof/>
        </w:rPr>
        <w:t>mp</w:t>
      </w:r>
      <w:r>
        <w:rPr>
          <w:noProof/>
        </w:rPr>
        <w:t xml:space="preserve"> i z</w:t>
      </w:r>
      <w:r>
        <w:rPr>
          <w:noProof/>
        </w:rPr>
        <w:t xml:space="preserve">głoszone zgodnie z rozporządzeniem (UE) 2018/… [HDV M&amp;R]. </w:t>
      </w:r>
    </w:p>
    <w:p w:rsidR="00093C2C" w:rsidRDefault="00A55ED2">
      <w:pPr>
        <w:ind w:left="851"/>
        <w:rPr>
          <w:noProof/>
        </w:rPr>
      </w:pPr>
      <w:r>
        <w:rPr>
          <w:noProof/>
        </w:rPr>
        <w:t>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bezemisyjnego pojazdu ciężkiego ustala się na poziomie 0 g CO</w:t>
      </w:r>
      <w:r>
        <w:rPr>
          <w:noProof/>
          <w:vertAlign w:val="subscript"/>
        </w:rPr>
        <w:t>2</w:t>
      </w:r>
      <w:r>
        <w:rPr>
          <w:noProof/>
        </w:rPr>
        <w:t>/km.</w:t>
      </w:r>
    </w:p>
    <w:p w:rsidR="00093C2C" w:rsidRDefault="00A55ED2">
      <w:pPr>
        <w:ind w:left="851"/>
        <w:rPr>
          <w:noProof/>
        </w:rPr>
      </w:pPr>
      <w:r>
        <w:rPr>
          <w:noProof/>
        </w:rPr>
        <w:t>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pojazdu specjalistycznego jest średnią emisji CO</w:t>
      </w:r>
      <w:r>
        <w:rPr>
          <w:noProof/>
          <w:vertAlign w:val="subscript"/>
        </w:rPr>
        <w:t>2</w:t>
      </w:r>
      <w:r>
        <w:rPr>
          <w:noProof/>
        </w:rPr>
        <w:t xml:space="preserve"> w g/km zgłaszaną z</w:t>
      </w:r>
      <w:r>
        <w:rPr>
          <w:noProof/>
        </w:rPr>
        <w:t>godnie z rozporządzeniem (UE) 2018/… [HDV M&amp;R].</w:t>
      </w:r>
    </w:p>
    <w:p w:rsidR="00093C2C" w:rsidRDefault="00A55ED2">
      <w:pPr>
        <w:ind w:left="850"/>
        <w:rPr>
          <w:b/>
          <w:noProof/>
        </w:rPr>
      </w:pPr>
      <w:r>
        <w:rPr>
          <w:b/>
          <w:noProof/>
        </w:rPr>
        <w:t xml:space="preserve">Tabela 2 – Wagi profili zadań </w:t>
      </w:r>
      <w:r>
        <w:rPr>
          <w:noProof/>
        </w:rPr>
        <w:t>(</w:t>
      </w:r>
      <w:r>
        <w:rPr>
          <w:b/>
          <w:noProof/>
        </w:rPr>
        <w:t>W</w:t>
      </w:r>
      <w:r>
        <w:rPr>
          <w:b/>
          <w:noProof/>
          <w:vertAlign w:val="subscript"/>
        </w:rPr>
        <w:t>sg,mp</w:t>
      </w:r>
      <w:r>
        <w:rPr>
          <w:b/>
          <w:noProof/>
        </w:rPr>
        <w:t>)</w:t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1230"/>
        <w:gridCol w:w="834"/>
        <w:gridCol w:w="850"/>
        <w:gridCol w:w="851"/>
        <w:gridCol w:w="992"/>
        <w:gridCol w:w="723"/>
        <w:gridCol w:w="978"/>
        <w:gridCol w:w="1701"/>
      </w:tblGrid>
      <w:tr w:rsidR="00093C2C">
        <w:tc>
          <w:tcPr>
            <w:tcW w:w="976" w:type="dxa"/>
            <w:vMerge w:val="restart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Podgrupa pojazdów</w:t>
            </w:r>
          </w:p>
          <w:p w:rsidR="00093C2C" w:rsidRDefault="00A55ED2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(sg)</w:t>
            </w:r>
          </w:p>
        </w:tc>
        <w:tc>
          <w:tcPr>
            <w:tcW w:w="6929" w:type="dxa"/>
            <w:gridSpan w:val="7"/>
          </w:tcPr>
          <w:p w:rsidR="00093C2C" w:rsidRDefault="00A55ED2">
            <w:pPr>
              <w:jc w:val="center"/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Profil zadań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(</w:t>
            </w:r>
            <w:r>
              <w:rPr>
                <w:b/>
                <w:i/>
                <w:noProof/>
              </w:rPr>
              <w:t>mp)</w:t>
            </w:r>
            <w:r>
              <w:rPr>
                <w:b/>
                <w:noProof/>
                <w:vertAlign w:val="superscript"/>
              </w:rPr>
              <w:t xml:space="preserve"> </w:t>
            </w:r>
          </w:p>
          <w:p w:rsidR="00093C2C" w:rsidRDefault="00093C2C">
            <w:pPr>
              <w:jc w:val="center"/>
              <w:rPr>
                <w:b/>
                <w:noProof/>
                <w:highlight w:val="yellow"/>
              </w:rPr>
            </w:pPr>
          </w:p>
        </w:tc>
      </w:tr>
      <w:tr w:rsidR="00093C2C">
        <w:tc>
          <w:tcPr>
            <w:tcW w:w="976" w:type="dxa"/>
            <w:vMerge/>
          </w:tcPr>
          <w:p w:rsidR="00093C2C" w:rsidRDefault="00093C2C">
            <w:pPr>
              <w:rPr>
                <w:b/>
                <w:noProof/>
              </w:rPr>
            </w:pPr>
          </w:p>
        </w:tc>
        <w:tc>
          <w:tcPr>
            <w:tcW w:w="834" w:type="dxa"/>
          </w:tcPr>
          <w:p w:rsidR="00093C2C" w:rsidRDefault="00A55ED2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RDL</w:t>
            </w:r>
          </w:p>
        </w:tc>
        <w:tc>
          <w:tcPr>
            <w:tcW w:w="850" w:type="dxa"/>
          </w:tcPr>
          <w:p w:rsidR="00093C2C" w:rsidRDefault="00A55ED2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RDR</w:t>
            </w:r>
          </w:p>
        </w:tc>
        <w:tc>
          <w:tcPr>
            <w:tcW w:w="851" w:type="dxa"/>
          </w:tcPr>
          <w:p w:rsidR="00093C2C" w:rsidRDefault="00A55ED2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LHL</w:t>
            </w:r>
          </w:p>
        </w:tc>
        <w:tc>
          <w:tcPr>
            <w:tcW w:w="992" w:type="dxa"/>
          </w:tcPr>
          <w:p w:rsidR="00093C2C" w:rsidRDefault="00A55ED2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LHR</w:t>
            </w:r>
          </w:p>
        </w:tc>
        <w:tc>
          <w:tcPr>
            <w:tcW w:w="723" w:type="dxa"/>
          </w:tcPr>
          <w:p w:rsidR="00093C2C" w:rsidRDefault="00A55ED2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UDL</w:t>
            </w:r>
          </w:p>
        </w:tc>
        <w:tc>
          <w:tcPr>
            <w:tcW w:w="978" w:type="dxa"/>
          </w:tcPr>
          <w:p w:rsidR="00093C2C" w:rsidRDefault="00A55ED2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UDR</w:t>
            </w:r>
          </w:p>
        </w:tc>
        <w:tc>
          <w:tcPr>
            <w:tcW w:w="1701" w:type="dxa"/>
          </w:tcPr>
          <w:p w:rsidR="00093C2C" w:rsidRDefault="00A55ED2">
            <w:pPr>
              <w:jc w:val="left"/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REL, RER, LEL, LER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9-LH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93C2C">
        <w:tc>
          <w:tcPr>
            <w:tcW w:w="976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834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093C2C" w:rsidRDefault="00A55E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093C2C" w:rsidRDefault="00093C2C">
      <w:pPr>
        <w:ind w:left="850"/>
        <w:rPr>
          <w:b/>
          <w:noProof/>
          <w:vertAlign w:val="superscript"/>
        </w:rPr>
      </w:pPr>
    </w:p>
    <w:p w:rsidR="00093C2C" w:rsidRDefault="00A55ED2">
      <w:pPr>
        <w:ind w:left="850"/>
        <w:rPr>
          <w:noProof/>
        </w:rPr>
      </w:pPr>
      <w:r>
        <w:rPr>
          <w:b/>
          <w:noProof/>
          <w:vertAlign w:val="superscript"/>
        </w:rPr>
        <w:t>1</w:t>
      </w:r>
      <w:r>
        <w:rPr>
          <w:b/>
          <w:noProof/>
        </w:rPr>
        <w:t>Definicje profili zadań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5568"/>
      </w:tblGrid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RDL 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 xml:space="preserve">Transport </w:t>
            </w:r>
            <w:r>
              <w:rPr>
                <w:noProof/>
              </w:rPr>
              <w:t>regionalny, mała ładowność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RDR 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 xml:space="preserve">Transport regionalny, ładowność reprezentatywna 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LHL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 xml:space="preserve">Transport długodystansowy, mała ładowność 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LHR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 xml:space="preserve">Transport długodystansowy, ładowność reprezentatywna 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UDL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Transport miejski, mała ładowność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UDR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 xml:space="preserve">Transport miejski, </w:t>
            </w:r>
            <w:r>
              <w:rPr>
                <w:noProof/>
              </w:rPr>
              <w:t>ładowność reprezentatywna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REL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Transport regionalny (EMS), mała ładowność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RER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Transport regionalny (EMS), ładowność reprezentatywna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LEL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Transport długodystansowy (EMS), mała ładowność</w:t>
            </w:r>
          </w:p>
        </w:tc>
      </w:tr>
      <w:tr w:rsidR="00093C2C">
        <w:tc>
          <w:tcPr>
            <w:tcW w:w="890" w:type="dxa"/>
          </w:tcPr>
          <w:p w:rsidR="00093C2C" w:rsidRDefault="00A55ED2">
            <w:pPr>
              <w:rPr>
                <w:b/>
                <w:noProof/>
              </w:rPr>
            </w:pPr>
            <w:r>
              <w:rPr>
                <w:b/>
                <w:noProof/>
              </w:rPr>
              <w:t>LER</w:t>
            </w:r>
          </w:p>
        </w:tc>
        <w:tc>
          <w:tcPr>
            <w:tcW w:w="5568" w:type="dxa"/>
          </w:tcPr>
          <w:p w:rsidR="00093C2C" w:rsidRDefault="00A55ED2">
            <w:pPr>
              <w:rPr>
                <w:noProof/>
              </w:rPr>
            </w:pPr>
            <w:r>
              <w:rPr>
                <w:noProof/>
              </w:rPr>
              <w:t>Transport długodystansowy (EMS), ładowność reprezentatywna</w:t>
            </w:r>
          </w:p>
        </w:tc>
      </w:tr>
    </w:tbl>
    <w:p w:rsidR="00093C2C" w:rsidRDefault="00093C2C">
      <w:pPr>
        <w:ind w:left="850"/>
        <w:rPr>
          <w:noProof/>
        </w:rPr>
      </w:pPr>
    </w:p>
    <w:p w:rsidR="00093C2C" w:rsidRDefault="00A55ED2">
      <w:pPr>
        <w:pStyle w:val="Heading2"/>
        <w:rPr>
          <w:noProof/>
        </w:rPr>
      </w:pPr>
      <w:r>
        <w:rPr>
          <w:noProof/>
        </w:rPr>
        <w:t>Średni 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wszystkich nowych pojazdów ciężkich w podgrupie producenta</w:t>
      </w:r>
    </w:p>
    <w:p w:rsidR="00093C2C" w:rsidRDefault="00A55ED2">
      <w:pPr>
        <w:ind w:left="850"/>
        <w:rPr>
          <w:noProof/>
        </w:rPr>
      </w:pPr>
      <w:r>
        <w:rPr>
          <w:noProof/>
        </w:rPr>
        <w:t>Dla każdego producenta i każdego roku kalendarzowego średni 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w g/tkm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 xml:space="preserve"> </m:t>
            </m:r>
            <m:r>
              <w:rPr>
                <w:rFonts w:ascii="Cambria Math" w:hAnsi="Cambria Math"/>
                <w:noProof/>
              </w:rPr>
              <m:t>avgCO</m:t>
            </m:r>
            <m:r>
              <w:rPr>
                <w:rFonts w:ascii="Cambria Math" w:hAnsi="Cambria Math"/>
                <w:noProof/>
              </w:rPr>
              <m:t>2</m:t>
            </m:r>
          </m:e>
          <m:sub>
            <m:r>
              <w:rPr>
                <w:rFonts w:ascii="Cambria Math" w:hAnsi="Cambria Math"/>
                <w:noProof/>
              </w:rPr>
              <m:t>sg</m:t>
            </m:r>
          </m:sub>
        </m:sSub>
      </m:oMath>
      <w:r>
        <w:rPr>
          <w:noProof/>
        </w:rPr>
        <w:t xml:space="preserve">) wszystkich nowych pojazdów ciężkich w podgrupie </w:t>
      </w:r>
      <w:r>
        <w:rPr>
          <w:i/>
          <w:noProof/>
        </w:rPr>
        <w:t>sg</w:t>
      </w:r>
      <w:r>
        <w:rPr>
          <w:noProof/>
        </w:rPr>
        <w:t xml:space="preserve"> oblicza się w następujący sposób:</w:t>
      </w:r>
    </w:p>
    <w:p w:rsidR="00093C2C" w:rsidRDefault="00A55ED2">
      <w:pPr>
        <w:pStyle w:val="Text3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avgCO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noProof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</w:rPr>
                    <m:t>v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CO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v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 × </m:t>
              </m:r>
              <m:sSub>
                <m:sSub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</m:den>
          </m:f>
        </m:oMath>
      </m:oMathPara>
    </w:p>
    <w:p w:rsidR="00093C2C" w:rsidRDefault="00A55ED2">
      <w:pPr>
        <w:ind w:left="850"/>
        <w:rPr>
          <w:noProof/>
        </w:rPr>
      </w:pPr>
      <w:r>
        <w:rPr>
          <w:noProof/>
        </w:rPr>
        <w:t>gdzie:</w:t>
      </w:r>
    </w:p>
    <w:p w:rsidR="00093C2C" w:rsidRDefault="00A55ED2">
      <w:pPr>
        <w:ind w:left="2155" w:hanging="1304"/>
        <w:rPr>
          <w:noProof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</w:rPr>
              <m:t>v</m:t>
            </m:r>
          </m:e>
        </m:nary>
      </m:oMath>
      <w:r>
        <w:rPr>
          <w:noProof/>
        </w:rPr>
        <w:tab/>
        <w:t xml:space="preserve">oznacza sumę obejmującą wszystkie nowe pojazdy ciężkie producenta w podgrupie </w:t>
      </w:r>
      <w:r>
        <w:rPr>
          <w:i/>
          <w:noProof/>
        </w:rPr>
        <w:t>sg</w:t>
      </w:r>
      <w:r>
        <w:rPr>
          <w:noProof/>
        </w:rPr>
        <w:t xml:space="preserve">, z wyłączeniem wszystkich pojazdów </w:t>
      </w:r>
      <w:r>
        <w:rPr>
          <w:noProof/>
        </w:rPr>
        <w:t>specjalistycznych zgodnie z art. 4 lit. a);</w:t>
      </w:r>
    </w:p>
    <w:p w:rsidR="00093C2C" w:rsidRDefault="00A55ED2">
      <w:pPr>
        <w:ind w:left="2155" w:hanging="1305"/>
        <w:rPr>
          <w:noProof/>
          <w:vertAlign w:val="subscript"/>
        </w:rPr>
      </w:pPr>
      <w:r>
        <w:rPr>
          <w:noProof/>
        </w:rPr>
        <w:t>CO2</w:t>
      </w:r>
      <w:r>
        <w:rPr>
          <w:noProof/>
          <w:vertAlign w:val="subscript"/>
        </w:rPr>
        <w:t>v</w:t>
      </w:r>
      <w:r>
        <w:rPr>
          <w:noProof/>
        </w:rPr>
        <w:tab/>
        <w:t>oznacza 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nowego pojazdu ciężkiego </w:t>
      </w:r>
      <w:r>
        <w:rPr>
          <w:i/>
          <w:noProof/>
        </w:rPr>
        <w:t>v</w:t>
      </w:r>
      <w:r>
        <w:rPr>
          <w:noProof/>
        </w:rPr>
        <w:t xml:space="preserve"> określony zgodnie z pkt 2.1;</w:t>
      </w:r>
    </w:p>
    <w:p w:rsidR="00093C2C" w:rsidRDefault="00A55ED2">
      <w:pPr>
        <w:ind w:left="2155" w:hanging="1304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sg</w:t>
      </w:r>
      <w:r>
        <w:rPr>
          <w:noProof/>
        </w:rPr>
        <w:tab/>
        <w:t xml:space="preserve">oznacza liczbę nowych pojazdów ciężkich producenta w podgrupie </w:t>
      </w:r>
      <w:r>
        <w:rPr>
          <w:i/>
          <w:noProof/>
        </w:rPr>
        <w:t>sg</w:t>
      </w:r>
      <w:r>
        <w:rPr>
          <w:noProof/>
        </w:rPr>
        <w:t>, z wyłączeniem wszystkich pojazdów specjal</w:t>
      </w:r>
      <w:r>
        <w:rPr>
          <w:noProof/>
        </w:rPr>
        <w:t>istycznych zgodnie z art. 4 lit. a);</w:t>
      </w:r>
    </w:p>
    <w:p w:rsidR="00093C2C" w:rsidRDefault="00A55ED2">
      <w:pPr>
        <w:spacing w:before="0" w:after="0"/>
        <w:ind w:left="2155" w:hanging="1305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oznacza średnią ładowność pojazdów w podgrupie </w:t>
      </w:r>
      <w:r>
        <w:rPr>
          <w:i/>
          <w:noProof/>
        </w:rPr>
        <w:t>sg</w:t>
      </w:r>
      <w:r>
        <w:rPr>
          <w:noProof/>
        </w:rPr>
        <w:t>, jak określono w pkt 2.5.</w:t>
      </w:r>
    </w:p>
    <w:p w:rsidR="00093C2C" w:rsidRDefault="00093C2C">
      <w:pPr>
        <w:ind w:left="2155" w:hanging="1304"/>
        <w:rPr>
          <w:noProof/>
        </w:rPr>
      </w:pPr>
    </w:p>
    <w:p w:rsidR="00093C2C" w:rsidRDefault="00A55ED2">
      <w:pPr>
        <w:pStyle w:val="Heading2"/>
        <w:rPr>
          <w:noProof/>
        </w:rPr>
      </w:pPr>
      <w:r>
        <w:rPr>
          <w:noProof/>
        </w:rPr>
        <w:t>Obliczanie wskaźnika emisji zerowej i niskiej, o którym mowa w art. 5</w:t>
      </w:r>
    </w:p>
    <w:p w:rsidR="00093C2C" w:rsidRDefault="00A55ED2">
      <w:pPr>
        <w:ind w:left="850"/>
        <w:rPr>
          <w:noProof/>
        </w:rPr>
      </w:pPr>
      <w:r>
        <w:rPr>
          <w:noProof/>
        </w:rPr>
        <w:t>Dla każdego producenta i roku kalendarzowego wskaźnik emisji zerowe</w:t>
      </w:r>
      <w:r>
        <w:rPr>
          <w:noProof/>
        </w:rPr>
        <w:t>j i niskiej (ZLEV), o którym mowa w art. 5, oblicza się w następujący sposób:</w:t>
      </w:r>
    </w:p>
    <w:p w:rsidR="00093C2C" w:rsidRDefault="00A55ED2">
      <w:pPr>
        <w:spacing w:before="0" w:after="200" w:line="276" w:lineRule="auto"/>
        <w:ind w:left="130" w:firstLine="720"/>
        <w:jc w:val="left"/>
        <w:rPr>
          <w:i/>
          <w:noProof/>
          <w:sz w:val="22"/>
        </w:rPr>
      </w:pPr>
      <w:r>
        <w:rPr>
          <w:i/>
          <w:noProof/>
          <w:sz w:val="22"/>
        </w:rPr>
        <w:t xml:space="preserve">ZLEV = </w:t>
      </w:r>
      <w:r>
        <w:rPr>
          <w:i/>
          <w:noProof/>
        </w:rPr>
        <w:t>V</w:t>
      </w:r>
      <w:r>
        <w:rPr>
          <w:i/>
          <w:noProof/>
          <w:sz w:val="22"/>
        </w:rPr>
        <w:t xml:space="preserve"> / </w:t>
      </w:r>
      <w:r>
        <w:rPr>
          <w:i/>
          <w:noProof/>
        </w:rPr>
        <w:t xml:space="preserve">(Vconv + Vzlev) </w:t>
      </w:r>
      <w:r>
        <w:rPr>
          <w:noProof/>
        </w:rPr>
        <w:tab/>
      </w:r>
      <w:r>
        <w:rPr>
          <w:i/>
          <w:noProof/>
        </w:rPr>
        <w:t xml:space="preserve"> przy czym wartość najniższa wynosi 0,97</w:t>
      </w:r>
    </w:p>
    <w:p w:rsidR="00093C2C" w:rsidRDefault="00A55ED2">
      <w:pPr>
        <w:spacing w:before="0" w:after="200" w:line="276" w:lineRule="auto"/>
        <w:ind w:left="130" w:firstLine="720"/>
        <w:jc w:val="left"/>
        <w:rPr>
          <w:noProof/>
          <w:sz w:val="22"/>
        </w:rPr>
      </w:pPr>
      <w:r>
        <w:rPr>
          <w:noProof/>
          <w:sz w:val="22"/>
        </w:rPr>
        <w:t>gdzie:</w:t>
      </w:r>
    </w:p>
    <w:p w:rsidR="00093C2C" w:rsidRDefault="00A55ED2">
      <w:pPr>
        <w:ind w:left="2155" w:hanging="1305"/>
        <w:rPr>
          <w:i/>
          <w:noProof/>
        </w:rPr>
      </w:pPr>
      <w:r>
        <w:rPr>
          <w:noProof/>
        </w:rPr>
        <w:t>V</w:t>
      </w:r>
      <w:r>
        <w:rPr>
          <w:noProof/>
        </w:rPr>
        <w:tab/>
      </w:r>
      <w:r>
        <w:rPr>
          <w:noProof/>
        </w:rPr>
        <w:t xml:space="preserve">oznacza liczbę nowych pojazdów ciężkich producenta z wyjątkiem wszystkich pojazdów specjalistycznych zgodnie z art. 4 lit. a); </w:t>
      </w:r>
    </w:p>
    <w:p w:rsidR="00093C2C" w:rsidRDefault="00A55ED2">
      <w:pPr>
        <w:ind w:left="2155" w:hanging="1305"/>
        <w:rPr>
          <w:noProof/>
        </w:rPr>
      </w:pPr>
      <w:r>
        <w:rPr>
          <w:i/>
          <w:noProof/>
        </w:rPr>
        <w:t>Vconv</w:t>
      </w:r>
      <w:r>
        <w:rPr>
          <w:noProof/>
        </w:rPr>
        <w:tab/>
        <w:t>oznacza liczbę nowych pojazdów ciężkich producenta z wyjątkiem wszystkich pojazdów specjalistycznych zgodnie z art. 4 lit.</w:t>
      </w:r>
      <w:r>
        <w:rPr>
          <w:noProof/>
        </w:rPr>
        <w:t> a), z wyłączeniem bezemisyjnych i niskoemisyjnych pojazdów ciężkich;</w:t>
      </w:r>
    </w:p>
    <w:p w:rsidR="00093C2C" w:rsidRDefault="00A55ED2">
      <w:pPr>
        <w:ind w:left="850"/>
        <w:rPr>
          <w:i/>
          <w:noProof/>
          <w:sz w:val="22"/>
          <w:vertAlign w:val="subscript"/>
        </w:rPr>
      </w:pPr>
      <w:r>
        <w:rPr>
          <w:i/>
          <w:noProof/>
          <w:sz w:val="22"/>
        </w:rPr>
        <w:t>Vzlev</w:t>
      </w:r>
      <w:r>
        <w:rPr>
          <w:noProof/>
        </w:rPr>
        <w:tab/>
      </w:r>
      <w:r>
        <w:rPr>
          <w:noProof/>
        </w:rPr>
        <w:tab/>
        <w:t xml:space="preserve">oznacza sumę </w:t>
      </w:r>
      <w:r>
        <w:rPr>
          <w:i/>
          <w:noProof/>
          <w:sz w:val="22"/>
        </w:rPr>
        <w:t>Vin</w:t>
      </w:r>
      <w:r>
        <w:rPr>
          <w:noProof/>
        </w:rPr>
        <w:t xml:space="preserve"> i </w:t>
      </w:r>
      <w:r>
        <w:rPr>
          <w:i/>
          <w:noProof/>
          <w:sz w:val="22"/>
        </w:rPr>
        <w:t>Vout,</w:t>
      </w:r>
    </w:p>
    <w:p w:rsidR="00093C2C" w:rsidRDefault="00A55ED2">
      <w:pPr>
        <w:ind w:left="850"/>
        <w:rPr>
          <w:noProof/>
          <w:szCs w:val="24"/>
        </w:rPr>
      </w:pPr>
      <w:r>
        <w:rPr>
          <w:noProof/>
        </w:rPr>
        <w:tab/>
      </w:r>
      <w:r>
        <w:rPr>
          <w:noProof/>
          <w:sz w:val="22"/>
        </w:rPr>
        <w:t>gdzie:</w:t>
      </w:r>
    </w:p>
    <w:p w:rsidR="00093C2C" w:rsidRDefault="00A55ED2">
      <w:pPr>
        <w:spacing w:before="0" w:after="200" w:line="276" w:lineRule="auto"/>
        <w:ind w:left="720" w:firstLine="720"/>
        <w:contextualSpacing/>
        <w:rPr>
          <w:noProof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3D2C3AD3" wp14:editId="64D97702">
            <wp:extent cx="25622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C" w:rsidRDefault="00A55ED2">
      <w:pPr>
        <w:spacing w:before="0" w:after="200" w:line="276" w:lineRule="auto"/>
        <w:ind w:left="2880"/>
        <w:contextualSpacing/>
        <w:rPr>
          <w:noProof/>
          <w:szCs w:val="24"/>
        </w:rPr>
      </w:pPr>
      <w:r>
        <w:rPr>
          <w:noProof/>
        </w:rPr>
        <w:t xml:space="preserve">przy czym </w:t>
      </w:r>
      <w:r>
        <w:rPr>
          <w:noProof/>
          <w:lang w:val="en-GB" w:eastAsia="en-GB" w:bidi="ar-SA"/>
        </w:rPr>
        <w:drawing>
          <wp:inline distT="0" distB="0" distL="0" distR="0" wp14:anchorId="05B77713" wp14:editId="6A5FC43B">
            <wp:extent cx="311150" cy="15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556" cy="1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jest sumą wszystkich nowych bezemisyjnych i niskoemisyjnych pojazdów ciężkich o właściwościach określonych w art. 2 ust. 1 lit. a)–d</w:t>
      </w:r>
      <w:r>
        <w:rPr>
          <w:noProof/>
        </w:rPr>
        <w:t xml:space="preserve">); </w:t>
      </w:r>
    </w:p>
    <w:p w:rsidR="00093C2C" w:rsidRDefault="00A55ED2">
      <w:pPr>
        <w:spacing w:before="0" w:after="200" w:line="276" w:lineRule="auto"/>
        <w:ind w:left="2880" w:hanging="1440"/>
        <w:contextualSpacing/>
        <w:rPr>
          <w:noProof/>
          <w:szCs w:val="24"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>v</w:t>
      </w:r>
      <w:r>
        <w:rPr>
          <w:i/>
          <w:noProof/>
        </w:rPr>
        <w:t xml:space="preserve"> </w:t>
      </w:r>
      <w:r>
        <w:rPr>
          <w:noProof/>
        </w:rPr>
        <w:tab/>
        <w:t>oznacza 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w g/km bezemisyjnego i niskoemisyjnego pojazdu ciężkiego </w:t>
      </w:r>
      <w:r>
        <w:rPr>
          <w:i/>
          <w:noProof/>
        </w:rPr>
        <w:t>v</w:t>
      </w:r>
      <w:r>
        <w:rPr>
          <w:noProof/>
        </w:rPr>
        <w:t xml:space="preserve"> określony zgodnie z pkt 2.1;</w:t>
      </w:r>
    </w:p>
    <w:p w:rsidR="00093C2C" w:rsidRDefault="00A55ED2">
      <w:pPr>
        <w:ind w:left="2880" w:hanging="1440"/>
        <w:rPr>
          <w:noProof/>
          <w:szCs w:val="24"/>
        </w:rPr>
      </w:pPr>
      <w:r>
        <w:rPr>
          <w:i/>
          <w:noProof/>
          <w:sz w:val="22"/>
        </w:rPr>
        <w:t>Vout</w:t>
      </w:r>
      <w:r>
        <w:rPr>
          <w:noProof/>
        </w:rPr>
        <w:t xml:space="preserve"> </w:t>
      </w:r>
      <w:r>
        <w:rPr>
          <w:noProof/>
        </w:rPr>
        <w:tab/>
        <w:t xml:space="preserve">oznacza całkowitą liczbę bezemisyjnych pojazdów ciężkich należących do kategorii, o których mowa w art. 2 ust. 1 </w:t>
      </w:r>
      <w:r>
        <w:rPr>
          <w:noProof/>
        </w:rPr>
        <w:t xml:space="preserve">akapit drugi, pomnożoną przez 2, przy maksymalnie 1,5 % </w:t>
      </w:r>
      <w:r>
        <w:rPr>
          <w:i/>
          <w:noProof/>
        </w:rPr>
        <w:t>Vconv.</w:t>
      </w:r>
      <w:r>
        <w:rPr>
          <w:noProof/>
        </w:rPr>
        <w:t xml:space="preserve"> </w:t>
      </w:r>
    </w:p>
    <w:p w:rsidR="00093C2C" w:rsidRDefault="00A55ED2">
      <w:pPr>
        <w:pStyle w:val="Heading2"/>
        <w:rPr>
          <w:noProof/>
        </w:rPr>
      </w:pPr>
      <w:r>
        <w:rPr>
          <w:noProof/>
        </w:rPr>
        <w:t>Obliczanie udziału pojazdów danego producenta w podgrupie</w:t>
      </w:r>
    </w:p>
    <w:p w:rsidR="00093C2C" w:rsidRDefault="00A55ED2">
      <w:pPr>
        <w:ind w:left="850"/>
        <w:rPr>
          <w:noProof/>
        </w:rPr>
      </w:pPr>
      <w:r>
        <w:rPr>
          <w:noProof/>
        </w:rPr>
        <w:t xml:space="preserve">Dla każdego producenta i każdego roku kalendarzowego udział nowych pojazdów ciężkich w podgrupie </w:t>
      </w:r>
      <w:r>
        <w:rPr>
          <w:i/>
          <w:noProof/>
        </w:rPr>
        <w:t>share</w:t>
      </w:r>
      <w:r>
        <w:rPr>
          <w:i/>
          <w:noProof/>
          <w:vertAlign w:val="subscript"/>
        </w:rPr>
        <w:t>sg</w:t>
      </w:r>
      <w:r>
        <w:rPr>
          <w:noProof/>
        </w:rPr>
        <w:t xml:space="preserve"> oblicza się w następujący spo</w:t>
      </w:r>
      <w:r>
        <w:rPr>
          <w:noProof/>
        </w:rPr>
        <w:t>sób:</w:t>
      </w:r>
    </w:p>
    <w:p w:rsidR="00093C2C" w:rsidRDefault="00A55ED2"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s</m:t>
              </m:r>
              <m:r>
                <w:rPr>
                  <w:rFonts w:ascii="Cambria Math" w:hAnsi="Cambria Math"/>
                  <w:noProof/>
                </w:rPr>
                <m:t>h</m:t>
              </m:r>
              <m:r>
                <w:rPr>
                  <w:rFonts w:ascii="Cambria Math" w:hAnsi="Cambria Math"/>
                  <w:noProof/>
                </w:rPr>
                <m:t>are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/>
              </m:sSub>
            </m:den>
          </m:f>
        </m:oMath>
      </m:oMathPara>
    </w:p>
    <w:p w:rsidR="00093C2C" w:rsidRDefault="00A55ED2">
      <w:pPr>
        <w:ind w:left="850"/>
        <w:rPr>
          <w:noProof/>
        </w:rPr>
      </w:pPr>
      <w:r>
        <w:rPr>
          <w:noProof/>
        </w:rPr>
        <w:t xml:space="preserve">gdzie: </w:t>
      </w:r>
    </w:p>
    <w:p w:rsidR="00093C2C" w:rsidRDefault="00A55ED2">
      <w:pPr>
        <w:ind w:left="2155" w:hanging="1304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sg</w:t>
      </w:r>
      <w:r>
        <w:rPr>
          <w:noProof/>
        </w:rPr>
        <w:tab/>
        <w:t xml:space="preserve">oznacza liczbę nowych pojazdów ciężkich producenta w podgrupie </w:t>
      </w:r>
      <w:r>
        <w:rPr>
          <w:i/>
          <w:noProof/>
        </w:rPr>
        <w:t>sg</w:t>
      </w:r>
      <w:r>
        <w:rPr>
          <w:noProof/>
        </w:rPr>
        <w:t>, z wyłączeniem wszystkich pojazdów specjalistycznych zgodnie z art. 4 lit. a);</w:t>
      </w:r>
    </w:p>
    <w:p w:rsidR="00093C2C" w:rsidRDefault="00A55ED2">
      <w:pPr>
        <w:ind w:left="2155" w:hanging="1305"/>
        <w:rPr>
          <w:i/>
          <w:noProof/>
        </w:rPr>
      </w:pPr>
      <w:r>
        <w:rPr>
          <w:noProof/>
        </w:rPr>
        <w:t>V</w:t>
      </w:r>
      <w:r>
        <w:rPr>
          <w:noProof/>
        </w:rPr>
        <w:tab/>
        <w:t>oznacza liczbę nowych pojazdów ciężkich producenta z wyjątkiem wszyst</w:t>
      </w:r>
      <w:r>
        <w:rPr>
          <w:noProof/>
        </w:rPr>
        <w:t xml:space="preserve">kich pojazdów specjalistycznych zgodnie z art. 4 lit. a). </w:t>
      </w:r>
    </w:p>
    <w:p w:rsidR="00093C2C" w:rsidRDefault="00A55ED2">
      <w:pPr>
        <w:pStyle w:val="Heading2"/>
        <w:rPr>
          <w:noProof/>
        </w:rPr>
      </w:pPr>
      <w:r>
        <w:rPr>
          <w:noProof/>
        </w:rPr>
        <w:t xml:space="preserve">Obliczanie średnich wartości ładowności wszystkich pojazdów w podgrupie </w:t>
      </w:r>
    </w:p>
    <w:p w:rsidR="00093C2C" w:rsidRDefault="00A55ED2">
      <w:pPr>
        <w:keepNext/>
        <w:ind w:left="850"/>
        <w:outlineLvl w:val="1"/>
        <w:rPr>
          <w:rFonts w:eastAsiaTheme="majorEastAsia"/>
          <w:bCs/>
          <w:noProof/>
          <w:szCs w:val="26"/>
        </w:rPr>
      </w:pPr>
      <w:r>
        <w:rPr>
          <w:noProof/>
        </w:rPr>
        <w:t xml:space="preserve">Średnią wartość ładowności </w:t>
      </w:r>
      <w:r>
        <w:rPr>
          <w:rFonts w:eastAsiaTheme="majorEastAsia"/>
          <w:i/>
          <w:noProof/>
        </w:rPr>
        <w:t>PL</w:t>
      </w:r>
      <w:r>
        <w:rPr>
          <w:rFonts w:eastAsiaTheme="majorEastAsia"/>
          <w:i/>
          <w:noProof/>
          <w:vertAlign w:val="subscript"/>
        </w:rPr>
        <w:t>sg</w:t>
      </w:r>
      <w:r>
        <w:rPr>
          <w:noProof/>
        </w:rPr>
        <w:t xml:space="preserve"> pojazdu w podgrupie </w:t>
      </w:r>
      <w:r>
        <w:rPr>
          <w:rFonts w:eastAsiaTheme="majorEastAsia"/>
          <w:i/>
          <w:noProof/>
        </w:rPr>
        <w:t>sg</w:t>
      </w:r>
      <w:r>
        <w:rPr>
          <w:noProof/>
        </w:rPr>
        <w:t xml:space="preserve"> oblicza się w następujący sposób:</w:t>
      </w:r>
    </w:p>
    <w:p w:rsidR="00093C2C" w:rsidRDefault="00A55ED2">
      <w:pPr>
        <w:ind w:left="850"/>
        <w:rPr>
          <w:noProof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PL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sg</m:t>
              </m:r>
            </m:sub>
          </m:sSub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mp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sg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mp</m:t>
                  </m:r>
                </m:sub>
              </m:sSub>
            </m:e>
          </m:nary>
          <m:r>
            <w:rPr>
              <w:rFonts w:ascii="Cambria Math" w:hAnsi="Cambria Math"/>
              <w:noProof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PL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sg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mp</m:t>
              </m:r>
            </m:sub>
          </m:sSub>
        </m:oMath>
      </m:oMathPara>
    </w:p>
    <w:p w:rsidR="00093C2C" w:rsidRDefault="00093C2C">
      <w:pPr>
        <w:contextualSpacing/>
        <w:rPr>
          <w:i/>
          <w:noProof/>
        </w:rPr>
      </w:pPr>
    </w:p>
    <w:p w:rsidR="00093C2C" w:rsidRDefault="00A55ED2">
      <w:pPr>
        <w:ind w:left="1440"/>
        <w:contextualSpacing/>
        <w:rPr>
          <w:noProof/>
        </w:rPr>
      </w:pPr>
      <w:r>
        <w:rPr>
          <w:noProof/>
        </w:rPr>
        <w:t>gdzie:</w:t>
      </w:r>
    </w:p>
    <w:p w:rsidR="00093C2C" w:rsidRDefault="00A55ED2">
      <w:pPr>
        <w:spacing w:before="20" w:after="20"/>
        <w:ind w:left="1440"/>
        <w:contextualSpacing/>
        <w:rPr>
          <w:i/>
          <w:noProof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noProof/>
                <w:sz w:val="20"/>
                <w:szCs w:val="20"/>
              </w:rPr>
              <m:t>mp</m:t>
            </m:r>
          </m:sub>
          <m:sup/>
          <m:e/>
        </m:nary>
      </m:oMath>
      <w:r>
        <w:rPr>
          <w:noProof/>
        </w:rPr>
        <w:tab/>
        <w:t xml:space="preserve">oznacza sumę wszystkich profili zadań </w:t>
      </w:r>
      <w:r>
        <w:rPr>
          <w:i/>
          <w:noProof/>
        </w:rPr>
        <w:t>mp</w:t>
      </w:r>
      <w:r>
        <w:rPr>
          <w:noProof/>
        </w:rPr>
        <w:t>;</w:t>
      </w:r>
    </w:p>
    <w:p w:rsidR="00093C2C" w:rsidRDefault="00A55ED2">
      <w:pPr>
        <w:spacing w:before="20" w:after="20"/>
        <w:ind w:left="1440"/>
        <w:contextualSpacing/>
        <w:rPr>
          <w:i/>
          <w:noProof/>
        </w:rPr>
      </w:pPr>
      <w:r>
        <w:rPr>
          <w:noProof/>
        </w:rPr>
        <w:t>W</w:t>
      </w:r>
      <w:r>
        <w:rPr>
          <w:noProof/>
          <w:vertAlign w:val="subscript"/>
        </w:rPr>
        <w:t>sg,mp,</w:t>
      </w:r>
      <w:r>
        <w:rPr>
          <w:noProof/>
        </w:rPr>
        <w:t xml:space="preserve"> oznacza wagę profilu zadań określoną w tabeli 2 w pkt 2.1;</w:t>
      </w:r>
    </w:p>
    <w:p w:rsidR="00093C2C" w:rsidRDefault="00A55ED2">
      <w:pPr>
        <w:spacing w:before="20" w:after="20"/>
        <w:ind w:left="2155" w:hanging="71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sg,mp</w:t>
      </w:r>
      <w:r>
        <w:rPr>
          <w:noProof/>
        </w:rPr>
        <w:tab/>
        <w:t xml:space="preserve">oznacza wartość ładowności przypisaną pojazdom w podgrupie </w:t>
      </w:r>
      <w:r>
        <w:rPr>
          <w:i/>
          <w:noProof/>
        </w:rPr>
        <w:t>sg</w:t>
      </w:r>
      <w:r>
        <w:rPr>
          <w:noProof/>
        </w:rPr>
        <w:t xml:space="preserve"> dla profilu zadań </w:t>
      </w:r>
      <w:r>
        <w:rPr>
          <w:i/>
          <w:noProof/>
        </w:rPr>
        <w:t>mp, as</w:t>
      </w:r>
      <w:r>
        <w:rPr>
          <w:noProof/>
        </w:rPr>
        <w:t>, jak określono w tabeli 3.</w:t>
      </w:r>
    </w:p>
    <w:p w:rsidR="00093C2C" w:rsidRDefault="00093C2C">
      <w:pPr>
        <w:ind w:left="720" w:firstLine="720"/>
        <w:contextualSpacing/>
        <w:rPr>
          <w:noProof/>
        </w:rPr>
      </w:pPr>
    </w:p>
    <w:p w:rsidR="00093C2C" w:rsidRDefault="00A55ED2">
      <w:pPr>
        <w:ind w:left="2155" w:hanging="1305"/>
        <w:rPr>
          <w:b/>
          <w:noProof/>
        </w:rPr>
      </w:pPr>
      <w:r>
        <w:rPr>
          <w:b/>
          <w:noProof/>
        </w:rPr>
        <w:t>T</w:t>
      </w:r>
      <w:r>
        <w:rPr>
          <w:b/>
          <w:noProof/>
        </w:rPr>
        <w:t xml:space="preserve">abela 3 – Wartości ładowności </w:t>
      </w:r>
      <w:r>
        <w:rPr>
          <w:b/>
          <w:noProof/>
          <w:sz w:val="22"/>
        </w:rPr>
        <w:t>PL</w:t>
      </w:r>
      <w:r>
        <w:rPr>
          <w:b/>
          <w:noProof/>
          <w:sz w:val="22"/>
          <w:vertAlign w:val="subscript"/>
        </w:rPr>
        <w:t>sg, mp</w:t>
      </w:r>
      <w:r>
        <w:rPr>
          <w:b/>
          <w:noProof/>
          <w:sz w:val="22"/>
        </w:rPr>
        <w:t xml:space="preserve"> (w tonach)</w:t>
      </w:r>
    </w:p>
    <w:tbl>
      <w:tblPr>
        <w:tblStyle w:val="TableGrid2"/>
        <w:tblW w:w="8365" w:type="dxa"/>
        <w:tblInd w:w="-34" w:type="dxa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093C2C">
        <w:tc>
          <w:tcPr>
            <w:tcW w:w="1276" w:type="dxa"/>
            <w:vMerge w:val="restart"/>
          </w:tcPr>
          <w:p w:rsidR="00093C2C" w:rsidRDefault="00A55ED2">
            <w:pPr>
              <w:spacing w:before="0" w:after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Podgrupa pojazdów </w:t>
            </w:r>
            <w:r>
              <w:rPr>
                <w:b/>
                <w:i/>
                <w:noProof/>
                <w:sz w:val="22"/>
              </w:rPr>
              <w:t>sg</w:t>
            </w:r>
          </w:p>
        </w:tc>
        <w:tc>
          <w:tcPr>
            <w:tcW w:w="7089" w:type="dxa"/>
            <w:gridSpan w:val="10"/>
          </w:tcPr>
          <w:p w:rsidR="00093C2C" w:rsidRDefault="00A55ED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Profil zadań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i/>
                <w:noProof/>
              </w:rPr>
              <w:t>mp</w:t>
            </w:r>
            <w:r>
              <w:rPr>
                <w:b/>
                <w:noProof/>
              </w:rPr>
              <w:t xml:space="preserve"> </w:t>
            </w:r>
          </w:p>
        </w:tc>
      </w:tr>
      <w:tr w:rsidR="00093C2C">
        <w:tc>
          <w:tcPr>
            <w:tcW w:w="1276" w:type="dxa"/>
            <w:vMerge/>
          </w:tcPr>
          <w:p w:rsidR="00093C2C" w:rsidRDefault="00093C2C">
            <w:pPr>
              <w:spacing w:before="0" w:after="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RDL</w:t>
            </w: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RDR</w:t>
            </w: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LHL</w:t>
            </w:r>
          </w:p>
        </w:tc>
        <w:tc>
          <w:tcPr>
            <w:tcW w:w="708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LHR</w:t>
            </w: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UDL</w:t>
            </w: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UDR</w:t>
            </w: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REL</w:t>
            </w: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RER</w:t>
            </w: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LEL</w:t>
            </w:r>
          </w:p>
        </w:tc>
        <w:tc>
          <w:tcPr>
            <w:tcW w:w="709" w:type="dxa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LER</w:t>
            </w:r>
          </w:p>
        </w:tc>
      </w:tr>
      <w:tr w:rsidR="00093C2C"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0,9</w:t>
            </w:r>
          </w:p>
          <w:p w:rsidR="00093C2C" w:rsidRDefault="00093C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4,4</w:t>
            </w:r>
          </w:p>
          <w:p w:rsidR="00093C2C" w:rsidRDefault="00093C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1,9</w:t>
            </w:r>
          </w:p>
        </w:tc>
        <w:tc>
          <w:tcPr>
            <w:tcW w:w="708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4,4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093C2C"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093C2C"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093C2C"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12,9</w:t>
            </w:r>
          </w:p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12,9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093C2C"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8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093C2C">
        <w:trPr>
          <w:trHeight w:val="224"/>
        </w:trPr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1,4</w:t>
            </w:r>
          </w:p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7,1</w:t>
            </w:r>
          </w:p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7,1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093C2C"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093C2C"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12,9</w:t>
            </w:r>
          </w:p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093C2C" w:rsidRDefault="00A55ED2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12,9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093C2C" w:rsidRDefault="00A55ED2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093C2C">
        <w:tc>
          <w:tcPr>
            <w:tcW w:w="1276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093C2C" w:rsidRDefault="00093C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093C2C" w:rsidRDefault="00093C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</w:tbl>
    <w:p w:rsidR="00093C2C" w:rsidRDefault="00A55ED2">
      <w:pPr>
        <w:spacing w:before="0" w:after="200" w:line="276" w:lineRule="auto"/>
        <w:ind w:left="720" w:firstLine="130"/>
        <w:contextualSpacing/>
        <w:jc w:val="left"/>
        <w:rPr>
          <w:noProof/>
          <w:sz w:val="22"/>
        </w:rPr>
      </w:pPr>
      <w:r>
        <w:rPr>
          <w:noProof/>
          <w:sz w:val="22"/>
          <w:vertAlign w:val="superscript"/>
        </w:rPr>
        <w:t>1</w:t>
      </w:r>
      <w:r>
        <w:rPr>
          <w:noProof/>
          <w:sz w:val="22"/>
        </w:rPr>
        <w:t xml:space="preserve"> Zob. definicje profili zadań pod tabelą 2 w pkt 2.1.</w:t>
      </w:r>
    </w:p>
    <w:p w:rsidR="00093C2C" w:rsidRDefault="00A55ED2">
      <w:pPr>
        <w:pStyle w:val="Heading2"/>
        <w:rPr>
          <w:noProof/>
        </w:rPr>
      </w:pPr>
      <w:r>
        <w:rPr>
          <w:noProof/>
        </w:rPr>
        <w:t xml:space="preserve">Obliczanie współczynnika ważenia </w:t>
      </w:r>
      <w:r>
        <w:rPr>
          <w:noProof/>
        </w:rPr>
        <w:t>przebiegu i ładowności</w:t>
      </w:r>
    </w:p>
    <w:p w:rsidR="00093C2C" w:rsidRDefault="00A55ED2">
      <w:pPr>
        <w:ind w:left="720"/>
        <w:rPr>
          <w:noProof/>
        </w:rPr>
      </w:pPr>
      <w:r>
        <w:rPr>
          <w:noProof/>
        </w:rPr>
        <w:t>Współczynnik ważenia przebiegu i ładowności (MPW</w:t>
      </w:r>
      <w:r>
        <w:rPr>
          <w:noProof/>
          <w:vertAlign w:val="subscript"/>
        </w:rPr>
        <w:t>sg</w:t>
      </w:r>
      <w:r>
        <w:rPr>
          <w:noProof/>
        </w:rPr>
        <w:t xml:space="preserve">) podgrupy </w:t>
      </w:r>
      <w:r>
        <w:rPr>
          <w:i/>
          <w:noProof/>
        </w:rPr>
        <w:t>sg</w:t>
      </w:r>
      <w:r>
        <w:rPr>
          <w:noProof/>
        </w:rPr>
        <w:t xml:space="preserve"> definiuje się jako iloczyn rocznego przebiegu określonego w tabeli 4 i wartości ładowności dla każdej podgrupy określonej w tabeli 3 w pkt 2.5, znormalizowany do odpowiedniej wartości dla podgrupy 5-LH, i oblicza się go w następujący sposób:</w:t>
      </w:r>
    </w:p>
    <w:p w:rsidR="00093C2C" w:rsidRDefault="00A55ED2"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MPW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  <m:r>
                    <w:rPr>
                      <w:rFonts w:ascii="Cambria Math" w:hAnsi="Cambria Math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noProof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num>
            <m:den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5-</m:t>
                  </m:r>
                  <m:r>
                    <w:rPr>
                      <w:rFonts w:ascii="Cambria Math" w:hAnsi="Cambria Math"/>
                      <w:noProof/>
                    </w:rPr>
                    <m:t>LH</m:t>
                  </m:r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×</m:t>
                  </m:r>
                  <m:r>
                    <w:rPr>
                      <w:rFonts w:ascii="Cambria Math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5-</m:t>
                  </m:r>
                  <m:r>
                    <w:rPr>
                      <w:rFonts w:ascii="Cambria Math" w:hAnsi="Cambria Math"/>
                      <w:noProof/>
                    </w:rPr>
                    <m:t>LH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den>
          </m:f>
        </m:oMath>
      </m:oMathPara>
    </w:p>
    <w:p w:rsidR="00093C2C" w:rsidRDefault="00A55ED2">
      <w:pPr>
        <w:ind w:left="850"/>
        <w:rPr>
          <w:noProof/>
        </w:rPr>
      </w:pPr>
      <w:r>
        <w:rPr>
          <w:noProof/>
        </w:rPr>
        <w:t>gdzie:</w:t>
      </w:r>
    </w:p>
    <w:p w:rsidR="00093C2C" w:rsidRDefault="00A55ED2">
      <w:pPr>
        <w:ind w:left="2155" w:hanging="1305"/>
        <w:rPr>
          <w:noProof/>
        </w:rPr>
      </w:pPr>
      <w:r>
        <w:rPr>
          <w:i/>
          <w:noProof/>
        </w:rPr>
        <w:t>AM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oznacza roczny przebieg określony w tabeli 4 dla pojazdów w danej podgrupie;</w:t>
      </w:r>
    </w:p>
    <w:p w:rsidR="00093C2C" w:rsidRDefault="00A55ED2">
      <w:pPr>
        <w:ind w:left="2155" w:hanging="1305"/>
        <w:rPr>
          <w:noProof/>
        </w:rPr>
      </w:pPr>
      <w:r>
        <w:rPr>
          <w:i/>
          <w:noProof/>
        </w:rPr>
        <w:t>AM</w:t>
      </w:r>
      <w:r>
        <w:rPr>
          <w:i/>
          <w:noProof/>
          <w:vertAlign w:val="subscript"/>
        </w:rPr>
        <w:t>5-LH</w:t>
      </w:r>
      <w:r>
        <w:rPr>
          <w:noProof/>
        </w:rPr>
        <w:tab/>
        <w:t>oznacza roczny przebieg określony dla podgrupy 5-LH w tabeli 4;</w:t>
      </w:r>
    </w:p>
    <w:p w:rsidR="00093C2C" w:rsidRDefault="00A55ED2">
      <w:pPr>
        <w:ind w:left="2155" w:hanging="130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określono w pkt 2.5;</w:t>
      </w:r>
    </w:p>
    <w:p w:rsidR="00093C2C" w:rsidRDefault="00A55ED2">
      <w:pPr>
        <w:ind w:left="2155" w:hanging="130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5-LH</w:t>
      </w:r>
      <w:r>
        <w:rPr>
          <w:noProof/>
        </w:rPr>
        <w:tab/>
        <w:t>oznacza średnią wart</w:t>
      </w:r>
      <w:r>
        <w:rPr>
          <w:noProof/>
        </w:rPr>
        <w:t>ość ładowności dla podgrupy 5-LH, jak określono w pkt 2.5.</w:t>
      </w:r>
    </w:p>
    <w:p w:rsidR="00093C2C" w:rsidRDefault="00A55ED2">
      <w:pPr>
        <w:ind w:left="2155" w:hanging="1305"/>
        <w:rPr>
          <w:b/>
          <w:noProof/>
        </w:rPr>
      </w:pPr>
      <w:r>
        <w:rPr>
          <w:b/>
          <w:noProof/>
        </w:rPr>
        <w:t>Tabela 4 – Roczne przebiegi</w:t>
      </w:r>
    </w:p>
    <w:tbl>
      <w:tblPr>
        <w:tblStyle w:val="TableGrid1"/>
        <w:tblW w:w="3783" w:type="dxa"/>
        <w:tblInd w:w="720" w:type="dxa"/>
        <w:tblLook w:val="04A0" w:firstRow="1" w:lastRow="0" w:firstColumn="1" w:lastColumn="0" w:noHBand="0" w:noVBand="1"/>
      </w:tblPr>
      <w:tblGrid>
        <w:gridCol w:w="1230"/>
        <w:gridCol w:w="2553"/>
      </w:tblGrid>
      <w:tr w:rsidR="00093C2C">
        <w:trPr>
          <w:trHeight w:val="816"/>
        </w:trPr>
        <w:tc>
          <w:tcPr>
            <w:tcW w:w="1089" w:type="dxa"/>
          </w:tcPr>
          <w:p w:rsidR="00093C2C" w:rsidRDefault="00A55ED2"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Podgrupa </w:t>
            </w:r>
          </w:p>
          <w:p w:rsidR="00093C2C" w:rsidRDefault="00A55ED2"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pojazdów </w:t>
            </w:r>
            <w:r>
              <w:rPr>
                <w:b/>
                <w:i/>
                <w:noProof/>
              </w:rPr>
              <w:t>sg</w:t>
            </w:r>
          </w:p>
        </w:tc>
        <w:tc>
          <w:tcPr>
            <w:tcW w:w="2694" w:type="dxa"/>
          </w:tcPr>
          <w:p w:rsidR="00093C2C" w:rsidRDefault="00A55ED2">
            <w:pPr>
              <w:spacing w:before="0" w:after="0"/>
              <w:contextualSpacing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Roczny przebieg AM</w:t>
            </w:r>
            <w:r>
              <w:rPr>
                <w:b/>
                <w:noProof/>
                <w:vertAlign w:val="subscript"/>
              </w:rPr>
              <w:t>sg</w:t>
            </w:r>
            <w:r>
              <w:rPr>
                <w:b/>
                <w:noProof/>
              </w:rPr>
              <w:t xml:space="preserve"> (w km)</w:t>
            </w:r>
          </w:p>
        </w:tc>
      </w:tr>
      <w:tr w:rsidR="00093C2C"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2694" w:type="dxa"/>
          </w:tcPr>
          <w:p w:rsidR="00093C2C" w:rsidRDefault="00A55ED2">
            <w:pPr>
              <w:spacing w:before="0" w:after="0"/>
              <w:contextualSpacing/>
              <w:jc w:val="right"/>
              <w:rPr>
                <w:noProof/>
                <w:szCs w:val="24"/>
                <w:highlight w:val="yellow"/>
              </w:rPr>
            </w:pPr>
            <w:r>
              <w:rPr>
                <w:noProof/>
              </w:rPr>
              <w:t>60 000</w:t>
            </w:r>
          </w:p>
        </w:tc>
      </w:tr>
      <w:tr w:rsidR="00093C2C"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2694" w:type="dxa"/>
            <w:vAlign w:val="center"/>
          </w:tcPr>
          <w:p w:rsidR="00093C2C" w:rsidRDefault="00A55ED2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78 000</w:t>
            </w:r>
          </w:p>
        </w:tc>
      </w:tr>
      <w:tr w:rsidR="00093C2C"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2694" w:type="dxa"/>
            <w:vAlign w:val="center"/>
          </w:tcPr>
          <w:p w:rsidR="00093C2C" w:rsidRDefault="00A55ED2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98 000</w:t>
            </w:r>
          </w:p>
        </w:tc>
      </w:tr>
      <w:tr w:rsidR="00093C2C"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2694" w:type="dxa"/>
            <w:vAlign w:val="center"/>
          </w:tcPr>
          <w:p w:rsidR="00093C2C" w:rsidRDefault="00A55ED2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78 000</w:t>
            </w:r>
          </w:p>
        </w:tc>
      </w:tr>
      <w:tr w:rsidR="00093C2C"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2694" w:type="dxa"/>
            <w:vAlign w:val="center"/>
          </w:tcPr>
          <w:p w:rsidR="00093C2C" w:rsidRDefault="00A55ED2">
            <w:pPr>
              <w:spacing w:before="0" w:after="0"/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116 000</w:t>
            </w:r>
          </w:p>
        </w:tc>
      </w:tr>
      <w:tr w:rsidR="00093C2C">
        <w:trPr>
          <w:trHeight w:val="224"/>
        </w:trPr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2694" w:type="dxa"/>
            <w:vAlign w:val="center"/>
          </w:tcPr>
          <w:p w:rsidR="00093C2C" w:rsidRDefault="00A55ED2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73 000</w:t>
            </w:r>
          </w:p>
        </w:tc>
      </w:tr>
      <w:tr w:rsidR="00093C2C"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2694" w:type="dxa"/>
            <w:vAlign w:val="center"/>
          </w:tcPr>
          <w:p w:rsidR="00093C2C" w:rsidRDefault="00A55ED2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108 000</w:t>
            </w:r>
          </w:p>
        </w:tc>
      </w:tr>
      <w:tr w:rsidR="00093C2C"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2694" w:type="dxa"/>
            <w:vAlign w:val="center"/>
          </w:tcPr>
          <w:p w:rsidR="00093C2C" w:rsidRDefault="00A55ED2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68 000</w:t>
            </w:r>
          </w:p>
        </w:tc>
      </w:tr>
      <w:tr w:rsidR="00093C2C">
        <w:tc>
          <w:tcPr>
            <w:tcW w:w="1089" w:type="dxa"/>
          </w:tcPr>
          <w:p w:rsidR="00093C2C" w:rsidRDefault="00A55ED2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2694" w:type="dxa"/>
            <w:vAlign w:val="center"/>
          </w:tcPr>
          <w:p w:rsidR="00093C2C" w:rsidRDefault="00A55ED2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107 </w:t>
            </w:r>
            <w:r>
              <w:rPr>
                <w:noProof/>
                <w:color w:val="000000"/>
              </w:rPr>
              <w:t>000</w:t>
            </w:r>
          </w:p>
        </w:tc>
      </w:tr>
    </w:tbl>
    <w:p w:rsidR="00093C2C" w:rsidRDefault="00093C2C">
      <w:pPr>
        <w:rPr>
          <w:noProof/>
        </w:rPr>
      </w:pPr>
    </w:p>
    <w:p w:rsidR="00093C2C" w:rsidRDefault="00A55ED2">
      <w:pPr>
        <w:pStyle w:val="Heading2"/>
        <w:rPr>
          <w:noProof/>
        </w:rPr>
      </w:pPr>
      <w:r>
        <w:rPr>
          <w:noProof/>
        </w:rPr>
        <w:t>Obliczanie średniego indywidualnego poziomu emisji CO</w:t>
      </w:r>
      <w:r>
        <w:rPr>
          <w:noProof/>
          <w:vertAlign w:val="subscript"/>
        </w:rPr>
        <w:t>2</w:t>
      </w:r>
      <w:r>
        <w:rPr>
          <w:noProof/>
        </w:rPr>
        <w:t xml:space="preserve"> w g/tkm producenta, o którym mowa w art. 4</w:t>
      </w:r>
    </w:p>
    <w:p w:rsidR="00093C2C" w:rsidRDefault="00A55ED2">
      <w:pPr>
        <w:ind w:left="850"/>
        <w:rPr>
          <w:noProof/>
        </w:rPr>
      </w:pPr>
      <w:r>
        <w:rPr>
          <w:noProof/>
        </w:rPr>
        <w:t>Dla każdego producenta i każdego roku kalendarzowego średni 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w g/tkm (</w:t>
      </w:r>
      <w:r>
        <w:rPr>
          <w:i/>
          <w:noProof/>
          <w:sz w:val="22"/>
        </w:rPr>
        <w:t>CO2</w:t>
      </w:r>
      <w:r>
        <w:rPr>
          <w:noProof/>
        </w:rPr>
        <w:t>) oblicza się w następujący sposób:</w:t>
      </w:r>
    </w:p>
    <w:p w:rsidR="00093C2C" w:rsidRDefault="00A55ED2">
      <w:pPr>
        <w:spacing w:before="0" w:after="200" w:line="276" w:lineRule="auto"/>
        <w:ind w:left="720" w:firstLine="720"/>
        <w:contextualSpacing/>
        <w:jc w:val="left"/>
        <w:rPr>
          <w:i/>
          <w:noProof/>
          <w:sz w:val="22"/>
        </w:rPr>
      </w:pP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 xml:space="preserve"> </w:t>
      </w:r>
      <w:r>
        <w:rPr>
          <w:i/>
          <w:noProof/>
          <w:sz w:val="22"/>
        </w:rPr>
        <w:t xml:space="preserve">= ZLEV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</w:t>
      </w:r>
      <w:r>
        <w:rPr>
          <w:i/>
          <w:noProof/>
          <w:sz w:val="22"/>
        </w:rPr>
        <w:t xml:space="preserve">∑ 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share</w:t>
      </w:r>
      <w:r>
        <w:rPr>
          <w:i/>
          <w:noProof/>
          <w:sz w:val="22"/>
          <w:vertAlign w:val="subscript"/>
        </w:rPr>
        <w:t>,sg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avgCO2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</w:t>
      </w:r>
    </w:p>
    <w:p w:rsidR="00093C2C" w:rsidRDefault="00093C2C">
      <w:pPr>
        <w:spacing w:before="0" w:after="200" w:line="276" w:lineRule="auto"/>
        <w:ind w:left="720" w:firstLine="720"/>
        <w:contextualSpacing/>
        <w:jc w:val="left"/>
        <w:rPr>
          <w:i/>
          <w:noProof/>
          <w:sz w:val="22"/>
        </w:rPr>
      </w:pPr>
    </w:p>
    <w:p w:rsidR="00093C2C" w:rsidRDefault="00A55ED2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gdzie:</w:t>
      </w:r>
    </w:p>
    <w:p w:rsidR="00093C2C" w:rsidRDefault="00A55ED2">
      <w:pPr>
        <w:ind w:left="720" w:firstLine="720"/>
        <w:jc w:val="left"/>
        <w:rPr>
          <w:noProof/>
          <w:szCs w:val="24"/>
        </w:rPr>
      </w:pPr>
      <w:r>
        <w:rPr>
          <w:i/>
          <w:noProof/>
          <w:sz w:val="22"/>
        </w:rPr>
        <w:t xml:space="preserve">∑ 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oznacza sumę wszystkich podgrup;</w:t>
      </w:r>
    </w:p>
    <w:p w:rsidR="00093C2C" w:rsidRDefault="00A55ED2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ZLEV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określono w pkt 2.3;</w:t>
      </w:r>
    </w:p>
    <w:p w:rsidR="00093C2C" w:rsidRDefault="00A55ED2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,sg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określono w pkt 2.4;</w:t>
      </w:r>
    </w:p>
    <w:p w:rsidR="00093C2C" w:rsidRDefault="00A55ED2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określono w pkt 2.6;</w:t>
      </w:r>
    </w:p>
    <w:p w:rsidR="00093C2C" w:rsidRDefault="00A55ED2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avgCO2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  <w:sz w:val="22"/>
        </w:rPr>
        <w:t>określono w pkt 2.2.</w:t>
      </w:r>
    </w:p>
    <w:p w:rsidR="00093C2C" w:rsidRDefault="00A55ED2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93C2C" w:rsidRDefault="00A55ED2">
      <w:pPr>
        <w:pStyle w:val="Heading1"/>
        <w:rPr>
          <w:noProof/>
        </w:rPr>
      </w:pPr>
      <w:r>
        <w:rPr>
          <w:noProof/>
        </w:rPr>
        <w:t>Obliczanie emisji odniesienia CO</w:t>
      </w:r>
      <w:r>
        <w:rPr>
          <w:noProof/>
          <w:vertAlign w:val="subscript"/>
        </w:rPr>
        <w:t>2</w:t>
      </w:r>
      <w:r>
        <w:rPr>
          <w:noProof/>
        </w:rPr>
        <w:t xml:space="preserve">, o których </w:t>
      </w:r>
      <w:r>
        <w:rPr>
          <w:noProof/>
        </w:rPr>
        <w:t>mowa w art. 1</w:t>
      </w:r>
    </w:p>
    <w:p w:rsidR="00093C2C" w:rsidRDefault="00A55ED2">
      <w:pPr>
        <w:spacing w:before="0" w:after="200" w:line="276" w:lineRule="auto"/>
        <w:ind w:left="720"/>
        <w:contextualSpacing/>
        <w:jc w:val="left"/>
        <w:rPr>
          <w:noProof/>
        </w:rPr>
      </w:pPr>
      <w:r>
        <w:rPr>
          <w:noProof/>
        </w:rPr>
        <w:t>Emisje odniesienia CO</w:t>
      </w:r>
      <w:r>
        <w:rPr>
          <w:noProof/>
          <w:vertAlign w:val="subscript"/>
        </w:rPr>
        <w:t>2</w:t>
      </w:r>
      <w:r>
        <w:rPr>
          <w:noProof/>
        </w:rPr>
        <w:t xml:space="preserve"> (</w:t>
      </w:r>
      <w:r>
        <w:rPr>
          <w:i/>
          <w:noProof/>
        </w:rPr>
        <w:t>rCO2</w:t>
      </w:r>
      <w:r>
        <w:rPr>
          <w:i/>
          <w:noProof/>
          <w:vertAlign w:val="subscript"/>
        </w:rPr>
        <w:t>sg</w:t>
      </w:r>
      <w:r>
        <w:rPr>
          <w:noProof/>
        </w:rPr>
        <w:t xml:space="preserve">) oblicza się dla każdej podgrupy </w:t>
      </w:r>
      <w:r>
        <w:rPr>
          <w:i/>
          <w:noProof/>
        </w:rPr>
        <w:t>sg</w:t>
      </w:r>
      <w:r>
        <w:rPr>
          <w:noProof/>
        </w:rPr>
        <w:t xml:space="preserve"> na podstawie wszystkich nowych pojazdów ciężkich wszystkich producentów z 2019 r. w następujący sposób: </w:t>
      </w:r>
    </w:p>
    <w:p w:rsidR="00093C2C" w:rsidRDefault="00093C2C">
      <w:pPr>
        <w:spacing w:before="0" w:after="200" w:line="276" w:lineRule="auto"/>
        <w:ind w:left="720"/>
        <w:contextualSpacing/>
        <w:jc w:val="left"/>
        <w:rPr>
          <w:noProof/>
        </w:rPr>
      </w:pPr>
    </w:p>
    <w:p w:rsidR="00093C2C" w:rsidRDefault="00A55ED2">
      <w:pPr>
        <w:ind w:left="85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rCO</m:t>
              </m:r>
              <m: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CO</m:t>
                      </m:r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</w:rPr>
                        <m:t>v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rV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w:rPr>
                  <w:rFonts w:ascii="Cambria Math" w:eastAsiaTheme="minorEastAsia" w:hAnsi="Cambria Math"/>
                  <w:noProof/>
                </w:rPr>
                <m:t>x</m:t>
              </m:r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</m:den>
          </m:f>
        </m:oMath>
      </m:oMathPara>
    </w:p>
    <w:p w:rsidR="00093C2C" w:rsidRDefault="00A55ED2">
      <w:pPr>
        <w:ind w:left="850"/>
        <w:jc w:val="left"/>
        <w:rPr>
          <w:noProof/>
          <w:sz w:val="22"/>
        </w:rPr>
      </w:pPr>
      <w:r>
        <w:rPr>
          <w:noProof/>
          <w:sz w:val="22"/>
        </w:rPr>
        <w:t>gdzie:</w:t>
      </w:r>
    </w:p>
    <w:p w:rsidR="00093C2C" w:rsidRDefault="00A55ED2">
      <w:pPr>
        <w:ind w:left="2155" w:hanging="1305"/>
        <w:jc w:val="left"/>
        <w:rPr>
          <w:noProof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noProof/>
                <w:sz w:val="20"/>
                <w:szCs w:val="20"/>
              </w:rPr>
              <m:t>v</m:t>
            </m:r>
          </m:sub>
          <m:sup/>
          <m:e/>
        </m:nary>
      </m:oMath>
      <w:r>
        <w:rPr>
          <w:noProof/>
        </w:rPr>
        <w:tab/>
        <w:t>oznacza sumę obej</w:t>
      </w:r>
      <w:r>
        <w:rPr>
          <w:noProof/>
        </w:rPr>
        <w:t xml:space="preserve">mującą wszystkie nowe pojazdy ciężkie zarejestrowane w 2019 r. w podgrupie </w:t>
      </w:r>
      <w:r>
        <w:rPr>
          <w:i/>
          <w:noProof/>
        </w:rPr>
        <w:t>sg</w:t>
      </w:r>
      <w:r>
        <w:rPr>
          <w:noProof/>
        </w:rPr>
        <w:t>, z wyłączeniem wszystkich pojazdów specjalistycznych zgodnie z art. 1 akapit drugi;</w:t>
      </w:r>
    </w:p>
    <w:p w:rsidR="00093C2C" w:rsidRDefault="00A55ED2">
      <w:pPr>
        <w:ind w:left="2155" w:hanging="1305"/>
        <w:jc w:val="left"/>
        <w:rPr>
          <w:rFonts w:eastAsiaTheme="minorEastAsia"/>
          <w:noProof/>
          <w:szCs w:val="24"/>
          <w:vertAlign w:val="subscript"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>v</w:t>
      </w:r>
      <w:r>
        <w:rPr>
          <w:noProof/>
        </w:rPr>
        <w:tab/>
        <w:t>oznacza indywidualny poziom emisji CO</w:t>
      </w:r>
      <w:r>
        <w:rPr>
          <w:rFonts w:eastAsiaTheme="minorEastAsia"/>
          <w:noProof/>
          <w:vertAlign w:val="subscript"/>
        </w:rPr>
        <w:t>2</w:t>
      </w:r>
      <w:r>
        <w:rPr>
          <w:noProof/>
        </w:rPr>
        <w:t xml:space="preserve"> pojazdu </w:t>
      </w:r>
      <w:r>
        <w:rPr>
          <w:rFonts w:eastAsiaTheme="minorEastAsia"/>
          <w:i/>
          <w:noProof/>
        </w:rPr>
        <w:t>v</w:t>
      </w:r>
      <w:r>
        <w:rPr>
          <w:noProof/>
        </w:rPr>
        <w:t xml:space="preserve"> określony zgodnie z pkt 2.1, w stosownych przypadkach skorygowany zgodnie z załącznikiem II;</w:t>
      </w:r>
    </w:p>
    <w:p w:rsidR="00093C2C" w:rsidRDefault="00A55ED2">
      <w:pPr>
        <w:ind w:left="2155" w:hanging="1305"/>
        <w:jc w:val="left"/>
        <w:rPr>
          <w:noProof/>
        </w:rPr>
      </w:pPr>
      <w:r>
        <w:rPr>
          <w:i/>
          <w:noProof/>
        </w:rPr>
        <w:t>rV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oznacza liczbę wszystkich nowych pojazdów ciężkich zarejestrowanych w 2019 r. w podgrupie </w:t>
      </w:r>
      <w:r>
        <w:rPr>
          <w:i/>
          <w:noProof/>
        </w:rPr>
        <w:t>sg</w:t>
      </w:r>
      <w:r>
        <w:rPr>
          <w:noProof/>
        </w:rPr>
        <w:t xml:space="preserve"> z wyłączeniem wszystkich pojazdów specjalistycznych zgodnie z ar</w:t>
      </w:r>
      <w:r>
        <w:rPr>
          <w:noProof/>
        </w:rPr>
        <w:t>t. 1 akapit drugi;</w:t>
      </w:r>
    </w:p>
    <w:p w:rsidR="00093C2C" w:rsidRDefault="00A55ED2">
      <w:pPr>
        <w:spacing w:before="0" w:after="0"/>
        <w:ind w:left="2155" w:hanging="1305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oznacza średnią ładowność pojazdów w podgrupie </w:t>
      </w:r>
      <w:r>
        <w:rPr>
          <w:i/>
          <w:noProof/>
        </w:rPr>
        <w:t>sg</w:t>
      </w:r>
      <w:r>
        <w:rPr>
          <w:noProof/>
        </w:rPr>
        <w:t>, jak określono w pkt 2.5.</w:t>
      </w:r>
    </w:p>
    <w:p w:rsidR="00093C2C" w:rsidRDefault="00093C2C">
      <w:pPr>
        <w:ind w:left="2155" w:hanging="1305"/>
        <w:jc w:val="left"/>
        <w:rPr>
          <w:noProof/>
          <w:sz w:val="22"/>
        </w:rPr>
      </w:pPr>
    </w:p>
    <w:p w:rsidR="00093C2C" w:rsidRDefault="00A55ED2">
      <w:pPr>
        <w:pStyle w:val="Heading1"/>
        <w:rPr>
          <w:noProof/>
        </w:rPr>
      </w:pPr>
      <w:r>
        <w:rPr>
          <w:noProof/>
        </w:rPr>
        <w:t>Obliczanie docelowego indywidualnego poziomu emisji producenta, o którym mowa w art. 6</w:t>
      </w:r>
    </w:p>
    <w:p w:rsidR="00093C2C" w:rsidRDefault="00A55ED2">
      <w:pPr>
        <w:ind w:left="850"/>
        <w:rPr>
          <w:noProof/>
        </w:rPr>
      </w:pPr>
      <w:r>
        <w:rPr>
          <w:noProof/>
        </w:rPr>
        <w:t>Dla każdego producenta i każdego roku kalendarzowego, począwszy od 2</w:t>
      </w:r>
      <w:r>
        <w:rPr>
          <w:noProof/>
        </w:rPr>
        <w:t xml:space="preserve">025 r., docelowy indywidualny poziom emisji </w:t>
      </w:r>
      <w:r>
        <w:rPr>
          <w:i/>
          <w:noProof/>
        </w:rPr>
        <w:t>T</w:t>
      </w:r>
      <w:r>
        <w:rPr>
          <w:noProof/>
        </w:rPr>
        <w:t xml:space="preserve"> oblicza się w następujący sposób:</w:t>
      </w:r>
    </w:p>
    <w:p w:rsidR="00093C2C" w:rsidRDefault="00A55ED2">
      <w:pPr>
        <w:spacing w:before="0" w:after="200" w:line="276" w:lineRule="auto"/>
        <w:ind w:left="720" w:firstLine="720"/>
        <w:jc w:val="left"/>
        <w:rPr>
          <w:i/>
          <w:noProof/>
          <w:szCs w:val="24"/>
          <w:vertAlign w:val="subscript"/>
        </w:rPr>
      </w:pPr>
      <w:r>
        <w:rPr>
          <w:i/>
          <w:noProof/>
        </w:rPr>
        <w:t xml:space="preserve">T = ∑ 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</w:t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× MPW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× (1 - rf)</w:t>
      </w:r>
      <w:r>
        <w:rPr>
          <w:i/>
          <w:noProof/>
          <w:vertAlign w:val="subscript"/>
        </w:rPr>
        <w:t xml:space="preserve"> </w:t>
      </w:r>
      <w:r>
        <w:rPr>
          <w:i/>
          <w:noProof/>
        </w:rPr>
        <w:t>× 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</w:t>
      </w:r>
    </w:p>
    <w:p w:rsidR="00093C2C" w:rsidRDefault="00A55ED2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  <w:t>gdzie:</w:t>
      </w:r>
    </w:p>
    <w:p w:rsidR="00093C2C" w:rsidRDefault="00A55ED2">
      <w:pPr>
        <w:spacing w:before="0" w:after="0"/>
        <w:jc w:val="left"/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oznacza sumę wszystkich podgrup;</w:t>
      </w:r>
    </w:p>
    <w:p w:rsidR="00093C2C" w:rsidRDefault="00A55ED2">
      <w:pPr>
        <w:spacing w:before="0" w:after="0"/>
        <w:ind w:left="720" w:firstLine="720"/>
        <w:contextualSpacing/>
        <w:jc w:val="left"/>
        <w:rPr>
          <w:noProof/>
          <w:sz w:val="22"/>
        </w:rPr>
      </w:pPr>
      <w:r>
        <w:rPr>
          <w:i/>
          <w:noProof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określono w sekcji 2 pkt 4;</w:t>
      </w:r>
    </w:p>
    <w:p w:rsidR="00093C2C" w:rsidRDefault="00A55ED2">
      <w:pPr>
        <w:spacing w:before="0" w:after="0"/>
        <w:ind w:left="720" w:firstLine="720"/>
        <w:rPr>
          <w:noProof/>
          <w:szCs w:val="24"/>
        </w:rPr>
      </w:pP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określono w sekcji 2 pkt 6;</w:t>
      </w:r>
    </w:p>
    <w:p w:rsidR="00093C2C" w:rsidRDefault="00A55ED2">
      <w:pPr>
        <w:spacing w:before="0" w:after="0"/>
        <w:ind w:left="2880" w:hanging="1440"/>
        <w:rPr>
          <w:noProof/>
          <w:szCs w:val="24"/>
        </w:rPr>
      </w:pPr>
      <w:r>
        <w:rPr>
          <w:i/>
          <w:noProof/>
        </w:rPr>
        <w:t xml:space="preserve">rf </w:t>
      </w:r>
      <w:r>
        <w:rPr>
          <w:noProof/>
        </w:rPr>
        <w:tab/>
      </w:r>
      <w:r>
        <w:rPr>
          <w:noProof/>
        </w:rPr>
        <w:t>oznacza cel redukcji emisji CO</w:t>
      </w:r>
      <w:r>
        <w:rPr>
          <w:noProof/>
          <w:vertAlign w:val="subscript"/>
        </w:rPr>
        <w:t>2</w:t>
      </w:r>
      <w:r>
        <w:rPr>
          <w:noProof/>
        </w:rPr>
        <w:t xml:space="preserve"> (w %) określony w art. 1 lit. a) i b) dla danego roku kalendarzowego;</w:t>
      </w:r>
    </w:p>
    <w:p w:rsidR="00093C2C" w:rsidRDefault="00A55ED2">
      <w:pPr>
        <w:spacing w:before="0" w:after="0"/>
        <w:ind w:left="720" w:firstLine="720"/>
        <w:rPr>
          <w:noProof/>
        </w:rPr>
      </w:pPr>
      <w:r>
        <w:rPr>
          <w:i/>
          <w:noProof/>
        </w:rPr>
        <w:t>rCO2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określono w sekcji 3.</w:t>
      </w:r>
    </w:p>
    <w:p w:rsidR="00093C2C" w:rsidRDefault="00A55ED2">
      <w:pPr>
        <w:pStyle w:val="Heading1"/>
        <w:rPr>
          <w:noProof/>
        </w:rPr>
      </w:pPr>
      <w:r>
        <w:rPr>
          <w:noProof/>
        </w:rPr>
        <w:t>Jednostki i długi emisyjne, o których mowa w art. 7</w:t>
      </w:r>
    </w:p>
    <w:p w:rsidR="00093C2C" w:rsidRDefault="00A55ED2">
      <w:pPr>
        <w:pStyle w:val="Heading2"/>
        <w:rPr>
          <w:noProof/>
        </w:rPr>
      </w:pPr>
      <w:r>
        <w:rPr>
          <w:noProof/>
        </w:rPr>
        <w:t>Obliczanie ścieżki redukcji CO</w:t>
      </w:r>
      <w:r>
        <w:rPr>
          <w:noProof/>
          <w:vertAlign w:val="subscript"/>
        </w:rPr>
        <w:t>2</w:t>
      </w:r>
      <w:r>
        <w:rPr>
          <w:noProof/>
        </w:rPr>
        <w:t xml:space="preserve"> w odniesieniu do jednostek emisji</w:t>
      </w:r>
    </w:p>
    <w:p w:rsidR="00093C2C" w:rsidRDefault="00A55ED2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 xml:space="preserve">Dla </w:t>
      </w:r>
      <w:r>
        <w:rPr>
          <w:noProof/>
        </w:rPr>
        <w:t>każdego producenta i każdego roku kalendarzowego Y w latach 2019–2029 ścieżkę redukcji emisji CO</w:t>
      </w:r>
      <w:r>
        <w:rPr>
          <w:noProof/>
          <w:vertAlign w:val="subscript"/>
        </w:rPr>
        <w:t>2</w:t>
      </w:r>
      <w:r>
        <w:rPr>
          <w:noProof/>
        </w:rPr>
        <w:t xml:space="preserve"> (</w:t>
      </w: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>) określa się w następujący sposób:</w:t>
      </w:r>
    </w:p>
    <w:p w:rsidR="00093C2C" w:rsidRDefault="00A55ED2">
      <w:pPr>
        <w:spacing w:before="0" w:after="200" w:line="276" w:lineRule="auto"/>
        <w:ind w:left="720" w:firstLine="130"/>
        <w:contextualSpacing/>
        <w:jc w:val="left"/>
        <w:rPr>
          <w:i/>
          <w:noProof/>
          <w:szCs w:val="24"/>
          <w:vertAlign w:val="subscript"/>
        </w:rPr>
      </w:pPr>
      <w:r>
        <w:rPr>
          <w:i/>
          <w:noProof/>
          <w:sz w:val="22"/>
        </w:rPr>
        <w:t>ET</w:t>
      </w:r>
      <w:r>
        <w:rPr>
          <w:i/>
          <w:noProof/>
          <w:sz w:val="22"/>
          <w:vertAlign w:val="subscript"/>
        </w:rPr>
        <w:t>,Y</w:t>
      </w:r>
      <w:r>
        <w:rPr>
          <w:noProof/>
          <w:sz w:val="22"/>
        </w:rPr>
        <w:t xml:space="preserve"> = </w:t>
      </w: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</w:t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× MPW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× </w:t>
      </w: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>Y</w:t>
      </w:r>
      <w:r>
        <w:rPr>
          <w:i/>
          <w:noProof/>
        </w:rPr>
        <w:t xml:space="preserve"> × 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</w:t>
      </w:r>
    </w:p>
    <w:p w:rsidR="00093C2C" w:rsidRDefault="00A55ED2">
      <w:pPr>
        <w:spacing w:before="0" w:after="200" w:line="276" w:lineRule="auto"/>
        <w:ind w:firstLine="130"/>
        <w:jc w:val="left"/>
        <w:rPr>
          <w:noProof/>
          <w:szCs w:val="24"/>
        </w:rPr>
      </w:pPr>
      <w:r>
        <w:rPr>
          <w:noProof/>
        </w:rPr>
        <w:t>gdzie:</w:t>
      </w:r>
    </w:p>
    <w:p w:rsidR="00093C2C" w:rsidRDefault="00A55ED2">
      <w:pPr>
        <w:ind w:firstLine="130"/>
        <w:rPr>
          <w:noProof/>
        </w:rPr>
      </w:pP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rFonts w:eastAsiaTheme="minorEastAsia"/>
          <w:noProof/>
          <w:sz w:val="20"/>
        </w:rPr>
        <w:t xml:space="preserve"> (…)</w:t>
      </w:r>
      <w:r>
        <w:rPr>
          <w:noProof/>
        </w:rPr>
        <w:tab/>
        <w:t>oznacza sumę wszystkich podgrup;</w:t>
      </w:r>
    </w:p>
    <w:p w:rsidR="00093C2C" w:rsidRDefault="00A55ED2">
      <w:pPr>
        <w:spacing w:before="0" w:after="0"/>
        <w:ind w:firstLine="130"/>
        <w:contextualSpacing/>
        <w:jc w:val="left"/>
        <w:rPr>
          <w:noProof/>
          <w:sz w:val="22"/>
        </w:rPr>
      </w:pP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,sg</w:t>
      </w:r>
      <w:r>
        <w:rPr>
          <w:noProof/>
        </w:rPr>
        <w:tab/>
        <w:t xml:space="preserve">określono w </w:t>
      </w:r>
      <w:r>
        <w:rPr>
          <w:noProof/>
        </w:rPr>
        <w:t>sekcji 2 pkt 4;</w:t>
      </w:r>
    </w:p>
    <w:p w:rsidR="00093C2C" w:rsidRDefault="00A55ED2">
      <w:pPr>
        <w:spacing w:before="0" w:after="0"/>
        <w:ind w:firstLine="130"/>
        <w:rPr>
          <w:noProof/>
          <w:szCs w:val="24"/>
        </w:rPr>
      </w:pP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określono w sekcji 2 pkt 6;</w:t>
      </w:r>
    </w:p>
    <w:p w:rsidR="00093C2C" w:rsidRDefault="00A55ED2">
      <w:pPr>
        <w:spacing w:before="0" w:after="0"/>
        <w:ind w:firstLine="130"/>
        <w:rPr>
          <w:noProof/>
        </w:rPr>
      </w:pPr>
      <w:r>
        <w:rPr>
          <w:i/>
          <w:noProof/>
        </w:rPr>
        <w:t>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  <w:t>określono w sekcji 3;</w:t>
      </w:r>
    </w:p>
    <w:p w:rsidR="00093C2C" w:rsidRDefault="00A55ED2">
      <w:pPr>
        <w:ind w:firstLine="130"/>
        <w:rPr>
          <w:noProof/>
        </w:rPr>
      </w:pPr>
      <w:r>
        <w:rPr>
          <w:noProof/>
        </w:rPr>
        <w:t xml:space="preserve">przy czym: </w:t>
      </w:r>
    </w:p>
    <w:p w:rsidR="00093C2C" w:rsidRDefault="00A55ED2">
      <w:pPr>
        <w:rPr>
          <w:noProof/>
        </w:rPr>
      </w:pPr>
      <w:r>
        <w:rPr>
          <w:noProof/>
        </w:rPr>
        <w:t>dla lat kalendarzowych Y od 2019 do 2025 r.:</w:t>
      </w:r>
    </w:p>
    <w:p w:rsidR="00093C2C" w:rsidRDefault="00A55ED2">
      <w:pPr>
        <w:spacing w:before="0" w:after="200" w:line="276" w:lineRule="auto"/>
        <w:ind w:firstLine="720"/>
        <w:jc w:val="left"/>
        <w:rPr>
          <w:noProof/>
          <w:sz w:val="22"/>
        </w:rPr>
      </w:pP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 xml:space="preserve">Y, </w:t>
      </w:r>
      <w:r>
        <w:rPr>
          <w:i/>
          <w:noProof/>
          <w:sz w:val="22"/>
        </w:rPr>
        <w:t xml:space="preserve">= </w:t>
      </w:r>
      <w:r>
        <w:rPr>
          <w:i/>
          <w:noProof/>
        </w:rPr>
        <w:t>(1-rf</w:t>
      </w:r>
      <w:r>
        <w:rPr>
          <w:i/>
          <w:noProof/>
          <w:vertAlign w:val="subscript"/>
        </w:rPr>
        <w:t>2025</w:t>
      </w:r>
      <w:r>
        <w:rPr>
          <w:i/>
          <w:noProof/>
        </w:rPr>
        <w:t>)</w:t>
      </w:r>
      <w:r>
        <w:rPr>
          <w:i/>
          <w:noProof/>
          <w:sz w:val="22"/>
        </w:rPr>
        <w:t xml:space="preserve">+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2025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(2025 – Y)/6</w:t>
      </w:r>
    </w:p>
    <w:p w:rsidR="00093C2C" w:rsidRDefault="00A55ED2">
      <w:pPr>
        <w:keepNext/>
        <w:ind w:left="850" w:hanging="850"/>
        <w:outlineLvl w:val="2"/>
        <w:rPr>
          <w:rFonts w:eastAsiaTheme="majorEastAsia"/>
          <w:bCs/>
          <w:noProof/>
        </w:rPr>
      </w:pPr>
      <w:r>
        <w:rPr>
          <w:noProof/>
        </w:rPr>
        <w:t xml:space="preserve">a dla lat kalendarzowych Y od 2026 do 2030 r.: </w:t>
      </w:r>
    </w:p>
    <w:p w:rsidR="00093C2C" w:rsidRDefault="00A55ED2">
      <w:pPr>
        <w:spacing w:before="0" w:after="200" w:line="276" w:lineRule="auto"/>
        <w:ind w:firstLine="720"/>
        <w:contextualSpacing/>
        <w:jc w:val="left"/>
        <w:rPr>
          <w:noProof/>
          <w:sz w:val="22"/>
          <w:vertAlign w:val="subscript"/>
        </w:rPr>
      </w:pP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 xml:space="preserve">Y </w:t>
      </w:r>
      <w:r>
        <w:rPr>
          <w:i/>
          <w:noProof/>
          <w:sz w:val="22"/>
        </w:rPr>
        <w:t>= (</w:t>
      </w:r>
      <w:r>
        <w:rPr>
          <w:i/>
          <w:noProof/>
        </w:rPr>
        <w:t>1-rf</w:t>
      </w:r>
      <w:r>
        <w:rPr>
          <w:i/>
          <w:noProof/>
          <w:vertAlign w:val="subscript"/>
        </w:rPr>
        <w:t xml:space="preserve">2030 </w:t>
      </w:r>
      <w:r>
        <w:rPr>
          <w:i/>
          <w:noProof/>
          <w:sz w:val="22"/>
        </w:rPr>
        <w:t>) + (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 xml:space="preserve">2030 -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2025</w:t>
      </w:r>
      <w:r>
        <w:rPr>
          <w:i/>
          <w:noProof/>
          <w:sz w:val="22"/>
        </w:rPr>
        <w:t xml:space="preserve">)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(2030 – Y)/5</w:t>
      </w:r>
      <w:r>
        <w:rPr>
          <w:noProof/>
          <w:sz w:val="22"/>
          <w:vertAlign w:val="subscript"/>
        </w:rPr>
        <w:t xml:space="preserve"> </w:t>
      </w:r>
    </w:p>
    <w:p w:rsidR="00093C2C" w:rsidRDefault="00093C2C">
      <w:pPr>
        <w:spacing w:before="0" w:after="200" w:line="276" w:lineRule="auto"/>
        <w:ind w:left="1440"/>
        <w:contextualSpacing/>
        <w:jc w:val="left"/>
        <w:rPr>
          <w:noProof/>
          <w:sz w:val="22"/>
        </w:rPr>
      </w:pPr>
    </w:p>
    <w:p w:rsidR="00093C2C" w:rsidRDefault="00A55ED2">
      <w:pPr>
        <w:spacing w:before="0" w:after="0"/>
        <w:rPr>
          <w:noProof/>
          <w:szCs w:val="24"/>
        </w:rPr>
      </w:pPr>
      <w:r>
        <w:rPr>
          <w:i/>
          <w:noProof/>
        </w:rPr>
        <w:t>rf</w:t>
      </w:r>
      <w:r>
        <w:rPr>
          <w:i/>
          <w:noProof/>
          <w:vertAlign w:val="subscript"/>
        </w:rPr>
        <w:t>2025</w:t>
      </w:r>
      <w:r>
        <w:rPr>
          <w:noProof/>
        </w:rPr>
        <w:t xml:space="preserve"> i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2030</w:t>
      </w:r>
      <w:r>
        <w:rPr>
          <w:noProof/>
        </w:rPr>
        <w:t xml:space="preserve"> są celami redukcji emisji CO</w:t>
      </w:r>
      <w:r>
        <w:rPr>
          <w:noProof/>
          <w:vertAlign w:val="subscript"/>
        </w:rPr>
        <w:t>2</w:t>
      </w:r>
      <w:r>
        <w:rPr>
          <w:noProof/>
        </w:rPr>
        <w:t xml:space="preserve"> (w %) na 2025 i 2030 r., jak określono odpowiednio w art. 1 lit. a) i b).</w:t>
      </w:r>
    </w:p>
    <w:p w:rsidR="00093C2C" w:rsidRDefault="00093C2C">
      <w:pPr>
        <w:spacing w:before="0" w:after="200" w:line="276" w:lineRule="auto"/>
        <w:contextualSpacing/>
        <w:jc w:val="left"/>
        <w:rPr>
          <w:noProof/>
          <w:sz w:val="22"/>
        </w:rPr>
      </w:pPr>
    </w:p>
    <w:p w:rsidR="00093C2C" w:rsidRDefault="00A55ED2">
      <w:pPr>
        <w:pStyle w:val="Heading2"/>
        <w:rPr>
          <w:noProof/>
        </w:rPr>
      </w:pPr>
      <w:r>
        <w:rPr>
          <w:noProof/>
        </w:rPr>
        <w:t>Obliczanie jednostek i długów emisyjnych w każdym roku kalendarzowym</w:t>
      </w:r>
    </w:p>
    <w:p w:rsidR="00093C2C" w:rsidRDefault="00A55ED2">
      <w:pPr>
        <w:keepNext/>
        <w:outlineLvl w:val="3"/>
        <w:rPr>
          <w:rFonts w:eastAsiaTheme="majorEastAsia"/>
          <w:bCs/>
          <w:iCs/>
          <w:noProof/>
          <w:szCs w:val="24"/>
        </w:rPr>
      </w:pPr>
      <w:r>
        <w:rPr>
          <w:noProof/>
        </w:rPr>
        <w:t>Dla każdego producenta i każdego r</w:t>
      </w:r>
      <w:r>
        <w:rPr>
          <w:noProof/>
        </w:rPr>
        <w:t>oku kalendarzowego Y w latach 2019–2029 jednostki emisji (</w:t>
      </w: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>) i długi emisyjne (</w:t>
      </w:r>
      <w:r>
        <w:rPr>
          <w:i/>
          <w:noProof/>
        </w:rPr>
        <w:t>dCO2</w:t>
      </w:r>
      <w:r>
        <w:rPr>
          <w:i/>
          <w:noProof/>
          <w:vertAlign w:val="subscript"/>
        </w:rPr>
        <w:t>Y</w:t>
      </w:r>
      <w:r>
        <w:rPr>
          <w:noProof/>
        </w:rPr>
        <w:t>) oblicza się w następujący sposób:</w:t>
      </w:r>
    </w:p>
    <w:p w:rsidR="00093C2C" w:rsidRDefault="00A55ED2"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</w:rPr>
        <w:t>jeżeli 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&lt; ET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>:</w:t>
      </w:r>
    </w:p>
    <w:p w:rsidR="00093C2C" w:rsidRDefault="00A55ED2">
      <w:pPr>
        <w:spacing w:before="0" w:after="200" w:line="276" w:lineRule="auto"/>
        <w:ind w:firstLine="720"/>
        <w:jc w:val="left"/>
        <w:rPr>
          <w:i/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= (</w:t>
      </w: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i/>
          <w:noProof/>
        </w:rPr>
        <w:t>– 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>) × V</w:t>
      </w:r>
      <w:r>
        <w:rPr>
          <w:i/>
          <w:noProof/>
          <w:vertAlign w:val="subscript"/>
        </w:rPr>
        <w:t>y</w:t>
      </w:r>
      <w:r>
        <w:rPr>
          <w:noProof/>
        </w:rPr>
        <w:tab/>
        <w:t>oraz</w:t>
      </w:r>
    </w:p>
    <w:p w:rsidR="00093C2C" w:rsidRDefault="00A55ED2">
      <w:pPr>
        <w:spacing w:before="0" w:after="200" w:line="276" w:lineRule="auto"/>
        <w:ind w:firstLine="720"/>
        <w:jc w:val="left"/>
        <w:rPr>
          <w:noProof/>
        </w:rPr>
      </w:pPr>
      <w:r>
        <w:rPr>
          <w:i/>
          <w:noProof/>
        </w:rPr>
        <w:t>dCO2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 = 0</w:t>
      </w:r>
    </w:p>
    <w:p w:rsidR="00093C2C" w:rsidRDefault="00A55ED2"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  <w:sz w:val="22"/>
        </w:rPr>
        <w:t xml:space="preserve">Jeżeli </w:t>
      </w:r>
      <w:r>
        <w:rPr>
          <w:rFonts w:eastAsiaTheme="majorEastAsia"/>
          <w:i/>
          <w:noProof/>
        </w:rPr>
        <w:t>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  <w:sz w:val="22"/>
        </w:rPr>
        <w:t xml:space="preserve"> &gt; T</w:t>
      </w:r>
      <w:r>
        <w:rPr>
          <w:rFonts w:eastAsiaTheme="majorEastAsia"/>
          <w:i/>
          <w:noProof/>
          <w:sz w:val="22"/>
          <w:vertAlign w:val="subscript"/>
        </w:rPr>
        <w:t>Y</w:t>
      </w:r>
      <w:r>
        <w:rPr>
          <w:rFonts w:eastAsiaTheme="majorEastAsia"/>
          <w:i/>
          <w:noProof/>
        </w:rPr>
        <w:t xml:space="preserve"> dla lat 2025–2029:</w:t>
      </w:r>
    </w:p>
    <w:p w:rsidR="00093C2C" w:rsidRDefault="00A55ED2">
      <w:pPr>
        <w:keepNext/>
        <w:outlineLvl w:val="2"/>
        <w:rPr>
          <w:rFonts w:eastAsiaTheme="majorEastAsia"/>
          <w:bCs/>
          <w:i/>
          <w:noProof/>
          <w:vertAlign w:val="subscript"/>
          <w:lang w:val="es-ES"/>
        </w:rPr>
      </w:pPr>
      <w:r>
        <w:rPr>
          <w:noProof/>
        </w:rPr>
        <w:tab/>
      </w:r>
      <w:r>
        <w:rPr>
          <w:i/>
          <w:noProof/>
          <w:lang w:val="es-ES"/>
        </w:rPr>
        <w:t>dCO2</w:t>
      </w:r>
      <w:r>
        <w:rPr>
          <w:i/>
          <w:noProof/>
          <w:vertAlign w:val="subscript"/>
          <w:lang w:val="es-ES"/>
        </w:rPr>
        <w:t>Y</w:t>
      </w:r>
      <w:r>
        <w:rPr>
          <w:i/>
          <w:noProof/>
          <w:lang w:val="es-ES"/>
        </w:rPr>
        <w:t xml:space="preserve"> = (CO2</w:t>
      </w:r>
      <w:r>
        <w:rPr>
          <w:rFonts w:eastAsiaTheme="majorEastAsia"/>
          <w:noProof/>
          <w:vertAlign w:val="subscript"/>
          <w:lang w:val="es-ES"/>
        </w:rPr>
        <w:t>Y</w:t>
      </w:r>
      <w:r>
        <w:rPr>
          <w:rFonts w:eastAsiaTheme="majorEastAsia"/>
          <w:i/>
          <w:noProof/>
          <w:sz w:val="22"/>
          <w:lang w:val="es-ES"/>
        </w:rPr>
        <w:t xml:space="preserve"> - </w:t>
      </w:r>
      <w:r>
        <w:rPr>
          <w:rFonts w:eastAsiaTheme="majorEastAsia"/>
          <w:i/>
          <w:noProof/>
          <w:lang w:val="es-ES"/>
        </w:rPr>
        <w:t>T</w:t>
      </w:r>
      <w:r>
        <w:rPr>
          <w:rFonts w:eastAsiaTheme="majorEastAsia"/>
          <w:i/>
          <w:noProof/>
          <w:vertAlign w:val="subscript"/>
          <w:lang w:val="es-ES"/>
        </w:rPr>
        <w:t>Y</w:t>
      </w:r>
      <w:r>
        <w:rPr>
          <w:rFonts w:eastAsiaTheme="majorEastAsia"/>
          <w:i/>
          <w:noProof/>
          <w:lang w:val="es-ES"/>
        </w:rPr>
        <w:t>) ×</w:t>
      </w:r>
      <w:r>
        <w:rPr>
          <w:rFonts w:eastAsiaTheme="majorEastAsia"/>
          <w:i/>
          <w:noProof/>
          <w:sz w:val="22"/>
          <w:lang w:val="es-ES"/>
        </w:rPr>
        <w:t xml:space="preserve"> </w:t>
      </w:r>
      <w:r>
        <w:rPr>
          <w:rFonts w:eastAsiaTheme="majorEastAsia"/>
          <w:i/>
          <w:noProof/>
          <w:lang w:val="es-ES"/>
        </w:rPr>
        <w:t>V</w:t>
      </w:r>
      <w:r>
        <w:rPr>
          <w:rFonts w:eastAsiaTheme="majorEastAsia"/>
          <w:i/>
          <w:noProof/>
          <w:vertAlign w:val="subscript"/>
          <w:lang w:val="es-ES"/>
        </w:rPr>
        <w:t>Y</w:t>
      </w:r>
      <w:r>
        <w:rPr>
          <w:noProof/>
          <w:lang w:val="es-ES"/>
        </w:rPr>
        <w:tab/>
        <w:t>oraz</w:t>
      </w:r>
    </w:p>
    <w:p w:rsidR="00093C2C" w:rsidRDefault="00A55ED2">
      <w:pPr>
        <w:keepNext/>
        <w:ind w:firstLine="720"/>
        <w:outlineLvl w:val="2"/>
        <w:rPr>
          <w:rFonts w:eastAsiaTheme="majorEastAsia"/>
          <w:bCs/>
          <w:noProof/>
          <w:lang w:val="es-ES"/>
        </w:rPr>
      </w:pPr>
      <w:r>
        <w:rPr>
          <w:i/>
          <w:noProof/>
          <w:lang w:val="es-ES"/>
        </w:rPr>
        <w:t>cCO2</w:t>
      </w:r>
      <w:r>
        <w:rPr>
          <w:i/>
          <w:noProof/>
          <w:vertAlign w:val="subscript"/>
          <w:lang w:val="es-ES"/>
        </w:rPr>
        <w:t>Y</w:t>
      </w:r>
      <w:r>
        <w:rPr>
          <w:i/>
          <w:noProof/>
          <w:lang w:val="es-ES"/>
        </w:rPr>
        <w:t xml:space="preserve"> = 0</w:t>
      </w:r>
      <w:r>
        <w:rPr>
          <w:rFonts w:eastAsiaTheme="majorEastAsia"/>
          <w:i/>
          <w:noProof/>
          <w:sz w:val="22"/>
          <w:lang w:val="es-ES"/>
        </w:rPr>
        <w:t xml:space="preserve"> </w:t>
      </w:r>
    </w:p>
    <w:p w:rsidR="00093C2C" w:rsidRDefault="00A55ED2"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</w:rPr>
        <w:t>We wszystkich pozostałych przypadkach dCO2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i cCO2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wynoszą 0.</w:t>
      </w:r>
    </w:p>
    <w:p w:rsidR="00093C2C" w:rsidRDefault="00A55ED2">
      <w:pPr>
        <w:rPr>
          <w:noProof/>
        </w:rPr>
      </w:pPr>
      <w:r>
        <w:rPr>
          <w:noProof/>
        </w:rPr>
        <w:t>gdzie:</w:t>
      </w:r>
    </w:p>
    <w:p w:rsidR="00093C2C" w:rsidRDefault="00A55ED2">
      <w:pPr>
        <w:ind w:left="1438" w:hanging="1155"/>
        <w:rPr>
          <w:i/>
          <w:noProof/>
        </w:rPr>
      </w:pP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noProof/>
        </w:rPr>
        <w:tab/>
        <w:t>oznacza ścieżkę redukcji emisji producenta w roku kalendarzowym Y określoną zgodnie z pkt 5.1;</w:t>
      </w:r>
    </w:p>
    <w:p w:rsidR="00093C2C" w:rsidRDefault="00A55ED2">
      <w:pPr>
        <w:ind w:left="1440" w:hanging="1155"/>
        <w:rPr>
          <w:noProof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>Y</w:t>
      </w:r>
      <w:r>
        <w:rPr>
          <w:noProof/>
        </w:rPr>
        <w:tab/>
        <w:t xml:space="preserve">oznacza średni indywidualny poziom emisji w roku kalendarzowym Y określony </w:t>
      </w:r>
      <w:r>
        <w:rPr>
          <w:noProof/>
        </w:rPr>
        <w:t>zgodnie z pkt 2.7;</w:t>
      </w:r>
    </w:p>
    <w:p w:rsidR="00093C2C" w:rsidRDefault="00A55ED2">
      <w:pPr>
        <w:ind w:left="1438" w:hanging="1155"/>
        <w:rPr>
          <w:i/>
          <w:noProof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noProof/>
        </w:rPr>
        <w:tab/>
        <w:t>oznacza docelowy indywidualny poziom emisji producenta w roku kalendarzowym Y określony zgodnie z sekcją 4;</w:t>
      </w:r>
    </w:p>
    <w:p w:rsidR="00093C2C" w:rsidRDefault="00A55ED2">
      <w:pPr>
        <w:ind w:left="1438" w:hanging="1155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Y</w:t>
      </w:r>
      <w:r>
        <w:rPr>
          <w:noProof/>
        </w:rPr>
        <w:tab/>
        <w:t>oznacza liczbę nowych pojazdów ciężkich producenta w roku kalendarzowym Y, z wyłączeniem wszystkich pojazdów specjalistycz</w:t>
      </w:r>
      <w:r>
        <w:rPr>
          <w:noProof/>
        </w:rPr>
        <w:t>nych zgodnie z art. 4 lit. a).</w:t>
      </w:r>
    </w:p>
    <w:p w:rsidR="00093C2C" w:rsidRDefault="00093C2C">
      <w:pPr>
        <w:ind w:left="1438" w:hanging="1155"/>
        <w:rPr>
          <w:noProof/>
        </w:rPr>
      </w:pPr>
    </w:p>
    <w:p w:rsidR="00093C2C" w:rsidRDefault="00A55ED2">
      <w:pPr>
        <w:pStyle w:val="Heading2"/>
        <w:rPr>
          <w:noProof/>
        </w:rPr>
      </w:pPr>
      <w:r>
        <w:rPr>
          <w:noProof/>
        </w:rPr>
        <w:t>Limit długu emisyjnego</w:t>
      </w:r>
    </w:p>
    <w:p w:rsidR="00093C2C" w:rsidRDefault="00A55ED2">
      <w:pPr>
        <w:rPr>
          <w:noProof/>
        </w:rPr>
      </w:pPr>
      <w:r>
        <w:rPr>
          <w:noProof/>
        </w:rPr>
        <w:t>Dla każdego producenta limit długu emisyjnego (</w:t>
      </w:r>
      <w:r>
        <w:rPr>
          <w:i/>
          <w:noProof/>
          <w:sz w:val="22"/>
        </w:rPr>
        <w:t>limCO2</w:t>
      </w:r>
      <w:r>
        <w:rPr>
          <w:noProof/>
        </w:rPr>
        <w:t>) określa się w następujący sposób:</w:t>
      </w:r>
    </w:p>
    <w:p w:rsidR="00093C2C" w:rsidRDefault="00A55ED2">
      <w:pPr>
        <w:ind w:firstLine="720"/>
        <w:rPr>
          <w:i/>
          <w:noProof/>
        </w:rPr>
      </w:pPr>
      <w:r>
        <w:rPr>
          <w:i/>
          <w:noProof/>
          <w:sz w:val="22"/>
        </w:rPr>
        <w:t>limCO2</w:t>
      </w:r>
      <w:r>
        <w:rPr>
          <w:i/>
          <w:noProof/>
        </w:rPr>
        <w:t xml:space="preserve"> = T</w:t>
      </w:r>
      <w:r>
        <w:rPr>
          <w:i/>
          <w:noProof/>
          <w:vertAlign w:val="subscript"/>
        </w:rPr>
        <w:t>2025</w:t>
      </w:r>
      <w:r>
        <w:rPr>
          <w:i/>
          <w:noProof/>
        </w:rPr>
        <w:t xml:space="preserve"> × 0,05 × V</w:t>
      </w:r>
      <w:r>
        <w:rPr>
          <w:i/>
          <w:noProof/>
          <w:vertAlign w:val="subscript"/>
        </w:rPr>
        <w:t>2025</w:t>
      </w:r>
    </w:p>
    <w:p w:rsidR="00093C2C" w:rsidRDefault="00A55ED2">
      <w:pPr>
        <w:ind w:firstLine="283"/>
        <w:rPr>
          <w:noProof/>
        </w:rPr>
      </w:pPr>
      <w:r>
        <w:rPr>
          <w:noProof/>
        </w:rPr>
        <w:t xml:space="preserve">gdzie: </w:t>
      </w:r>
    </w:p>
    <w:p w:rsidR="00093C2C" w:rsidRDefault="00A55ED2">
      <w:pPr>
        <w:ind w:left="1438" w:hanging="1155"/>
        <w:rPr>
          <w:i/>
          <w:noProof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2025</w:t>
      </w:r>
      <w:r>
        <w:rPr>
          <w:noProof/>
        </w:rPr>
        <w:t xml:space="preserve"> </w:t>
      </w:r>
      <w:r>
        <w:rPr>
          <w:noProof/>
        </w:rPr>
        <w:tab/>
        <w:t>oznacza docelowy indywidualny poziom emisji producenta na 2025 r. o</w:t>
      </w:r>
      <w:r>
        <w:rPr>
          <w:noProof/>
        </w:rPr>
        <w:t>kreślony zgodnie z sekcją 4;</w:t>
      </w:r>
    </w:p>
    <w:p w:rsidR="00093C2C" w:rsidRDefault="00A55ED2">
      <w:pPr>
        <w:ind w:left="1438" w:hanging="1155"/>
        <w:rPr>
          <w:noProof/>
        </w:rPr>
      </w:pPr>
      <w:r>
        <w:rPr>
          <w:i/>
          <w:noProof/>
        </w:rPr>
        <w:t>V</w:t>
      </w:r>
      <w:r>
        <w:rPr>
          <w:i/>
          <w:noProof/>
          <w:vertAlign w:val="subscript"/>
        </w:rPr>
        <w:t>2025</w:t>
      </w:r>
      <w:r>
        <w:rPr>
          <w:noProof/>
        </w:rPr>
        <w:tab/>
        <w:t>oznacza liczbę nowych pojazdów ciężkich producenta w 2025 r., z wyłączeniem wszystkich pojazdów specjalistycznych zgodnie z art. 4 lit. a).</w:t>
      </w:r>
    </w:p>
    <w:p w:rsidR="00093C2C" w:rsidRDefault="00A55ED2">
      <w:pPr>
        <w:pStyle w:val="Heading2"/>
        <w:rPr>
          <w:noProof/>
        </w:rPr>
      </w:pPr>
      <w:r>
        <w:rPr>
          <w:noProof/>
        </w:rPr>
        <w:t>Jednostki emisji nabyte przed 2025 r.</w:t>
      </w:r>
    </w:p>
    <w:p w:rsidR="00093C2C" w:rsidRDefault="00A55ED2">
      <w:pPr>
        <w:keepNext/>
        <w:outlineLvl w:val="1"/>
        <w:rPr>
          <w:rFonts w:eastAsiaTheme="majorEastAsia"/>
          <w:bCs/>
          <w:noProof/>
          <w:szCs w:val="26"/>
        </w:rPr>
      </w:pPr>
      <w:r>
        <w:rPr>
          <w:noProof/>
        </w:rPr>
        <w:t xml:space="preserve">Długi emisyjne nabyte w 2025 r. obniża się o kwotę </w:t>
      </w:r>
      <w:r>
        <w:rPr>
          <w:i/>
          <w:noProof/>
        </w:rPr>
        <w:t>(redCO2)</w:t>
      </w:r>
      <w:r>
        <w:rPr>
          <w:noProof/>
        </w:rPr>
        <w:t xml:space="preserve"> odpowiadającą jednostkom emisji nabytym przed 2025 r., którą określa się dla każdego producenta w następujący sposób:</w:t>
      </w:r>
    </w:p>
    <w:p w:rsidR="00093C2C" w:rsidRDefault="00A55ED2">
      <w:pPr>
        <w:ind w:firstLine="720"/>
        <w:rPr>
          <w:i/>
          <w:noProof/>
          <w:sz w:val="22"/>
        </w:rPr>
      </w:pPr>
      <w:r>
        <w:rPr>
          <w:noProof/>
          <w:lang w:val="en-GB" w:eastAsia="en-GB" w:bidi="ar-SA"/>
        </w:rPr>
        <w:drawing>
          <wp:inline distT="0" distB="0" distL="0" distR="0" wp14:anchorId="76F7EB57" wp14:editId="200C55A1">
            <wp:extent cx="272415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C" w:rsidRDefault="00A55ED2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gdzie:</w:t>
      </w:r>
    </w:p>
    <w:p w:rsidR="00093C2C" w:rsidRDefault="00A55ED2">
      <w:pPr>
        <w:ind w:left="1418" w:hanging="1134"/>
        <w:rPr>
          <w:rFonts w:eastAsiaTheme="minorEastAsia"/>
          <w:noProof/>
          <w:szCs w:val="24"/>
        </w:rPr>
      </w:pPr>
      <w:r>
        <w:rPr>
          <w:noProof/>
        </w:rPr>
        <w:t>min</w:t>
      </w:r>
      <w:r>
        <w:rPr>
          <w:noProof/>
        </w:rPr>
        <w:tab/>
        <w:t xml:space="preserve">oznacza minimalną wartość spośród dwóch wartości podanych w </w:t>
      </w:r>
      <w:r>
        <w:rPr>
          <w:noProof/>
        </w:rPr>
        <w:t>nawiasach;</w:t>
      </w:r>
    </w:p>
    <w:p w:rsidR="00093C2C" w:rsidRDefault="00A55ED2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=2019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2024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oznacza sumę w latach kalendarzowych 2019–2024;</w:t>
      </w:r>
    </w:p>
    <w:p w:rsidR="00093C2C" w:rsidRDefault="00A55ED2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dCO2</w:t>
      </w:r>
      <w:r>
        <w:rPr>
          <w:rFonts w:eastAsiaTheme="majorEastAsia"/>
          <w:i/>
          <w:noProof/>
          <w:vertAlign w:val="subscript"/>
        </w:rPr>
        <w:t>2025</w:t>
      </w:r>
      <w:r>
        <w:rPr>
          <w:noProof/>
        </w:rPr>
        <w:tab/>
        <w:t>oznacza długi emisyjne na 2025 r. określone zgodnie z pkt 5.2;</w:t>
      </w:r>
    </w:p>
    <w:p w:rsidR="00093C2C" w:rsidRDefault="00A55ED2">
      <w:pPr>
        <w:ind w:left="1418" w:hanging="1134"/>
        <w:rPr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ab/>
      </w:r>
      <w:r>
        <w:rPr>
          <w:noProof/>
        </w:rPr>
        <w:tab/>
        <w:t>oznacza jednostki emisji na rok kalendarzowy Y określone zgodnie z pkt 5.2.</w:t>
      </w:r>
    </w:p>
    <w:p w:rsidR="00093C2C" w:rsidRDefault="00A55ED2">
      <w:pPr>
        <w:rPr>
          <w:i/>
          <w:noProof/>
          <w:sz w:val="22"/>
        </w:rPr>
      </w:pPr>
      <w:r>
        <w:rPr>
          <w:noProof/>
        </w:rPr>
        <w:tab/>
      </w:r>
    </w:p>
    <w:p w:rsidR="00093C2C" w:rsidRDefault="00A55ED2">
      <w:pPr>
        <w:pStyle w:val="Heading1"/>
        <w:rPr>
          <w:noProof/>
        </w:rPr>
      </w:pPr>
      <w:r>
        <w:rPr>
          <w:noProof/>
        </w:rPr>
        <w:t>Określenie nadwyżki emisji</w:t>
      </w:r>
      <w:r>
        <w:rPr>
          <w:noProof/>
        </w:rPr>
        <w:t xml:space="preserve"> producenta, o której mowa w art. 8 ust. 2</w:t>
      </w:r>
    </w:p>
    <w:p w:rsidR="00093C2C" w:rsidRDefault="00A55ED2">
      <w:pPr>
        <w:rPr>
          <w:noProof/>
        </w:rPr>
      </w:pPr>
      <w:r>
        <w:rPr>
          <w:noProof/>
        </w:rPr>
        <w:t>Dla każdego producenta i każdego roku kalendarzowego, począwszy od 2025 r. wartość nadwyżki emisji (</w:t>
      </w: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noProof/>
        </w:rPr>
        <w:t xml:space="preserve">) określa się w następujący sposób, jeżeli wartość jest dodatnia: </w:t>
      </w:r>
    </w:p>
    <w:p w:rsidR="00093C2C" w:rsidRDefault="00A55ED2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dla roku 2025</w:t>
      </w:r>
    </w:p>
    <w:p w:rsidR="00093C2C" w:rsidRDefault="00A55ED2">
      <w:pPr>
        <w:ind w:firstLine="720"/>
        <w:rPr>
          <w:rFonts w:eastAsiaTheme="minorEastAsia"/>
          <w:i/>
          <w:noProof/>
          <w:sz w:val="22"/>
        </w:rPr>
      </w:pPr>
      <w:r>
        <w:rPr>
          <w:noProof/>
          <w:lang w:val="en-GB" w:eastAsia="en-GB" w:bidi="ar-SA"/>
        </w:rPr>
        <w:drawing>
          <wp:inline distT="0" distB="0" distL="0" distR="0" wp14:anchorId="143DC00E" wp14:editId="1FFDA644">
            <wp:extent cx="3143250" cy="1920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0989" cy="20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C" w:rsidRDefault="00A55ED2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 xml:space="preserve">dla lat Y od 2026 </w:t>
      </w:r>
      <w:r>
        <w:rPr>
          <w:rFonts w:eastAsiaTheme="majorEastAsia"/>
          <w:b/>
          <w:noProof/>
        </w:rPr>
        <w:t>do 2028 r.:</w:t>
      </w:r>
    </w:p>
    <w:p w:rsidR="00093C2C" w:rsidRDefault="00A55ED2">
      <w:pPr>
        <w:ind w:firstLine="720"/>
        <w:rPr>
          <w:noProof/>
        </w:rPr>
      </w:pPr>
      <w:r>
        <w:rPr>
          <w:i/>
          <w:noProof/>
          <w:sz w:val="22"/>
        </w:rPr>
        <w:t xml:space="preserve"> </w:t>
      </w:r>
      <w:r>
        <w:rPr>
          <w:noProof/>
          <w:lang w:val="en-GB" w:eastAsia="en-GB" w:bidi="ar-SA"/>
        </w:rPr>
        <w:drawing>
          <wp:inline distT="0" distB="0" distL="0" distR="0" wp14:anchorId="60E035A0" wp14:editId="14761A70">
            <wp:extent cx="486727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C" w:rsidRDefault="00A55ED2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dla roku 2029</w:t>
      </w:r>
    </w:p>
    <w:p w:rsidR="00093C2C" w:rsidRDefault="00A55ED2">
      <w:pPr>
        <w:ind w:firstLine="720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 wp14:anchorId="11E0EFF7" wp14:editId="7D628FD3">
            <wp:extent cx="4260850" cy="20052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0546" cy="21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C" w:rsidRDefault="00A55ED2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dla lat Y od 2030 r.:</w:t>
      </w:r>
    </w:p>
    <w:p w:rsidR="00093C2C" w:rsidRPr="00A55ED2" w:rsidRDefault="00A55ED2">
      <w:pPr>
        <w:keepNext/>
        <w:ind w:firstLine="720"/>
        <w:outlineLvl w:val="3"/>
        <w:rPr>
          <w:rFonts w:eastAsiaTheme="majorEastAsia"/>
          <w:b/>
          <w:bCs/>
          <w:iCs/>
          <w:smallCaps/>
          <w:noProof/>
          <w:szCs w:val="28"/>
        </w:rPr>
      </w:pPr>
      <w:r w:rsidRPr="00A55ED2">
        <w:rPr>
          <w:i/>
          <w:noProof/>
          <w:sz w:val="22"/>
        </w:rPr>
        <w:t>exeCO2</w:t>
      </w:r>
      <w:r w:rsidRPr="00A55ED2">
        <w:rPr>
          <w:i/>
          <w:noProof/>
          <w:sz w:val="22"/>
          <w:vertAlign w:val="subscript"/>
        </w:rPr>
        <w:t>y</w:t>
      </w:r>
      <w:r w:rsidRPr="00A55ED2">
        <w:rPr>
          <w:i/>
          <w:noProof/>
          <w:sz w:val="22"/>
        </w:rPr>
        <w:t xml:space="preserve"> = (</w:t>
      </w:r>
      <w:r w:rsidRPr="00A55ED2">
        <w:rPr>
          <w:i/>
          <w:noProof/>
        </w:rPr>
        <w:t>CO2</w:t>
      </w:r>
      <w:r w:rsidRPr="00A55ED2">
        <w:rPr>
          <w:i/>
          <w:noProof/>
          <w:vertAlign w:val="subscript"/>
        </w:rPr>
        <w:t>Y</w:t>
      </w:r>
      <w:r w:rsidRPr="00A55ED2">
        <w:rPr>
          <w:i/>
          <w:noProof/>
          <w:sz w:val="22"/>
        </w:rPr>
        <w:t xml:space="preserve"> - </w:t>
      </w:r>
      <w:r w:rsidRPr="00A55ED2">
        <w:rPr>
          <w:i/>
          <w:noProof/>
        </w:rPr>
        <w:t>T</w:t>
      </w:r>
      <w:r w:rsidRPr="00A55ED2">
        <w:rPr>
          <w:i/>
          <w:noProof/>
          <w:vertAlign w:val="subscript"/>
        </w:rPr>
        <w:t>Y</w:t>
      </w:r>
      <w:r w:rsidRPr="00A55ED2">
        <w:rPr>
          <w:i/>
          <w:noProof/>
        </w:rPr>
        <w:t xml:space="preserve">) x </w:t>
      </w:r>
      <w:r w:rsidRPr="00A55ED2">
        <w:rPr>
          <w:noProof/>
        </w:rPr>
        <w:t>V</w:t>
      </w:r>
      <w:r w:rsidRPr="00A55ED2">
        <w:rPr>
          <w:noProof/>
          <w:vertAlign w:val="subscript"/>
        </w:rPr>
        <w:t>Y</w:t>
      </w:r>
    </w:p>
    <w:p w:rsidR="00093C2C" w:rsidRDefault="00A55ED2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gdzie:</w:t>
      </w:r>
    </w:p>
    <w:p w:rsidR="00093C2C" w:rsidRDefault="00A55ED2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=2019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2025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oznacza sumę w latach kalendarzowych 2019–2025;</w:t>
      </w:r>
    </w:p>
    <w:p w:rsidR="00093C2C" w:rsidRDefault="00A55ED2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I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oznacza sumę w latach kalendarzowych 2025–Y;</w:t>
      </w:r>
    </w:p>
    <w:p w:rsidR="00093C2C" w:rsidRDefault="00A55ED2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J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-</m:t>
            </m:r>
            <m:r>
              <w:rPr>
                <w:rFonts w:ascii="Cambria Math" w:eastAsia="Cambria Math" w:hAnsi="Cambria Math"/>
                <w:noProof/>
                <w:szCs w:val="24"/>
              </w:rPr>
              <m:t>1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oznacza sumę w latach kalendarzowych</w:t>
      </w:r>
      <w:r>
        <w:rPr>
          <w:noProof/>
        </w:rPr>
        <w:t xml:space="preserve"> 2025–(Y-1);</w:t>
      </w:r>
    </w:p>
    <w:p w:rsidR="00093C2C" w:rsidRDefault="00A55ED2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J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2028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oznacza sumę w latach kalendarzowych 2025–2028;</w:t>
      </w:r>
    </w:p>
    <w:p w:rsidR="00093C2C" w:rsidRDefault="00A55ED2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I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2029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oznacza sumę w latach kalendarzowych 2025–2029;</w:t>
      </w:r>
    </w:p>
    <w:p w:rsidR="00093C2C" w:rsidRDefault="00A55ED2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dCO2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noProof/>
        </w:rPr>
        <w:tab/>
        <w:t>oznacza długi emisyjne na rok kalendarzowy Y określone zgodnie z pkt 5.2;</w:t>
      </w:r>
    </w:p>
    <w:p w:rsidR="00093C2C" w:rsidRDefault="00A55ED2">
      <w:pPr>
        <w:ind w:left="1418" w:hanging="1134"/>
        <w:rPr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ab/>
        <w:t xml:space="preserve">oznacza jednostki emisji na rok </w:t>
      </w:r>
      <w:r>
        <w:rPr>
          <w:noProof/>
        </w:rPr>
        <w:t>kalendarzowy Y określone zgodnie z pkt 5.2;</w:t>
      </w:r>
    </w:p>
    <w:p w:rsidR="00093C2C" w:rsidRDefault="00A55ED2">
      <w:pPr>
        <w:ind w:left="1418" w:hanging="1134"/>
        <w:rPr>
          <w:noProof/>
          <w:szCs w:val="24"/>
        </w:rPr>
      </w:pPr>
      <w:r>
        <w:rPr>
          <w:i/>
          <w:noProof/>
        </w:rPr>
        <w:t>limCO2</w:t>
      </w:r>
      <w:r>
        <w:rPr>
          <w:noProof/>
        </w:rPr>
        <w:tab/>
      </w:r>
      <w:r>
        <w:rPr>
          <w:noProof/>
        </w:rPr>
        <w:tab/>
        <w:t>oznacza limit długu emisyjnego określony zgodnie z pkt 5.3;</w:t>
      </w:r>
    </w:p>
    <w:p w:rsidR="00093C2C" w:rsidRDefault="00A55ED2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redCO2</w:t>
      </w:r>
      <w:r>
        <w:rPr>
          <w:noProof/>
        </w:rPr>
        <w:tab/>
        <w:t>oznacza redukcję długów emisyjnych na 2025 r. określoną zgodnie z pkt 5.4;</w:t>
      </w:r>
    </w:p>
    <w:p w:rsidR="00093C2C" w:rsidRDefault="00A55ED2">
      <w:pPr>
        <w:rPr>
          <w:noProof/>
        </w:rPr>
      </w:pPr>
      <w:r>
        <w:rPr>
          <w:noProof/>
        </w:rPr>
        <w:t xml:space="preserve">We wszystkich pozostałych przypadkach wartość nadwyżki emisji </w:t>
      </w: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 xml:space="preserve">Y   </w:t>
      </w:r>
      <w:r>
        <w:rPr>
          <w:noProof/>
        </w:rPr>
        <w:t xml:space="preserve"> ustala się na 0.</w:t>
      </w:r>
    </w:p>
    <w:p w:rsidR="00093C2C" w:rsidRDefault="00093C2C">
      <w:pPr>
        <w:rPr>
          <w:noProof/>
        </w:rPr>
        <w:sectPr w:rsidR="00093C2C" w:rsidSect="00A55ED2">
          <w:footerReference w:type="default" r:id="rId22"/>
          <w:footerReference w:type="first" r:id="rId23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93C2C" w:rsidRDefault="00A55ED2">
      <w:pPr>
        <w:pStyle w:val="Annexetitre"/>
        <w:rPr>
          <w:noProof/>
        </w:rPr>
      </w:pPr>
      <w:r>
        <w:rPr>
          <w:noProof/>
        </w:rPr>
        <w:t>ZAŁĄCZNIK II</w:t>
      </w:r>
    </w:p>
    <w:p w:rsidR="00093C2C" w:rsidRDefault="00A55ED2">
      <w:pPr>
        <w:pStyle w:val="Annexetitreexpos"/>
        <w:rPr>
          <w:noProof/>
        </w:rPr>
      </w:pPr>
      <w:r>
        <w:rPr>
          <w:noProof/>
        </w:rPr>
        <w:t>Procedury dostosowania</w:t>
      </w:r>
    </w:p>
    <w:p w:rsidR="00093C2C" w:rsidRDefault="00A55ED2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Współczynniki korekty ładowności, o których mowa w art. 12 ust. 1 lit. c)</w:t>
      </w:r>
    </w:p>
    <w:p w:rsidR="00093C2C" w:rsidRDefault="00A55ED2">
      <w:pPr>
        <w:rPr>
          <w:noProof/>
          <w:highlight w:val="yellow"/>
        </w:rPr>
      </w:pPr>
      <w:r>
        <w:rPr>
          <w:noProof/>
        </w:rPr>
        <w:t xml:space="preserve">Z zastrzeżeniem przepisów określonych w art. 10 ust. 2 lit. a), </w:t>
      </w:r>
      <w:r>
        <w:rPr>
          <w:noProof/>
        </w:rPr>
        <w:t>do celów obliczania emisji odniesienia CO</w:t>
      </w:r>
      <w:r>
        <w:rPr>
          <w:noProof/>
          <w:vertAlign w:val="subscript"/>
        </w:rPr>
        <w:t>2</w:t>
      </w:r>
      <w:r>
        <w:rPr>
          <w:noProof/>
        </w:rPr>
        <w:t>, o których mowa w art. 1, emisje CO</w:t>
      </w:r>
      <w:r>
        <w:rPr>
          <w:noProof/>
          <w:vertAlign w:val="subscript"/>
        </w:rPr>
        <w:t>2</w:t>
      </w:r>
      <w:r>
        <w:rPr>
          <w:noProof/>
        </w:rPr>
        <w:t xml:space="preserve"> w g/km pojazdu ciężkiego </w:t>
      </w:r>
      <w:r>
        <w:rPr>
          <w:i/>
          <w:noProof/>
        </w:rPr>
        <w:t>v</w:t>
      </w:r>
      <w:r>
        <w:rPr>
          <w:noProof/>
        </w:rPr>
        <w:t xml:space="preserve"> określone dla profilu zadań </w:t>
      </w:r>
      <w:r>
        <w:rPr>
          <w:i/>
          <w:noProof/>
        </w:rPr>
        <w:t>mp</w:t>
      </w:r>
      <w:r>
        <w:rPr>
          <w:noProof/>
        </w:rPr>
        <w:t>, o którym mowa w tabeli 2 w pkt 2.1 załącznika I, dostosowuje się w następujący sposób:</w:t>
      </w:r>
    </w:p>
    <w:p w:rsidR="00093C2C" w:rsidRDefault="00093C2C">
      <w:pPr>
        <w:spacing w:before="0" w:after="200" w:line="276" w:lineRule="auto"/>
        <w:contextualSpacing/>
        <w:rPr>
          <w:noProof/>
          <w:sz w:val="22"/>
        </w:rPr>
      </w:pPr>
    </w:p>
    <w:p w:rsidR="00093C2C" w:rsidRDefault="00A55ED2">
      <w:pPr>
        <w:ind w:left="720" w:firstLine="720"/>
        <w:rPr>
          <w:i/>
          <w:noProof/>
          <w:sz w:val="22"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 xml:space="preserve">v,mp </w:t>
      </w:r>
      <w:r>
        <w:rPr>
          <w:rFonts w:eastAsiaTheme="minorEastAsia"/>
          <w:i/>
          <w:noProof/>
        </w:rPr>
        <w:t>= CO2(2019)</w:t>
      </w:r>
      <w:r>
        <w:rPr>
          <w:i/>
          <w:noProof/>
          <w:vertAlign w:val="subscript"/>
        </w:rPr>
        <w:t xml:space="preserve">v,mp </w:t>
      </w:r>
      <w:r>
        <w:rPr>
          <w:rFonts w:eastAsiaTheme="minorEastAsia"/>
          <w:i/>
          <w:noProof/>
        </w:rPr>
        <w:t>x (1+</w:t>
      </w:r>
      <w:r>
        <w:rPr>
          <w:rFonts w:eastAsiaTheme="minorEastAsia"/>
          <w:i/>
          <w:noProof/>
        </w:rPr>
        <w:t xml:space="preserve"> PLa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 xml:space="preserve"> x (PL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 xml:space="preserve"> – PL(2019)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>))</w:t>
      </w:r>
    </w:p>
    <w:p w:rsidR="00093C2C" w:rsidRDefault="00A55ED2">
      <w:pPr>
        <w:ind w:left="720" w:firstLine="720"/>
        <w:rPr>
          <w:noProof/>
        </w:rPr>
      </w:pPr>
      <w:r>
        <w:rPr>
          <w:noProof/>
        </w:rPr>
        <w:t>gdzie:</w:t>
      </w:r>
    </w:p>
    <w:p w:rsidR="00093C2C" w:rsidRDefault="00A55ED2">
      <w:pPr>
        <w:ind w:left="850" w:firstLine="590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oznacza podgrupę, do której należy pojazd </w:t>
      </w:r>
      <w:r>
        <w:rPr>
          <w:i/>
          <w:noProof/>
        </w:rPr>
        <w:t>v</w:t>
      </w:r>
      <w:r>
        <w:rPr>
          <w:noProof/>
        </w:rPr>
        <w:t>;</w:t>
      </w:r>
      <w:r>
        <w:rPr>
          <w:noProof/>
        </w:rPr>
        <w:tab/>
      </w:r>
    </w:p>
    <w:p w:rsidR="00093C2C" w:rsidRDefault="00A55ED2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>v,mp</w:t>
      </w:r>
      <w:r>
        <w:rPr>
          <w:noProof/>
        </w:rPr>
        <w:tab/>
        <w:t>oznacza 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pojazdu </w:t>
      </w:r>
      <w:r>
        <w:rPr>
          <w:i/>
          <w:noProof/>
        </w:rPr>
        <w:t>v</w:t>
      </w:r>
      <w:r>
        <w:rPr>
          <w:noProof/>
        </w:rPr>
        <w:t xml:space="preserve"> w g/km, jak określono w profilu zadań </w:t>
      </w:r>
      <w:r>
        <w:rPr>
          <w:i/>
          <w:noProof/>
        </w:rPr>
        <w:t>mp</w:t>
      </w:r>
      <w:r>
        <w:rPr>
          <w:noProof/>
        </w:rPr>
        <w:t xml:space="preserve"> i na podstawie danych z monitorowania dla 2019 r., zgło</w:t>
      </w:r>
      <w:r>
        <w:rPr>
          <w:noProof/>
        </w:rPr>
        <w:t xml:space="preserve">szonych zgodnie z rozporządzeniem (UE) 2018/… [HDV M&amp;R]; </w:t>
      </w:r>
    </w:p>
    <w:p w:rsidR="00093C2C" w:rsidRDefault="00A55ED2">
      <w:pPr>
        <w:ind w:left="3600" w:hanging="2160"/>
        <w:rPr>
          <w:noProof/>
          <w:sz w:val="22"/>
        </w:rPr>
      </w:pPr>
      <w:r>
        <w:rPr>
          <w:i/>
          <w:noProof/>
        </w:rPr>
        <w:t>PL(2019)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 xml:space="preserve">oznacza wartość ładowności przypisaną pojazdom w podgrupie </w:t>
      </w:r>
      <w:r>
        <w:rPr>
          <w:i/>
          <w:noProof/>
        </w:rPr>
        <w:t>sg</w:t>
      </w:r>
      <w:r>
        <w:rPr>
          <w:noProof/>
        </w:rPr>
        <w:t xml:space="preserve"> dla profilu zadań </w:t>
      </w:r>
      <w:r>
        <w:rPr>
          <w:i/>
          <w:noProof/>
        </w:rPr>
        <w:t>mp</w:t>
      </w:r>
      <w:r>
        <w:rPr>
          <w:noProof/>
        </w:rPr>
        <w:t xml:space="preserve"> w roku kalendarzowym 2019, zgodnie z tabelą 3 w pkt 2.5 załącznika I, w celu określenia danych z mon</w:t>
      </w:r>
      <w:r>
        <w:rPr>
          <w:noProof/>
        </w:rPr>
        <w:t>itorowania za 2019 r. zgłoszonych zgodnie z rozporządzeniem (UE) 2018/… [HDV M&amp;R];</w:t>
      </w:r>
    </w:p>
    <w:p w:rsidR="00093C2C" w:rsidRDefault="00A55ED2">
      <w:pPr>
        <w:ind w:left="3600" w:hanging="2160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 xml:space="preserve">oznacza wartość ładowności przypisaną pojazdom w podgrupie </w:t>
      </w:r>
      <w:r>
        <w:rPr>
          <w:i/>
          <w:noProof/>
        </w:rPr>
        <w:t>sg</w:t>
      </w:r>
      <w:r>
        <w:rPr>
          <w:noProof/>
        </w:rPr>
        <w:t xml:space="preserve"> dla profilu zadań </w:t>
      </w:r>
      <w:r>
        <w:rPr>
          <w:i/>
          <w:noProof/>
        </w:rPr>
        <w:t>mp</w:t>
      </w:r>
      <w:r>
        <w:rPr>
          <w:noProof/>
        </w:rPr>
        <w:t xml:space="preserve"> w roku kalendarzowym, w którym zmiany, o których mowa w art. 12 ust. 1 lit. c), s</w:t>
      </w:r>
      <w:r>
        <w:rPr>
          <w:noProof/>
        </w:rPr>
        <w:t>tają się skuteczne dla wszystkich nowych pojazdów ciężkich, zgodnie z tabelą 3 w pkt 2.5 załącznika I;</w:t>
      </w:r>
      <w:r>
        <w:rPr>
          <w:noProof/>
        </w:rPr>
        <w:tab/>
      </w:r>
    </w:p>
    <w:p w:rsidR="00093C2C" w:rsidRDefault="00A55ED2">
      <w:pPr>
        <w:ind w:left="3600" w:hanging="2160"/>
        <w:rPr>
          <w:noProof/>
        </w:rPr>
      </w:pPr>
      <w:r>
        <w:rPr>
          <w:i/>
          <w:noProof/>
        </w:rPr>
        <w:t>PLa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>oznacza współczynnik korekty ładowności określony w tabeli 5.</w:t>
      </w:r>
    </w:p>
    <w:p w:rsidR="00093C2C" w:rsidRDefault="00A55ED2">
      <w:pPr>
        <w:ind w:left="720"/>
        <w:contextualSpacing/>
        <w:rPr>
          <w:noProof/>
        </w:rPr>
      </w:pPr>
      <w:r>
        <w:rPr>
          <w:b/>
          <w:noProof/>
        </w:rPr>
        <w:t xml:space="preserve">Tabela 5 – współczynniki korekty ładowności </w:t>
      </w:r>
      <w:r>
        <w:rPr>
          <w:b/>
          <w:i/>
          <w:noProof/>
        </w:rPr>
        <w:t xml:space="preserve">PLa </w:t>
      </w:r>
      <w:r>
        <w:rPr>
          <w:b/>
          <w:i/>
          <w:noProof/>
          <w:vertAlign w:val="subscript"/>
        </w:rPr>
        <w:t>sg, mp</w:t>
      </w:r>
      <w:r>
        <w:rPr>
          <w:b/>
          <w:noProof/>
        </w:rPr>
        <w:t xml:space="preserve"> 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1231"/>
        <w:gridCol w:w="791"/>
        <w:gridCol w:w="1123"/>
        <w:gridCol w:w="1363"/>
        <w:gridCol w:w="986"/>
        <w:gridCol w:w="1363"/>
        <w:gridCol w:w="1711"/>
      </w:tblGrid>
      <w:tr w:rsidR="00093C2C"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PLa</w:t>
            </w:r>
            <w:r>
              <w:rPr>
                <w:b/>
                <w:noProof/>
                <w:vertAlign w:val="subscript"/>
              </w:rPr>
              <w:t>sg,mp</w:t>
            </w:r>
            <w:r>
              <w:rPr>
                <w:b/>
                <w:noProof/>
              </w:rPr>
              <w:t xml:space="preserve"> </w:t>
            </w:r>
          </w:p>
          <w:p w:rsidR="00093C2C" w:rsidRDefault="00A55ED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(w 1/t)</w:t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contextualSpacing/>
              <w:jc w:val="center"/>
              <w:rPr>
                <w:b/>
                <w:i/>
                <w:noProof/>
              </w:rPr>
            </w:pPr>
            <w:r>
              <w:rPr>
                <w:b/>
                <w:noProof/>
              </w:rPr>
              <w:t xml:space="preserve">Profile zadań </w:t>
            </w:r>
            <w:r>
              <w:rPr>
                <w:b/>
                <w:i/>
                <w:noProof/>
              </w:rPr>
              <w:t>mp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i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</w:p>
        </w:tc>
      </w:tr>
      <w:tr w:rsidR="00093C2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RDL, RDR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REL, RER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LHL, LHR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LEL, LER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UDL, UDR</w:t>
            </w:r>
          </w:p>
        </w:tc>
      </w:tr>
      <w:tr w:rsidR="00093C2C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C" w:rsidRDefault="00093C2C">
            <w:pPr>
              <w:spacing w:after="0"/>
              <w:rPr>
                <w:b/>
                <w:noProof/>
              </w:rPr>
            </w:pPr>
          </w:p>
          <w:p w:rsidR="00093C2C" w:rsidRDefault="00093C2C">
            <w:pPr>
              <w:spacing w:after="0"/>
              <w:rPr>
                <w:b/>
                <w:noProof/>
              </w:rPr>
            </w:pPr>
          </w:p>
          <w:p w:rsidR="00093C2C" w:rsidRDefault="00A55ED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Podgrupy</w:t>
            </w:r>
          </w:p>
          <w:p w:rsidR="00093C2C" w:rsidRDefault="00093C2C">
            <w:pPr>
              <w:spacing w:after="0"/>
              <w:jc w:val="center"/>
              <w:rPr>
                <w:b/>
                <w:noProof/>
              </w:rPr>
            </w:pPr>
          </w:p>
          <w:p w:rsidR="00093C2C" w:rsidRDefault="00A55ED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pojazdów</w:t>
            </w:r>
          </w:p>
          <w:p w:rsidR="00093C2C" w:rsidRDefault="00093C2C">
            <w:pPr>
              <w:spacing w:after="0"/>
              <w:jc w:val="center"/>
              <w:rPr>
                <w:b/>
                <w:noProof/>
              </w:rPr>
            </w:pPr>
          </w:p>
          <w:p w:rsidR="00093C2C" w:rsidRDefault="00A55ED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i/>
                <w:noProof/>
              </w:rPr>
              <w:t>sg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noProof/>
              </w:rPr>
            </w:pPr>
            <w:r>
              <w:rPr>
                <w:noProof/>
              </w:rPr>
              <w:t>0,026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rPr>
                <w:noProof/>
              </w:rPr>
            </w:pPr>
            <w:r>
              <w:rPr>
                <w:noProof/>
              </w:rPr>
              <w:t>NIE DOTYCZY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rPr>
                <w:noProof/>
              </w:rPr>
            </w:pPr>
            <w:r>
              <w:rPr>
                <w:noProof/>
              </w:rPr>
              <w:t>NIE DOTYCZY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0,026</w:t>
            </w:r>
          </w:p>
        </w:tc>
      </w:tr>
      <w:tr w:rsidR="00093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</w:tr>
      <w:tr w:rsidR="00093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</w:tr>
      <w:tr w:rsidR="00093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0,017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0,017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0,022</w:t>
            </w:r>
          </w:p>
        </w:tc>
      </w:tr>
      <w:tr w:rsidR="00093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</w:tr>
      <w:tr w:rsidR="00093C2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0,015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  <w:color w:val="000000"/>
              </w:rPr>
              <w:t>0,026</w:t>
            </w:r>
          </w:p>
        </w:tc>
      </w:tr>
      <w:tr w:rsidR="00093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</w:tr>
      <w:tr w:rsidR="00093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0,016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2C" w:rsidRDefault="00A55ED2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0,016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contextualSpacing/>
              <w:rPr>
                <w:noProof/>
              </w:rPr>
            </w:pPr>
            <w:r>
              <w:rPr>
                <w:noProof/>
                <w:color w:val="000000"/>
              </w:rPr>
              <w:t>0,022</w:t>
            </w:r>
          </w:p>
        </w:tc>
      </w:tr>
      <w:tr w:rsidR="00093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C" w:rsidRDefault="00A55ED2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C" w:rsidRDefault="00093C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2C" w:rsidRDefault="00093C2C">
            <w:pPr>
              <w:spacing w:after="0"/>
              <w:rPr>
                <w:noProof/>
                <w:sz w:val="22"/>
              </w:rPr>
            </w:pPr>
          </w:p>
        </w:tc>
      </w:tr>
    </w:tbl>
    <w:p w:rsidR="00093C2C" w:rsidRDefault="00A55ED2">
      <w:pPr>
        <w:rPr>
          <w:b/>
          <w:noProof/>
          <w:sz w:val="22"/>
        </w:rPr>
      </w:pPr>
      <w:r>
        <w:rPr>
          <w:noProof/>
        </w:rPr>
        <w:tab/>
      </w:r>
      <w:r>
        <w:rPr>
          <w:b/>
          <w:noProof/>
          <w:vertAlign w:val="superscript"/>
        </w:rPr>
        <w:t>1</w:t>
      </w:r>
      <w:r>
        <w:rPr>
          <w:b/>
          <w:noProof/>
        </w:rPr>
        <w:t xml:space="preserve"> </w:t>
      </w:r>
      <w:r>
        <w:rPr>
          <w:noProof/>
        </w:rPr>
        <w:t>Zob. definicje profili zadań w pkt 1 sekcji 2 załącznika I.</w:t>
      </w:r>
    </w:p>
    <w:p w:rsidR="00093C2C" w:rsidRDefault="00A55ED2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Współczynniki korekty, o których mowa w art. 10 ust. 2 lit. b) </w:t>
      </w:r>
    </w:p>
    <w:p w:rsidR="00093C2C" w:rsidRDefault="00A55ED2">
      <w:pPr>
        <w:rPr>
          <w:noProof/>
          <w:szCs w:val="24"/>
          <w:highlight w:val="yellow"/>
        </w:rPr>
      </w:pPr>
      <w:r>
        <w:rPr>
          <w:noProof/>
        </w:rPr>
        <w:t xml:space="preserve">Z zastrzeżeniem przepisów określonych w art. 10 ust. 2 lit. b), do </w:t>
      </w:r>
      <w:r>
        <w:rPr>
          <w:noProof/>
        </w:rPr>
        <w:t>celów obliczania emisji odniesienia CO</w:t>
      </w:r>
      <w:r>
        <w:rPr>
          <w:noProof/>
          <w:vertAlign w:val="subscript"/>
        </w:rPr>
        <w:t>2</w:t>
      </w:r>
      <w:r>
        <w:rPr>
          <w:noProof/>
        </w:rPr>
        <w:t>, o których mowa w art. 1, emisje CO</w:t>
      </w:r>
      <w:r>
        <w:rPr>
          <w:noProof/>
          <w:vertAlign w:val="subscript"/>
        </w:rPr>
        <w:t>2</w:t>
      </w:r>
      <w:r>
        <w:rPr>
          <w:noProof/>
        </w:rPr>
        <w:t xml:space="preserve"> w g/km pojazdu ciężkiego </w:t>
      </w:r>
      <w:r>
        <w:rPr>
          <w:i/>
          <w:noProof/>
        </w:rPr>
        <w:t>v</w:t>
      </w:r>
      <w:r>
        <w:rPr>
          <w:noProof/>
        </w:rPr>
        <w:t xml:space="preserve"> określone dla profilu zadań </w:t>
      </w:r>
      <w:r>
        <w:rPr>
          <w:i/>
          <w:noProof/>
        </w:rPr>
        <w:t>mp</w:t>
      </w:r>
      <w:r>
        <w:rPr>
          <w:noProof/>
        </w:rPr>
        <w:t>, o którym mowa w pkt 2.1 załącznika I, koryguje się w następujący sposób:</w:t>
      </w:r>
    </w:p>
    <w:p w:rsidR="00093C2C" w:rsidRDefault="00A55ED2">
      <w:pPr>
        <w:ind w:left="720" w:firstLine="720"/>
        <w:rPr>
          <w:noProof/>
          <w:lang w:val="pt-PT"/>
        </w:rPr>
      </w:pPr>
      <w:r>
        <w:rPr>
          <w:rFonts w:eastAsiaTheme="minorEastAsia"/>
          <w:i/>
          <w:noProof/>
          <w:lang w:val="pt-PT"/>
        </w:rPr>
        <w:t>CO2</w:t>
      </w:r>
      <w:r>
        <w:rPr>
          <w:rFonts w:eastAsiaTheme="minorEastAsia"/>
          <w:i/>
          <w:noProof/>
          <w:vertAlign w:val="subscript"/>
          <w:lang w:val="pt-PT"/>
        </w:rPr>
        <w:t xml:space="preserve">v,mp </w:t>
      </w:r>
      <w:r>
        <w:rPr>
          <w:rFonts w:eastAsiaTheme="minorEastAsia"/>
          <w:i/>
          <w:noProof/>
          <w:lang w:val="pt-PT"/>
        </w:rPr>
        <w:t>= CO2(2019)</w:t>
      </w:r>
      <w:r>
        <w:rPr>
          <w:i/>
          <w:noProof/>
          <w:vertAlign w:val="subscript"/>
          <w:lang w:val="pt-PT"/>
        </w:rPr>
        <w:t>v,m</w:t>
      </w:r>
      <w:r w:rsidRPr="00A55ED2">
        <w:rPr>
          <w:i/>
          <w:noProof/>
          <w:vertAlign w:val="subscript"/>
          <w:lang w:val="pt-PT"/>
        </w:rPr>
        <w:t xml:space="preserve">p </w:t>
      </w:r>
      <w:r w:rsidRPr="00A55ED2">
        <w:rPr>
          <w:rFonts w:eastAsiaTheme="minorEastAsia"/>
          <w:i/>
          <w:noProof/>
          <w:lang w:val="pt-PT"/>
        </w:rPr>
        <w:t>x</w:t>
      </w:r>
      <w:r>
        <w:rPr>
          <w:rFonts w:eastAsiaTheme="minorEastAsia"/>
          <w:i/>
          <w:noProof/>
          <w:lang w:val="pt-PT"/>
        </w:rPr>
        <w:t xml:space="preserve"> (∑ </w:t>
      </w:r>
      <w:r w:rsidRPr="00A55ED2">
        <w:rPr>
          <w:i/>
          <w:noProof/>
          <w:vertAlign w:val="subscript"/>
          <w:lang w:val="pt-PT"/>
        </w:rPr>
        <w:t>r</w:t>
      </w:r>
      <w:r w:rsidRPr="00A55ED2">
        <w:rPr>
          <w:rFonts w:eastAsiaTheme="minorEastAsia"/>
          <w:i/>
          <w:noProof/>
          <w:lang w:val="pt-PT"/>
        </w:rPr>
        <w:t xml:space="preserve"> s</w:t>
      </w:r>
      <w:r>
        <w:rPr>
          <w:i/>
          <w:noProof/>
          <w:vertAlign w:val="subscript"/>
          <w:lang w:val="pt-PT"/>
        </w:rPr>
        <w:t xml:space="preserve"> r,sg</w:t>
      </w:r>
      <w:r>
        <w:rPr>
          <w:noProof/>
          <w:lang w:val="pt-PT"/>
        </w:rPr>
        <w:t xml:space="preserve"> </w:t>
      </w:r>
      <w:r>
        <w:rPr>
          <w:i/>
          <w:noProof/>
          <w:lang w:val="pt-PT"/>
        </w:rPr>
        <w:t>x CO2(201</w:t>
      </w:r>
      <w:r>
        <w:rPr>
          <w:i/>
          <w:noProof/>
          <w:lang w:val="pt-PT"/>
        </w:rPr>
        <w:t>9)</w:t>
      </w:r>
      <w:r>
        <w:rPr>
          <w:i/>
          <w:noProof/>
          <w:vertAlign w:val="subscript"/>
          <w:lang w:val="pt-PT"/>
        </w:rPr>
        <w:t>r,m</w:t>
      </w:r>
      <w:r w:rsidRPr="00A55ED2">
        <w:rPr>
          <w:i/>
          <w:noProof/>
          <w:vertAlign w:val="subscript"/>
          <w:lang w:val="pt-PT"/>
        </w:rPr>
        <w:t xml:space="preserve">p </w:t>
      </w:r>
      <w:r w:rsidRPr="00A55ED2">
        <w:rPr>
          <w:i/>
          <w:noProof/>
          <w:lang w:val="pt-PT"/>
        </w:rPr>
        <w:t>)</w:t>
      </w:r>
      <w:r>
        <w:rPr>
          <w:i/>
          <w:noProof/>
          <w:lang w:val="pt-PT"/>
        </w:rPr>
        <w:t xml:space="preserve">/ (∑ </w:t>
      </w:r>
      <w:r w:rsidRPr="00A55ED2">
        <w:rPr>
          <w:i/>
          <w:noProof/>
          <w:vertAlign w:val="subscript"/>
          <w:lang w:val="pt-PT"/>
        </w:rPr>
        <w:t>r</w:t>
      </w:r>
      <w:r w:rsidRPr="00A55ED2">
        <w:rPr>
          <w:i/>
          <w:noProof/>
          <w:lang w:val="pt-PT"/>
        </w:rPr>
        <w:t xml:space="preserve"> s</w:t>
      </w:r>
      <w:r>
        <w:rPr>
          <w:i/>
          <w:noProof/>
          <w:vertAlign w:val="subscript"/>
          <w:lang w:val="pt-PT"/>
        </w:rPr>
        <w:t xml:space="preserve"> r,sg</w:t>
      </w:r>
      <w:r>
        <w:rPr>
          <w:noProof/>
          <w:lang w:val="pt-PT"/>
        </w:rPr>
        <w:t xml:space="preserve"> </w:t>
      </w:r>
      <w:r>
        <w:rPr>
          <w:i/>
          <w:noProof/>
          <w:lang w:val="pt-PT"/>
        </w:rPr>
        <w:t>x CO2</w:t>
      </w:r>
      <w:r>
        <w:rPr>
          <w:i/>
          <w:noProof/>
          <w:vertAlign w:val="subscript"/>
          <w:lang w:val="pt-PT"/>
        </w:rPr>
        <w:t>r,m</w:t>
      </w:r>
      <w:r w:rsidRPr="00A55ED2">
        <w:rPr>
          <w:i/>
          <w:noProof/>
          <w:vertAlign w:val="subscript"/>
          <w:lang w:val="pt-PT"/>
        </w:rPr>
        <w:t xml:space="preserve">p </w:t>
      </w:r>
      <w:r w:rsidRPr="00A55ED2">
        <w:rPr>
          <w:i/>
          <w:noProof/>
          <w:lang w:val="pt-PT"/>
        </w:rPr>
        <w:t>)</w:t>
      </w:r>
    </w:p>
    <w:p w:rsidR="00093C2C" w:rsidRDefault="00A55ED2">
      <w:pPr>
        <w:ind w:left="720" w:firstLine="720"/>
        <w:rPr>
          <w:noProof/>
        </w:rPr>
      </w:pPr>
      <w:r>
        <w:rPr>
          <w:noProof/>
        </w:rPr>
        <w:t>gdzie:</w:t>
      </w:r>
    </w:p>
    <w:p w:rsidR="00093C2C" w:rsidRDefault="00A55ED2">
      <w:pPr>
        <w:ind w:left="3600" w:hanging="2160"/>
        <w:rPr>
          <w:i/>
          <w:noProof/>
          <w:szCs w:val="24"/>
        </w:rPr>
      </w:pP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r</w:t>
      </w:r>
      <w:r>
        <w:rPr>
          <w:i/>
          <w:noProof/>
        </w:rPr>
        <w:t xml:space="preserve"> </w:t>
      </w:r>
      <w:r>
        <w:rPr>
          <w:noProof/>
        </w:rPr>
        <w:tab/>
        <w:t xml:space="preserve">oznacza sumę dla wszystkich pojazdów reprezentatywnych </w:t>
      </w:r>
      <w:r>
        <w:rPr>
          <w:i/>
          <w:noProof/>
        </w:rPr>
        <w:t>r</w:t>
      </w:r>
      <w:r>
        <w:rPr>
          <w:noProof/>
        </w:rPr>
        <w:t xml:space="preserve"> dla podgrupy </w:t>
      </w:r>
      <w:r>
        <w:rPr>
          <w:i/>
          <w:noProof/>
        </w:rPr>
        <w:t>sg</w:t>
      </w:r>
      <w:r>
        <w:rPr>
          <w:noProof/>
        </w:rPr>
        <w:t>;</w:t>
      </w:r>
    </w:p>
    <w:p w:rsidR="00093C2C" w:rsidRDefault="00A55ED2">
      <w:pPr>
        <w:ind w:left="850" w:firstLine="590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oznacza podgrupę, do której należy pojazd </w:t>
      </w:r>
      <w:r>
        <w:rPr>
          <w:i/>
          <w:noProof/>
        </w:rPr>
        <w:t>v</w:t>
      </w:r>
      <w:r>
        <w:rPr>
          <w:noProof/>
        </w:rPr>
        <w:t>;</w:t>
      </w:r>
    </w:p>
    <w:p w:rsidR="00093C2C" w:rsidRDefault="00A55ED2">
      <w:pPr>
        <w:spacing w:before="20" w:after="20"/>
        <w:ind w:left="851" w:firstLine="590"/>
        <w:rPr>
          <w:noProof/>
          <w:szCs w:val="24"/>
        </w:rPr>
      </w:pPr>
      <w:r>
        <w:rPr>
          <w:i/>
          <w:noProof/>
        </w:rPr>
        <w:t>s</w:t>
      </w:r>
      <w:r>
        <w:rPr>
          <w:i/>
          <w:noProof/>
          <w:vertAlign w:val="subscript"/>
        </w:rPr>
        <w:t xml:space="preserve"> r,sg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oznacza wagę statystyczną pojazdu reprezentatywnego </w:t>
      </w:r>
      <w:r>
        <w:rPr>
          <w:i/>
          <w:noProof/>
        </w:rPr>
        <w:t>r</w:t>
      </w:r>
      <w:r>
        <w:rPr>
          <w:noProof/>
        </w:rPr>
        <w:t xml:space="preserve"> </w:t>
      </w:r>
    </w:p>
    <w:p w:rsidR="00093C2C" w:rsidRDefault="00A55ED2">
      <w:pPr>
        <w:spacing w:before="20" w:after="20"/>
        <w:ind w:left="851" w:firstLine="590"/>
        <w:rPr>
          <w:i/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w podgrupie </w:t>
      </w:r>
      <w:r>
        <w:rPr>
          <w:i/>
          <w:noProof/>
        </w:rPr>
        <w:t>sg;</w:t>
      </w:r>
    </w:p>
    <w:p w:rsidR="00093C2C" w:rsidRDefault="00A55ED2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>v,mp</w:t>
      </w:r>
      <w:r>
        <w:rPr>
          <w:noProof/>
        </w:rPr>
        <w:tab/>
        <w:t>oznacza indywidualny poziom emisji CO</w:t>
      </w:r>
      <w:r>
        <w:rPr>
          <w:noProof/>
          <w:vertAlign w:val="subscript"/>
        </w:rPr>
        <w:t>2</w:t>
      </w:r>
      <w:r>
        <w:rPr>
          <w:noProof/>
        </w:rPr>
        <w:t xml:space="preserve"> pojazdu </w:t>
      </w:r>
      <w:r>
        <w:rPr>
          <w:i/>
          <w:noProof/>
        </w:rPr>
        <w:t>v</w:t>
      </w:r>
      <w:r>
        <w:rPr>
          <w:noProof/>
        </w:rPr>
        <w:t xml:space="preserve"> w g/km, jak określono w profilu zadań </w:t>
      </w:r>
      <w:r>
        <w:rPr>
          <w:i/>
          <w:noProof/>
        </w:rPr>
        <w:t>mp</w:t>
      </w:r>
      <w:r>
        <w:rPr>
          <w:noProof/>
        </w:rPr>
        <w:t xml:space="preserve"> i na podstawie danych z monitorowania dla 2019 r., zgłoszonych zgodnie z rozporządzeniem (UE) 2018/… [HDV M&amp;R]; </w:t>
      </w:r>
    </w:p>
    <w:p w:rsidR="00093C2C" w:rsidRDefault="00A55ED2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 xml:space="preserve">r,mp </w:t>
      </w:r>
      <w:r>
        <w:rPr>
          <w:noProof/>
        </w:rPr>
        <w:tab/>
        <w:t>oznacza jednostkowe emis</w:t>
      </w:r>
      <w:r>
        <w:rPr>
          <w:noProof/>
        </w:rPr>
        <w:t>je CO</w:t>
      </w:r>
      <w:r>
        <w:rPr>
          <w:noProof/>
          <w:vertAlign w:val="subscript"/>
        </w:rPr>
        <w:t>2</w:t>
      </w:r>
      <w:r>
        <w:rPr>
          <w:noProof/>
        </w:rPr>
        <w:t xml:space="preserve"> dla pojazdu reprezentatywnego </w:t>
      </w:r>
      <w:r>
        <w:rPr>
          <w:i/>
          <w:noProof/>
        </w:rPr>
        <w:t>r</w:t>
      </w:r>
      <w:r>
        <w:rPr>
          <w:noProof/>
        </w:rPr>
        <w:t xml:space="preserve"> w g/km, jak określono w profilu zadań </w:t>
      </w:r>
      <w:r>
        <w:rPr>
          <w:i/>
          <w:noProof/>
        </w:rPr>
        <w:t xml:space="preserve">mp </w:t>
      </w:r>
      <w:r>
        <w:rPr>
          <w:noProof/>
        </w:rPr>
        <w:t xml:space="preserve">zgodnie z niniejszym rozporządzeniem w jego brzmieniu obowiązującym w 2019 r.; </w:t>
      </w:r>
    </w:p>
    <w:p w:rsidR="00093C2C" w:rsidRDefault="00A55ED2">
      <w:pPr>
        <w:ind w:left="3600" w:hanging="2160"/>
        <w:rPr>
          <w:noProof/>
          <w:szCs w:val="24"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 xml:space="preserve">r,mp </w:t>
      </w:r>
      <w:r>
        <w:rPr>
          <w:noProof/>
        </w:rPr>
        <w:tab/>
        <w:t>oznacza jednostkowe emisje CO</w:t>
      </w:r>
      <w:r>
        <w:rPr>
          <w:noProof/>
          <w:vertAlign w:val="subscript"/>
        </w:rPr>
        <w:t>2</w:t>
      </w:r>
      <w:r>
        <w:rPr>
          <w:noProof/>
        </w:rPr>
        <w:t xml:space="preserve"> dla pojazdu reprezentatywnego </w:t>
      </w:r>
      <w:r>
        <w:rPr>
          <w:i/>
          <w:noProof/>
        </w:rPr>
        <w:t>r,</w:t>
      </w:r>
      <w:r>
        <w:rPr>
          <w:noProof/>
        </w:rPr>
        <w:t xml:space="preserve"> określone zgodnie z nin</w:t>
      </w:r>
      <w:r>
        <w:rPr>
          <w:noProof/>
        </w:rPr>
        <w:t>iejszym rozporządzeniem w roku kalendarzowym, w którym zmiany, o których mowa w art. 12 ust. 2, stają się skuteczne dla wszystkich nowych pojazdów ciężkich.</w:t>
      </w:r>
    </w:p>
    <w:p w:rsidR="00093C2C" w:rsidRDefault="00A55ED2">
      <w:pPr>
        <w:ind w:left="1440"/>
        <w:rPr>
          <w:noProof/>
          <w:szCs w:val="24"/>
        </w:rPr>
      </w:pPr>
      <w:r>
        <w:rPr>
          <w:noProof/>
        </w:rPr>
        <w:t>Pojazd reprezentatywny określa się zgodnie z metodą, o której mowa w art. 12 ust. 2.</w:t>
      </w:r>
    </w:p>
    <w:sectPr w:rsidR="00093C2C" w:rsidSect="00A55ED2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2C" w:rsidRDefault="00A55ED2">
      <w:pPr>
        <w:spacing w:before="0" w:after="0"/>
      </w:pPr>
      <w:r>
        <w:separator/>
      </w:r>
    </w:p>
  </w:endnote>
  <w:endnote w:type="continuationSeparator" w:id="0">
    <w:p w:rsidR="00093C2C" w:rsidRDefault="00A55ED2">
      <w:pPr>
        <w:spacing w:before="0" w:after="0"/>
      </w:pPr>
      <w:r>
        <w:continuationSeparator/>
      </w:r>
    </w:p>
  </w:endnote>
  <w:endnote w:type="continuationNotice" w:id="1">
    <w:p w:rsidR="00093C2C" w:rsidRDefault="00093C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D2" w:rsidRPr="00A55ED2" w:rsidRDefault="00A55ED2" w:rsidP="00A55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2C" w:rsidRPr="00A55ED2" w:rsidRDefault="00A55ED2" w:rsidP="00A55ED2">
    <w:pPr>
      <w:pStyle w:val="Footer"/>
      <w:rPr>
        <w:rFonts w:ascii="Arial" w:hAnsi="Arial" w:cs="Arial"/>
        <w:b/>
        <w:sz w:val="48"/>
      </w:rPr>
    </w:pPr>
    <w:r w:rsidRPr="00A55ED2">
      <w:rPr>
        <w:rFonts w:ascii="Arial" w:hAnsi="Arial" w:cs="Arial"/>
        <w:b/>
        <w:sz w:val="48"/>
      </w:rPr>
      <w:t>PL</w:t>
    </w:r>
    <w:r w:rsidRPr="00A55ED2">
      <w:rPr>
        <w:rFonts w:ascii="Arial" w:hAnsi="Arial" w:cs="Arial"/>
        <w:b/>
        <w:sz w:val="48"/>
      </w:rPr>
      <w:tab/>
    </w:r>
    <w:r w:rsidRPr="00A55ED2">
      <w:rPr>
        <w:rFonts w:ascii="Arial" w:hAnsi="Arial" w:cs="Arial"/>
        <w:b/>
        <w:sz w:val="48"/>
      </w:rPr>
      <w:tab/>
    </w:r>
    <w:r w:rsidRPr="00A55ED2">
      <w:tab/>
    </w:r>
    <w:proofErr w:type="spellStart"/>
    <w:r w:rsidRPr="00A55ED2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D2" w:rsidRPr="00A55ED2" w:rsidRDefault="00A55ED2" w:rsidP="00A55ED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D2" w:rsidRPr="00A55ED2" w:rsidRDefault="00A55ED2" w:rsidP="00A55ED2">
    <w:pPr>
      <w:pStyle w:val="Footer"/>
      <w:rPr>
        <w:rFonts w:ascii="Arial" w:hAnsi="Arial" w:cs="Arial"/>
        <w:b/>
        <w:sz w:val="48"/>
      </w:rPr>
    </w:pPr>
    <w:r w:rsidRPr="00A55ED2">
      <w:rPr>
        <w:rFonts w:ascii="Arial" w:hAnsi="Arial" w:cs="Arial"/>
        <w:b/>
        <w:sz w:val="48"/>
      </w:rPr>
      <w:t>PL</w:t>
    </w:r>
    <w:r w:rsidRPr="00A55ED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 w:rsidRPr="00A55ED2">
      <w:tab/>
    </w:r>
    <w:r w:rsidRPr="00A55ED2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D2" w:rsidRPr="00A55ED2" w:rsidRDefault="00A55ED2" w:rsidP="00A55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2C" w:rsidRDefault="00A55ED2">
      <w:pPr>
        <w:spacing w:before="0" w:after="0"/>
      </w:pPr>
      <w:r>
        <w:separator/>
      </w:r>
    </w:p>
  </w:footnote>
  <w:footnote w:type="continuationSeparator" w:id="0">
    <w:p w:rsidR="00093C2C" w:rsidRDefault="00A55ED2">
      <w:pPr>
        <w:spacing w:before="0" w:after="0"/>
      </w:pPr>
      <w:r>
        <w:continuationSeparator/>
      </w:r>
    </w:p>
  </w:footnote>
  <w:footnote w:type="continuationNotice" w:id="1">
    <w:p w:rsidR="00093C2C" w:rsidRDefault="00093C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D2" w:rsidRPr="00A55ED2" w:rsidRDefault="00A55ED2" w:rsidP="00A55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D2" w:rsidRPr="00A55ED2" w:rsidRDefault="00A55ED2" w:rsidP="00A55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D2" w:rsidRPr="00A55ED2" w:rsidRDefault="00A55ED2" w:rsidP="00A55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E44B5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ED2E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6C070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14842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30AF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62C3B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38FA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5C6B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ctiveWritingStyle w:appName="MSWord" w:lang="pt-PT" w:vendorID="64" w:dllVersion="131078" w:nlCheck="1" w:checkStyle="0"/>
  <w:activeWritingStyle w:appName="MSWord" w:lang="fr-BE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03 15:07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ANNEX_UNIQUE" w:val="0"/>
    <w:docVar w:name="LW_CORRIGENDUM" w:val="CORRIGENDUM_x000b_This document corrects document COM(2018) 284 final of 17.05.2018_x000b_Concerns all language versions._x000b_Correction of minor non-substantial errors in the act and its annexes._x000b_The text shall read as follows:"/>
    <w:docVar w:name="LW_COVERPAGE_EXISTS" w:val="True"/>
    <w:docVar w:name="LW_COVERPAGE_GUID" w:val="1BF48AAE-1AA5-44ED-8583-EE5DAD54F7E0"/>
    <w:docVar w:name="LW_COVERPAGE_TYPE" w:val="1"/>
    <w:docVar w:name="LW_CROSSREFERENCE" w:val="{SEC(2018) 233 final}_x000d__x000a_{SWD(2018) 185 final}_x000d__x000a_{SWD(2018) 186 final}"/>
    <w:docVar w:name="LW_DocType" w:val="ANNEX"/>
    <w:docVar w:name="LW_EMISSION" w:val="3.7.2018"/>
    <w:docVar w:name="LW_EMISSION_ISODATE" w:val="2018-07-03"/>
    <w:docVar w:name="LW_EMISSION_LOCATION" w:val="BRX"/>
    <w:docVar w:name="LW_EMISSION_PREFIX" w:val="Bruksela, dnia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ustanowienia norm emisji CO2 dla nowych pojazdów ci\u281?\u380?kich"/>
    <w:docVar w:name="LW_OBJETACTEPRINCIPAL.CP" w:val="w sprawie ustanowienia norm emisji CO2 dla nowych pojazdów ci\u281?\u380?kich"/>
    <w:docVar w:name="LW_PART_NBR" w:val="&lt;UNUSED&gt;"/>
    <w:docVar w:name="LW_PART_NBR_TOTAL" w:val="&lt;UNUSED&gt;"/>
    <w:docVar w:name="LW_REF.INST.NEW" w:val="COM"/>
    <w:docVar w:name="LW_REF.INST.NEW_ADOPTED" w:val="final/2"/>
    <w:docVar w:name="LW_REF.INST.NEW_TEXT" w:val="(2018) 2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wniosku dotycz\u261?cego rozporz\u261?dzenia Parlamentu Europejskiego i Rady"/>
    <w:docVar w:name="LW_TYPEACTEPRINCIPAL.CP" w:val="wniosku dotycz\u261?cego rozporz\u261?dzenia Parlamentu Europejskiego i Rady"/>
  </w:docVars>
  <w:rsids>
    <w:rsidRoot w:val="00093C2C"/>
    <w:rsid w:val="00093C2C"/>
    <w:rsid w:val="00A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customStyle="1" w:styleId="Headline2">
    <w:name w:val="Headline 2"/>
    <w:basedOn w:val="Text1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ED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55ED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55ED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55ED2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55ED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A55ED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customStyle="1" w:styleId="Headline2">
    <w:name w:val="Headline 2"/>
    <w:basedOn w:val="Text1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ED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55ED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55ED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55ED2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55ED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A55ED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457675-A94F-487D-9124-386452B8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2580</Words>
  <Characters>13804</Characters>
  <Application>Microsoft Office Word</Application>
  <DocSecurity>0</DocSecurity>
  <Lines>717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Sibylle (CLIMA)</dc:creator>
  <cp:lastModifiedBy>WADHWANIA Nadia (MARE-EXT)</cp:lastModifiedBy>
  <cp:revision>12</cp:revision>
  <dcterms:created xsi:type="dcterms:W3CDTF">2018-06-11T08:13:00Z</dcterms:created>
  <dcterms:modified xsi:type="dcterms:W3CDTF">2018-07-03T14:06:00Z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6.0, Build 20171009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Yellow (DQC version 03)</vt:lpwstr>
  </property>
</Properties>
</file>