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05" w:rsidRDefault="001B0A47" w:rsidP="001B0A47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CE21DE40-71E2-47C5-A1EE-6AAD1A25D5BF" style="width:450.4pt;height:397.65pt">
            <v:imagedata r:id="rId9" o:title=""/>
          </v:shape>
        </w:pict>
      </w:r>
    </w:p>
    <w:p w:rsidR="00D21405" w:rsidRDefault="00D21405">
      <w:pPr>
        <w:rPr>
          <w:noProof/>
        </w:rPr>
        <w:sectPr w:rsidR="00D21405" w:rsidSect="001B0A4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D21405" w:rsidRDefault="001B0A47">
      <w:pPr>
        <w:pStyle w:val="Annexetitre"/>
        <w:rPr>
          <w:noProof/>
          <w:u w:val="none"/>
        </w:rPr>
      </w:pPr>
      <w:bookmarkStart w:id="0" w:name="_GoBack"/>
      <w:bookmarkEnd w:id="0"/>
      <w:r>
        <w:rPr>
          <w:noProof/>
        </w:rPr>
        <w:lastRenderedPageBreak/>
        <w:t>LIITE I</w:t>
      </w:r>
      <w:r>
        <w:rPr>
          <w:noProof/>
          <w:u w:val="none"/>
        </w:rPr>
        <w:br/>
      </w:r>
      <w:r>
        <w:rPr>
          <w:noProof/>
          <w:u w:val="none"/>
        </w:rPr>
        <w:br/>
        <w:t>Ohjelmien rahoituksen kohdentamisen perusteet yhteistyöhön perustuvassa hallinnoinnissa</w:t>
      </w:r>
    </w:p>
    <w:p w:rsidR="00D21405" w:rsidRDefault="00D21405">
      <w:pPr>
        <w:rPr>
          <w:noProof/>
          <w:szCs w:val="24"/>
        </w:rPr>
      </w:pPr>
    </w:p>
    <w:p w:rsidR="00D21405" w:rsidRDefault="001B0A47">
      <w:pPr>
        <w:rPr>
          <w:noProof/>
          <w:szCs w:val="24"/>
        </w:rPr>
      </w:pPr>
      <w:r>
        <w:rPr>
          <w:noProof/>
        </w:rPr>
        <w:t>Asetuksen 10 artiklassa tarkoitetut varat kohdennetaan</w:t>
      </w:r>
      <w:r>
        <w:rPr>
          <w:noProof/>
        </w:rPr>
        <w:t xml:space="preserve"> jäsenvaltioiden ohjelmiin seuraavasti:</w:t>
      </w:r>
    </w:p>
    <w:p w:rsidR="00D21405" w:rsidRDefault="001B0A47">
      <w:pPr>
        <w:pStyle w:val="Point0number"/>
        <w:numPr>
          <w:ilvl w:val="0"/>
          <w:numId w:val="13"/>
        </w:numPr>
        <w:rPr>
          <w:noProof/>
        </w:rPr>
      </w:pPr>
      <w:r>
        <w:rPr>
          <w:noProof/>
        </w:rPr>
        <w:t>jokainen jäsenvaltio saa ohjelmakauden alussa kertaluonteisen kiinteän 5 000 000 euron rahoituksen, jotta voidaan varmistaa kriittinen massa kunkin ohjelman osalta ja kattaa tarpeet, jotka eivät käy suoraan ilmi jälj</w:t>
      </w:r>
      <w:r>
        <w:rPr>
          <w:noProof/>
        </w:rPr>
        <w:t>empänä esitettyjen kriteerien perusteella;</w:t>
      </w:r>
    </w:p>
    <w:p w:rsidR="00D21405" w:rsidRDefault="001B0A47">
      <w:pPr>
        <w:pStyle w:val="Point0number"/>
        <w:rPr>
          <w:noProof/>
        </w:rPr>
      </w:pPr>
      <w:r>
        <w:rPr>
          <w:noProof/>
        </w:rPr>
        <w:t>jäljellä olevat varat jaetaan seuraavien kriteerien mukaisesti:</w:t>
      </w:r>
    </w:p>
    <w:p w:rsidR="00D21405" w:rsidRDefault="001B0A47">
      <w:pPr>
        <w:pStyle w:val="Point1letter"/>
        <w:numPr>
          <w:ilvl w:val="3"/>
          <w:numId w:val="9"/>
        </w:numPr>
        <w:rPr>
          <w:noProof/>
        </w:rPr>
      </w:pPr>
      <w:r>
        <w:rPr>
          <w:noProof/>
        </w:rPr>
        <w:t>45 prosenttia käänteisessä suhteessa niiden bruttokansantuotteeseen (yksikkönä ostovoimastandardi asukasta kohti)</w:t>
      </w:r>
    </w:p>
    <w:p w:rsidR="00D21405" w:rsidRDefault="001B0A47">
      <w:pPr>
        <w:pStyle w:val="Point1letter"/>
        <w:numPr>
          <w:ilvl w:val="3"/>
          <w:numId w:val="9"/>
        </w:numPr>
        <w:rPr>
          <w:noProof/>
        </w:rPr>
      </w:pPr>
      <w:r>
        <w:rPr>
          <w:noProof/>
        </w:rPr>
        <w:t>40 prosenttia suhteessa väestömäärä</w:t>
      </w:r>
      <w:r>
        <w:rPr>
          <w:noProof/>
        </w:rPr>
        <w:t>än</w:t>
      </w:r>
    </w:p>
    <w:p w:rsidR="00D21405" w:rsidRDefault="001B0A47">
      <w:pPr>
        <w:pStyle w:val="Point1letter"/>
        <w:numPr>
          <w:ilvl w:val="3"/>
          <w:numId w:val="9"/>
        </w:numPr>
        <w:rPr>
          <w:noProof/>
        </w:rPr>
      </w:pPr>
      <w:r>
        <w:rPr>
          <w:noProof/>
        </w:rPr>
        <w:t>15 prosenttia suhteessa pinta-alaan.</w:t>
      </w:r>
    </w:p>
    <w:p w:rsidR="00D21405" w:rsidRDefault="001B0A47">
      <w:pPr>
        <w:spacing w:before="0" w:after="200" w:line="276" w:lineRule="auto"/>
        <w:jc w:val="left"/>
        <w:rPr>
          <w:b/>
          <w:noProof/>
          <w:u w:val="single"/>
        </w:rPr>
      </w:pPr>
      <w:r>
        <w:rPr>
          <w:noProof/>
        </w:rPr>
        <w:t xml:space="preserve">Alustavat määrärahat perustuvat viimeisimpiin komission (Eurostatin) tuottamiin vuotuisiin tilastotietoihin, jotka kattavat edeltävän kalenterivuoden. Vertailuluvut väliarviointeja varten ovat viimeisimmät komission </w:t>
      </w:r>
      <w:r>
        <w:rPr>
          <w:noProof/>
        </w:rPr>
        <w:t>(Eurostatin) tuottamat vuotuiset tilastotiedot, jotka kattavat edeltävän kalenterivuoden ja jotka ovat saatavilla vuonna 2024 tehtävän väliarvioinnin aikaan.</w:t>
      </w:r>
      <w:r>
        <w:rPr>
          <w:noProof/>
        </w:rPr>
        <w:br w:type="page"/>
      </w:r>
    </w:p>
    <w:p w:rsidR="00D21405" w:rsidRDefault="001B0A47">
      <w:pPr>
        <w:pStyle w:val="Annexetitre"/>
        <w:rPr>
          <w:noProof/>
          <w:u w:val="none"/>
        </w:rPr>
      </w:pPr>
      <w:r>
        <w:rPr>
          <w:noProof/>
        </w:rPr>
        <w:lastRenderedPageBreak/>
        <w:t>LIITE II</w:t>
      </w:r>
      <w:r>
        <w:rPr>
          <w:noProof/>
          <w:u w:val="none"/>
        </w:rPr>
        <w:br/>
      </w:r>
      <w:r>
        <w:rPr>
          <w:noProof/>
          <w:u w:val="none"/>
        </w:rPr>
        <w:br/>
        <w:t>Täytäntöönpanotoimenpiteet</w:t>
      </w:r>
    </w:p>
    <w:p w:rsidR="00D21405" w:rsidRDefault="00D21405">
      <w:pPr>
        <w:rPr>
          <w:noProof/>
        </w:rPr>
      </w:pPr>
    </w:p>
    <w:p w:rsidR="00D21405" w:rsidRDefault="001B0A47">
      <w:pPr>
        <w:rPr>
          <w:noProof/>
        </w:rPr>
      </w:pPr>
      <w:r>
        <w:rPr>
          <w:noProof/>
        </w:rPr>
        <w:t xml:space="preserve">Rahasto edistää 3 artiklan 2 kohdan a alakohdassa esitetyn </w:t>
      </w:r>
      <w:r>
        <w:rPr>
          <w:noProof/>
        </w:rPr>
        <w:t>erityistavoitteen saavuttamista keskittymällä seuraaviin täytäntöönpanotoimenpiteisiin:</w:t>
      </w:r>
    </w:p>
    <w:p w:rsidR="00D21405" w:rsidRDefault="001B0A47">
      <w:pPr>
        <w:pStyle w:val="Point1letter"/>
        <w:numPr>
          <w:ilvl w:val="3"/>
          <w:numId w:val="18"/>
        </w:numPr>
        <w:rPr>
          <w:noProof/>
        </w:rPr>
      </w:pPr>
      <w:r>
        <w:rPr>
          <w:noProof/>
        </w:rPr>
        <w:t>turvallisuutta koskevan unionin säännöstön yhdenmukaisen soveltamisen varmistaminen tukemalla tiedonvaihtoa muun muassa Prüm-puitteiden, EU:n matkustajarekisteridirekti</w:t>
      </w:r>
      <w:r>
        <w:rPr>
          <w:noProof/>
        </w:rPr>
        <w:t>ivin ja SIS II -tietojärjestelmän avulla, myös panemalla täytäntöön suositukset, jotka on laadittu laadunvalvonta- ja arviointimekanismien, kuten Schengenin arviointimekanismin ja muiden laadunvalvonta- ja arviointimekanismien perusteella;</w:t>
      </w:r>
    </w:p>
    <w:p w:rsidR="00D21405" w:rsidRDefault="001B0A47">
      <w:pPr>
        <w:pStyle w:val="Point1letter"/>
        <w:numPr>
          <w:ilvl w:val="3"/>
          <w:numId w:val="17"/>
        </w:numPr>
        <w:rPr>
          <w:noProof/>
        </w:rPr>
      </w:pPr>
      <w:r>
        <w:rPr>
          <w:noProof/>
        </w:rPr>
        <w:t>turvallisuuden k</w:t>
      </w:r>
      <w:r>
        <w:rPr>
          <w:noProof/>
        </w:rPr>
        <w:t>annalta merkityksellisten unionin tietojärjestelmien perustaminen, mukauttaminen ja ylläpito, niiden yhteentoimivuus mukaan lukien, sekä asianmukaisten välineiden kehittäminen havaittujen puutteiden korjaamiseksi;</w:t>
      </w:r>
    </w:p>
    <w:p w:rsidR="00D21405" w:rsidRDefault="001B0A47">
      <w:pPr>
        <w:pStyle w:val="Point1letter"/>
        <w:numPr>
          <w:ilvl w:val="3"/>
          <w:numId w:val="17"/>
        </w:numPr>
        <w:rPr>
          <w:noProof/>
        </w:rPr>
      </w:pPr>
      <w:r>
        <w:rPr>
          <w:noProof/>
        </w:rPr>
        <w:t xml:space="preserve">turvallisuuden kannalta merkityksellisten </w:t>
      </w:r>
      <w:r>
        <w:rPr>
          <w:noProof/>
        </w:rPr>
        <w:t>unionin tiedonvaihtovälineiden, järjestelmien ja tietokantojen aktiivisen käytön lisääminen varmistamalla, että niihin tallennetaan korkealaatuista tietoa;</w:t>
      </w:r>
    </w:p>
    <w:p w:rsidR="00D21405" w:rsidRDefault="001B0A47">
      <w:pPr>
        <w:pStyle w:val="Point1letter"/>
        <w:numPr>
          <w:ilvl w:val="3"/>
          <w:numId w:val="17"/>
        </w:numPr>
        <w:rPr>
          <w:noProof/>
        </w:rPr>
      </w:pPr>
      <w:r>
        <w:rPr>
          <w:noProof/>
        </w:rPr>
        <w:t>asiaa koskevien kansallisten toimenpiteiden tukeminen, jos se on tarpeen 3 artiklan 2 kohdan a alako</w:t>
      </w:r>
      <w:r>
        <w:rPr>
          <w:noProof/>
        </w:rPr>
        <w:t>hdassa esitettyjen erityistavoitteiden toteuttamiseksi.</w:t>
      </w:r>
    </w:p>
    <w:p w:rsidR="00D21405" w:rsidRDefault="001B0A47">
      <w:pPr>
        <w:rPr>
          <w:noProof/>
        </w:rPr>
      </w:pPr>
      <w:r>
        <w:rPr>
          <w:noProof/>
        </w:rPr>
        <w:t>Rahasto edistää 3 artiklan 2 kohdan b alakohdassa esitetyn erityistavoitteen saavuttamista keskittymällä seuraaviin täytäntöönpanotoimenpiteisiin:</w:t>
      </w:r>
    </w:p>
    <w:p w:rsidR="00D21405" w:rsidRDefault="001B0A47">
      <w:pPr>
        <w:pStyle w:val="Point1letter"/>
        <w:numPr>
          <w:ilvl w:val="3"/>
          <w:numId w:val="19"/>
        </w:numPr>
        <w:rPr>
          <w:noProof/>
        </w:rPr>
      </w:pPr>
      <w:r>
        <w:rPr>
          <w:noProof/>
        </w:rPr>
        <w:t>jäsenvaltioiden yhteisten ja tarvittaessa myös muiden</w:t>
      </w:r>
      <w:r>
        <w:rPr>
          <w:noProof/>
        </w:rPr>
        <w:t xml:space="preserve"> toimijoiden kanssa toteutettavien lainvalvontaoperaatioiden lisääminen, jotta voidaan erityisesti helpottaa ja parantaa yhteisten tutkintaryhmien, yhteispartioinnin, välittömän takaa-ajon, peitetoimina suoritettavan tarkkailun ja muiden operatiivisen yhte</w:t>
      </w:r>
      <w:r>
        <w:rPr>
          <w:noProof/>
        </w:rPr>
        <w:t>istyön mekanismien käyttöä unionin toimintapoliittisen syklin (EMPACT) yhteydessä painottaen erityisesti valtioiden rajat ylittäviä operaatioita;</w:t>
      </w:r>
    </w:p>
    <w:p w:rsidR="00D21405" w:rsidRDefault="001B0A47">
      <w:pPr>
        <w:pStyle w:val="Point1letter"/>
        <w:numPr>
          <w:ilvl w:val="3"/>
          <w:numId w:val="17"/>
        </w:numPr>
        <w:rPr>
          <w:noProof/>
        </w:rPr>
      </w:pPr>
      <w:r>
        <w:rPr>
          <w:noProof/>
        </w:rPr>
        <w:t>lainvalvontaviranomaisten ja muiden toimivaltaisten viranomaisten välisen koordinoinnin ja yhteistyön lisäämin</w:t>
      </w:r>
      <w:r>
        <w:rPr>
          <w:noProof/>
        </w:rPr>
        <w:t>en sekä jäsenvaltioiden sisällä että niiden välillä ja muiden asiaankuuluvien toimijoiden kanssa esimerkiksi kansallisten erikoisyksiköiden verkostojen, unionin verkostojen ja yhteistyörakenteiden ja unionin keskusten puitteissa;</w:t>
      </w:r>
    </w:p>
    <w:p w:rsidR="00D21405" w:rsidRDefault="001B0A47">
      <w:pPr>
        <w:pStyle w:val="Point1letter"/>
        <w:numPr>
          <w:ilvl w:val="3"/>
          <w:numId w:val="17"/>
        </w:numPr>
        <w:rPr>
          <w:noProof/>
        </w:rPr>
      </w:pPr>
      <w:r>
        <w:rPr>
          <w:noProof/>
        </w:rPr>
        <w:t>virastojen välisen yhteist</w:t>
      </w:r>
      <w:r>
        <w:rPr>
          <w:noProof/>
        </w:rPr>
        <w:t>yön parantaminen unionin tasolla jäsenvaltioiden välillä ja jäsenvaltioiden ja asiaankuuluvien unionin toimielinten, elinten ja laitosten välillä sekä kansallisella tasolla kunkin jäsenvaltion kansallisten viranomaisten välillä.</w:t>
      </w:r>
    </w:p>
    <w:p w:rsidR="00D21405" w:rsidRDefault="001B0A47">
      <w:pPr>
        <w:rPr>
          <w:noProof/>
        </w:rPr>
      </w:pPr>
      <w:r>
        <w:rPr>
          <w:noProof/>
        </w:rPr>
        <w:t xml:space="preserve">Rahasto edistää 3 artiklan </w:t>
      </w:r>
      <w:r>
        <w:rPr>
          <w:noProof/>
        </w:rPr>
        <w:t>2 kohdan c alakohdassa esitetyn erityistavoitteen saavuttamista keskittymällä seuraaviin täytäntöönpanotoimenpiteisiin:</w:t>
      </w:r>
    </w:p>
    <w:p w:rsidR="00D21405" w:rsidRDefault="001B0A47">
      <w:pPr>
        <w:pStyle w:val="Point1letter"/>
        <w:numPr>
          <w:ilvl w:val="3"/>
          <w:numId w:val="20"/>
        </w:numPr>
        <w:rPr>
          <w:noProof/>
        </w:rPr>
      </w:pPr>
      <w:r>
        <w:rPr>
          <w:noProof/>
        </w:rPr>
        <w:t>lainvalvonta-alan koulutuksen, harjoitusten, keskinäisen oppimisen, erityisten vaihto-ohjelmien ja parhaiden käytäntöjen vaihtamisen lis</w:t>
      </w:r>
      <w:r>
        <w:rPr>
          <w:noProof/>
        </w:rPr>
        <w:t>ääminen myös kolmansissa maissa ja niiden kanssa sekä muiden asiaankuuluvien toimijoiden kanssa;</w:t>
      </w:r>
    </w:p>
    <w:p w:rsidR="00D21405" w:rsidRDefault="001B0A47">
      <w:pPr>
        <w:pStyle w:val="Point1letter"/>
        <w:rPr>
          <w:noProof/>
        </w:rPr>
      </w:pPr>
      <w:r>
        <w:rPr>
          <w:noProof/>
        </w:rPr>
        <w:lastRenderedPageBreak/>
        <w:t>yhteisvaikutusten hyödyntäminen yhdistämällä voimavaroja ja tietämystä jäsenvaltioiden ja muiden asiaankuuluvien toimijoiden kesken, kansalaisyhteiskunnan toim</w:t>
      </w:r>
      <w:r>
        <w:rPr>
          <w:noProof/>
        </w:rPr>
        <w:t>ijat mukaan lukien, esimerkiksi laatimalla yhteisiä riskinarviointeja ja perustamalla yhteisiä osaamiskeskuksia tai yhteisiä operatiivisia tukikeskuksia yhdessä toteutettuja operaatioita varten;</w:t>
      </w:r>
    </w:p>
    <w:p w:rsidR="00D21405" w:rsidRDefault="001B0A47">
      <w:pPr>
        <w:pStyle w:val="Point1letter"/>
        <w:numPr>
          <w:ilvl w:val="3"/>
          <w:numId w:val="17"/>
        </w:numPr>
        <w:rPr>
          <w:noProof/>
        </w:rPr>
      </w:pPr>
      <w:r>
        <w:rPr>
          <w:noProof/>
        </w:rPr>
        <w:t>toimenpiteiden, suojatoimien, mekanismien ja parhaiden käytän</w:t>
      </w:r>
      <w:r>
        <w:rPr>
          <w:noProof/>
        </w:rPr>
        <w:t>teiden edistäminen ja kehittäminen todistajien, väärinkäytösten paljastajien ja rikoksen uhrien varhaista tunnistamista, suojelua ja tukemista varten sekä kumppanuuksien kehittäminen viranomaisten ja muiden asiaankuuluvien toimijoiden kanssa tätä tarkoitus</w:t>
      </w:r>
      <w:r>
        <w:rPr>
          <w:noProof/>
        </w:rPr>
        <w:t>ta varten;</w:t>
      </w:r>
    </w:p>
    <w:p w:rsidR="00D21405" w:rsidRDefault="001B0A47">
      <w:pPr>
        <w:pStyle w:val="Point1letter"/>
        <w:numPr>
          <w:ilvl w:val="3"/>
          <w:numId w:val="17"/>
        </w:numPr>
        <w:rPr>
          <w:noProof/>
        </w:rPr>
      </w:pPr>
      <w:r>
        <w:rPr>
          <w:noProof/>
        </w:rPr>
        <w:t>tarvittavien varusteiden hankkiminen ja koulutusvälineiden ja muun keskeisen turvallisuusinfrastruktuurin perustaminen ja päivittäminen turvallisuusuhkiin valmistautumisen, selviytymiskyvyn, yleisön tietoisuuden ja asianmukaisten vastatoimien li</w:t>
      </w:r>
      <w:r>
        <w:rPr>
          <w:noProof/>
        </w:rPr>
        <w:t>säämiseksi.</w:t>
      </w:r>
    </w:p>
    <w:p w:rsidR="00D21405" w:rsidRDefault="001B0A47">
      <w:pPr>
        <w:spacing w:before="0" w:after="200" w:line="276" w:lineRule="auto"/>
        <w:jc w:val="left"/>
        <w:rPr>
          <w:b/>
          <w:noProof/>
          <w:u w:val="single"/>
        </w:rPr>
      </w:pPr>
      <w:r>
        <w:rPr>
          <w:noProof/>
        </w:rPr>
        <w:br w:type="page"/>
      </w:r>
    </w:p>
    <w:p w:rsidR="00D21405" w:rsidRDefault="001B0A47">
      <w:pPr>
        <w:pStyle w:val="Annexetitre"/>
        <w:rPr>
          <w:noProof/>
          <w:u w:val="none"/>
        </w:rPr>
      </w:pPr>
      <w:r>
        <w:rPr>
          <w:noProof/>
        </w:rPr>
        <w:t>LIITE III</w:t>
      </w:r>
      <w:r>
        <w:rPr>
          <w:noProof/>
          <w:u w:val="none"/>
        </w:rPr>
        <w:br/>
      </w:r>
      <w:r>
        <w:rPr>
          <w:noProof/>
          <w:u w:val="none"/>
        </w:rPr>
        <w:br/>
        <w:t>Rahastosta 4 artiklan mukaisesti tuettavat toimet</w:t>
      </w:r>
    </w:p>
    <w:p w:rsidR="00D21405" w:rsidRDefault="00D21405">
      <w:pPr>
        <w:spacing w:before="0" w:after="200" w:line="276" w:lineRule="auto"/>
        <w:jc w:val="left"/>
        <w:rPr>
          <w:b/>
          <w:noProof/>
          <w:u w:val="single"/>
        </w:rPr>
      </w:pPr>
    </w:p>
    <w:p w:rsidR="00D21405" w:rsidRDefault="001B0A47">
      <w:pPr>
        <w:pStyle w:val="Bullet0"/>
        <w:numPr>
          <w:ilvl w:val="0"/>
          <w:numId w:val="16"/>
        </w:numPr>
        <w:rPr>
          <w:noProof/>
        </w:rPr>
      </w:pPr>
      <w:r>
        <w:rPr>
          <w:noProof/>
        </w:rPr>
        <w:t xml:space="preserve">Tietojärjestelmät ja -verkot, jotka edistävät tämän asetuksen tavoitteiden saavuttamista, koulutus niiden käyttämistä varten, yhteentoimivuuden testaaminen ja parantaminen sekä </w:t>
      </w:r>
      <w:r>
        <w:rPr>
          <w:noProof/>
        </w:rPr>
        <w:t>näiden järjestelmien tietojen laatu;</w:t>
      </w:r>
    </w:p>
    <w:p w:rsidR="00D21405" w:rsidRDefault="001B0A47">
      <w:pPr>
        <w:pStyle w:val="Bullet0"/>
        <w:rPr>
          <w:noProof/>
        </w:rPr>
      </w:pPr>
      <w:r>
        <w:rPr>
          <w:noProof/>
        </w:rPr>
        <w:t>unionin lainsäädännön ja unionin toimintatavoitteiden toteuttamisen seuranta jäsenvaltioissa turvallisuuden kannalta merkityksellisten tietojärjestelmien alalla;</w:t>
      </w:r>
    </w:p>
    <w:p w:rsidR="00D21405" w:rsidRDefault="001B0A47">
      <w:pPr>
        <w:pStyle w:val="Bullet0"/>
        <w:rPr>
          <w:noProof/>
        </w:rPr>
      </w:pPr>
      <w:r>
        <w:rPr>
          <w:noProof/>
        </w:rPr>
        <w:t>EMPACT-toimet, joilla toteutetaan EU:n toimintapoliittise</w:t>
      </w:r>
      <w:r>
        <w:rPr>
          <w:noProof/>
        </w:rPr>
        <w:t>en sykliin kuuluvia toimia tai helpotetaan niiden toteuttamista;</w:t>
      </w:r>
    </w:p>
    <w:p w:rsidR="00D21405" w:rsidRDefault="001B0A47">
      <w:pPr>
        <w:pStyle w:val="Bullet0"/>
        <w:rPr>
          <w:noProof/>
        </w:rPr>
      </w:pPr>
      <w:r>
        <w:rPr>
          <w:noProof/>
        </w:rPr>
        <w:t>toimet, joilla tuetaan tehokasta ja koordinoitua valmiutta reagoida kriiseihin muun muassa kansanterveyden, pelastuspalvelun ja terrorismin alalla nykyisten alakohtaisten valmiuksien, asiantu</w:t>
      </w:r>
      <w:r>
        <w:rPr>
          <w:noProof/>
        </w:rPr>
        <w:t>ntemuskeskusten ja tilannearviointikeskusten pohjalta;</w:t>
      </w:r>
    </w:p>
    <w:p w:rsidR="00D21405" w:rsidRDefault="001B0A47">
      <w:pPr>
        <w:pStyle w:val="Bullet0"/>
        <w:rPr>
          <w:noProof/>
        </w:rPr>
      </w:pPr>
      <w:r>
        <w:rPr>
          <w:noProof/>
        </w:rPr>
        <w:t>toimet, joilla kehitetään innovatiivisia menettelyjä tai otetaan käyttöön uusia teknologioita, joita voidaan siirtää muihin jäsenvaltioihin, ja erityisesti hankkeet, joiden tarkoituksena on unionin rah</w:t>
      </w:r>
      <w:r>
        <w:rPr>
          <w:noProof/>
        </w:rPr>
        <w:t>oittamien turvallisuustutkimushankkeiden tulosten testaus ja validointi;</w:t>
      </w:r>
    </w:p>
    <w:p w:rsidR="00D21405" w:rsidRDefault="001B0A47">
      <w:pPr>
        <w:pStyle w:val="Bullet0"/>
        <w:rPr>
          <w:noProof/>
        </w:rPr>
      </w:pPr>
      <w:r>
        <w:rPr>
          <w:noProof/>
        </w:rPr>
        <w:t xml:space="preserve">erikoistuneista kansallisista yksiköistä muodostettujen temaattisten tai monialaisten verkostojen tukeminen, jotta voidaan parantaa keskinäistä luottamusta ja asiantuntemuksen, </w:t>
      </w:r>
      <w:r>
        <w:rPr>
          <w:noProof/>
        </w:rPr>
        <w:t>tietojen, kokemusten ja parhaiden käytäntöjen vaihtoa sekä resurssien ja asiantuntemuksen yhdistämistä yhteisissä osaamiskeskuksissa;</w:t>
      </w:r>
    </w:p>
    <w:p w:rsidR="00D21405" w:rsidRDefault="001B0A47">
      <w:pPr>
        <w:pStyle w:val="Bullet0"/>
        <w:rPr>
          <w:noProof/>
        </w:rPr>
      </w:pPr>
      <w:r>
        <w:rPr>
          <w:noProof/>
        </w:rPr>
        <w:t>lainvalvonta- ja oikeusviranomaisten sekä hallintovirastojen henkilöstön ja asiantuntijoiden kouluttaminen, ottaen huomioo</w:t>
      </w:r>
      <w:r>
        <w:rPr>
          <w:noProof/>
        </w:rPr>
        <w:t>n operatiiviset tarpeet ja riskianalyysit, lainvalvontaviranomaisten eurooppalaisen koulutuskehyksen pohjalta ja yhteistyössä CEPOLin ja tarvittaessa Euroopan juridisen koulutusverkoston kanssa;</w:t>
      </w:r>
    </w:p>
    <w:p w:rsidR="00D21405" w:rsidRDefault="001B0A47">
      <w:pPr>
        <w:pStyle w:val="Bullet0"/>
        <w:rPr>
          <w:noProof/>
        </w:rPr>
      </w:pPr>
      <w:r>
        <w:rPr>
          <w:noProof/>
        </w:rPr>
        <w:t xml:space="preserve">yhteistyö yksityisen sektorin kanssa, jotta voidaan lujittaa </w:t>
      </w:r>
      <w:r>
        <w:rPr>
          <w:noProof/>
        </w:rPr>
        <w:t>luottamusta ja parantaa koordinointia ja valmiussuunnittelua sekä tietojen ja parhaiden käytäntöjen vaihtoa julkisen ja yksityisen sektorin toimijoiden välillä, myös julkisten tilojen suojelun ja kriittisen infrastruktuurin alalla;</w:t>
      </w:r>
    </w:p>
    <w:p w:rsidR="00D21405" w:rsidRDefault="001B0A47">
      <w:pPr>
        <w:pStyle w:val="Bullet0"/>
        <w:rPr>
          <w:noProof/>
        </w:rPr>
      </w:pPr>
      <w:r>
        <w:rPr>
          <w:noProof/>
        </w:rPr>
        <w:t xml:space="preserve">toimet, joilla annetaan </w:t>
      </w:r>
      <w:r>
        <w:rPr>
          <w:noProof/>
        </w:rPr>
        <w:t>yhteisöille mahdollisuus kehittää paikallisia toimintamalleja ja ennaltaehkäiseviä toimintapolitiikkoja, sekä unionin turvallisuuspolitiikkaa koskeva tiedotus ja viestintä sidosryhmien ja yleisön keskuudessa;</w:t>
      </w:r>
    </w:p>
    <w:p w:rsidR="00D21405" w:rsidRDefault="001B0A47">
      <w:pPr>
        <w:pStyle w:val="Bullet0"/>
        <w:rPr>
          <w:noProof/>
        </w:rPr>
      </w:pPr>
      <w:r>
        <w:rPr>
          <w:noProof/>
        </w:rPr>
        <w:t>laitteet, kulkuneuvot, viestintäjärjestelmät ja</w:t>
      </w:r>
      <w:r>
        <w:rPr>
          <w:noProof/>
        </w:rPr>
        <w:t xml:space="preserve"> turvallisuuden kannalta olennaiset laitokset;</w:t>
      </w:r>
    </w:p>
    <w:p w:rsidR="00D21405" w:rsidRDefault="001B0A47">
      <w:pPr>
        <w:pStyle w:val="Bullet0"/>
        <w:rPr>
          <w:noProof/>
        </w:rPr>
      </w:pPr>
      <w:r>
        <w:rPr>
          <w:noProof/>
        </w:rPr>
        <w:t xml:space="preserve">henkilöstökustannukset, jotka liittyvät rahastosta tuettavien toimien tai sellaisten toimien toteuttamiseen, jotka teknisistä tai turvallisuussyistä edellyttävät henkilöstön osallistumista. </w:t>
      </w:r>
    </w:p>
    <w:p w:rsidR="00D21405" w:rsidRDefault="001B0A47">
      <w:pPr>
        <w:spacing w:before="0" w:after="200" w:line="276" w:lineRule="auto"/>
        <w:jc w:val="left"/>
        <w:rPr>
          <w:b/>
          <w:noProof/>
          <w:u w:val="single"/>
        </w:rPr>
      </w:pPr>
      <w:r>
        <w:rPr>
          <w:noProof/>
        </w:rPr>
        <w:br w:type="page"/>
      </w:r>
    </w:p>
    <w:p w:rsidR="00D21405" w:rsidRDefault="001B0A47">
      <w:pPr>
        <w:pStyle w:val="Annexetitre"/>
        <w:rPr>
          <w:noProof/>
          <w:u w:val="none"/>
        </w:rPr>
      </w:pPr>
      <w:r>
        <w:rPr>
          <w:noProof/>
        </w:rPr>
        <w:t>LIITE IV</w:t>
      </w:r>
      <w:r>
        <w:rPr>
          <w:noProof/>
          <w:u w:val="none"/>
        </w:rPr>
        <w:br/>
      </w:r>
      <w:r>
        <w:rPr>
          <w:noProof/>
          <w:u w:val="none"/>
        </w:rPr>
        <w:br/>
        <w:t>Toimet</w:t>
      </w:r>
      <w:r>
        <w:rPr>
          <w:noProof/>
          <w:u w:val="none"/>
        </w:rPr>
        <w:t>, joiden yhteisrahoitusosuus voi olla suurempi 11 artiklan 2 kohdan ja 12 artiklan 6 kohdan mukaisesti</w:t>
      </w:r>
    </w:p>
    <w:p w:rsidR="00D21405" w:rsidRDefault="00D21405">
      <w:pPr>
        <w:pStyle w:val="ListParagraph"/>
        <w:spacing w:after="120" w:line="240" w:lineRule="auto"/>
        <w:ind w:right="0"/>
        <w:contextualSpacing w:val="0"/>
        <w:rPr>
          <w:noProof/>
        </w:rPr>
      </w:pPr>
    </w:p>
    <w:p w:rsidR="00D21405" w:rsidRDefault="001B0A47">
      <w:pPr>
        <w:pStyle w:val="Bullet0"/>
        <w:numPr>
          <w:ilvl w:val="0"/>
          <w:numId w:val="14"/>
        </w:numPr>
        <w:rPr>
          <w:noProof/>
        </w:rPr>
      </w:pPr>
      <w:r>
        <w:rPr>
          <w:noProof/>
        </w:rPr>
        <w:t>Hankkeet, joiden tavoitteena on ehkäistä ja torjua radikalisoitumista.</w:t>
      </w:r>
    </w:p>
    <w:p w:rsidR="00D21405" w:rsidRDefault="001B0A47">
      <w:pPr>
        <w:pStyle w:val="Bullet0"/>
        <w:rPr>
          <w:noProof/>
        </w:rPr>
      </w:pPr>
      <w:r>
        <w:rPr>
          <w:noProof/>
        </w:rPr>
        <w:t>Hankkeet, joiden tavoitteena on parantaa tietojärjestelmien ja viestintäverkkojen</w:t>
      </w:r>
      <w:r>
        <w:rPr>
          <w:noProof/>
        </w:rPr>
        <w:t xml:space="preserve"> yhteentoimivuutta.</w:t>
      </w:r>
      <w:r>
        <w:rPr>
          <w:rStyle w:val="FootnoteReference"/>
          <w:noProof/>
        </w:rPr>
        <w:footnoteReference w:id="2"/>
      </w:r>
    </w:p>
    <w:p w:rsidR="00D21405" w:rsidRDefault="001B0A47">
      <w:pPr>
        <w:spacing w:before="0" w:after="200" w:line="276" w:lineRule="auto"/>
        <w:jc w:val="left"/>
        <w:rPr>
          <w:b/>
          <w:noProof/>
          <w:u w:val="single"/>
        </w:rPr>
      </w:pPr>
      <w:r>
        <w:rPr>
          <w:noProof/>
        </w:rPr>
        <w:br w:type="page"/>
      </w:r>
    </w:p>
    <w:p w:rsidR="00D21405" w:rsidRDefault="001B0A47">
      <w:pPr>
        <w:pStyle w:val="Annexetitre"/>
        <w:rPr>
          <w:noProof/>
        </w:rPr>
      </w:pPr>
      <w:r>
        <w:rPr>
          <w:noProof/>
        </w:rPr>
        <w:t>LIITE V</w:t>
      </w:r>
      <w:r>
        <w:rPr>
          <w:noProof/>
        </w:rPr>
        <w:br/>
      </w:r>
      <w:r>
        <w:rPr>
          <w:noProof/>
        </w:rPr>
        <w:br/>
      </w:r>
      <w:r>
        <w:rPr>
          <w:noProof/>
          <w:u w:val="none"/>
        </w:rPr>
        <w:t>Asetuksen 24 artiklan 1 kohdassa tarkoitetut keskeiset tuloksellisuuden indikaattorit</w:t>
      </w:r>
    </w:p>
    <w:p w:rsidR="00D21405" w:rsidRDefault="00D21405">
      <w:pPr>
        <w:rPr>
          <w:b/>
          <w:noProof/>
        </w:rPr>
      </w:pPr>
    </w:p>
    <w:p w:rsidR="00D21405" w:rsidRDefault="001B0A47">
      <w:pPr>
        <w:rPr>
          <w:b/>
          <w:noProof/>
        </w:rPr>
      </w:pPr>
      <w:r>
        <w:rPr>
          <w:b/>
          <w:noProof/>
        </w:rPr>
        <w:t xml:space="preserve">Erityistavoite 1: </w:t>
      </w:r>
      <w:r>
        <w:rPr>
          <w:noProof/>
        </w:rPr>
        <w:tab/>
      </w:r>
      <w:r>
        <w:rPr>
          <w:b/>
          <w:noProof/>
        </w:rPr>
        <w:t>Tiedonvaihdon parantaminen</w:t>
      </w:r>
    </w:p>
    <w:p w:rsidR="00D21405" w:rsidRDefault="001B0A47">
      <w:pPr>
        <w:pStyle w:val="Point0number"/>
        <w:numPr>
          <w:ilvl w:val="0"/>
          <w:numId w:val="15"/>
        </w:numPr>
        <w:rPr>
          <w:noProof/>
        </w:rPr>
      </w:pPr>
      <w:r>
        <w:rPr>
          <w:noProof/>
        </w:rPr>
        <w:t>EU:n tiedonvaihtomekanismien käyttö.</w:t>
      </w:r>
    </w:p>
    <w:p w:rsidR="00D21405" w:rsidRDefault="001B0A47">
      <w:pPr>
        <w:pStyle w:val="Text1"/>
        <w:rPr>
          <w:i/>
          <w:noProof/>
        </w:rPr>
      </w:pPr>
      <w:r>
        <w:rPr>
          <w:i/>
          <w:noProof/>
        </w:rPr>
        <w:t>Tietojen lähde: Europol, EU-LISA, neuvosto, jäsenvalti</w:t>
      </w:r>
      <w:r>
        <w:rPr>
          <w:i/>
          <w:noProof/>
        </w:rPr>
        <w:t>ot</w:t>
      </w:r>
    </w:p>
    <w:p w:rsidR="00D21405" w:rsidRDefault="00D21405">
      <w:pPr>
        <w:rPr>
          <w:noProof/>
        </w:rPr>
      </w:pPr>
    </w:p>
    <w:p w:rsidR="00D21405" w:rsidRDefault="001B0A47">
      <w:pPr>
        <w:rPr>
          <w:b/>
          <w:noProof/>
        </w:rPr>
      </w:pPr>
      <w:r>
        <w:rPr>
          <w:b/>
          <w:noProof/>
        </w:rPr>
        <w:t xml:space="preserve">Erityistavoite 2: </w:t>
      </w:r>
      <w:r>
        <w:rPr>
          <w:noProof/>
        </w:rPr>
        <w:tab/>
      </w:r>
      <w:r>
        <w:rPr>
          <w:b/>
          <w:noProof/>
        </w:rPr>
        <w:t>Operatiivisen yhteistyön lisääminen</w:t>
      </w:r>
    </w:p>
    <w:p w:rsidR="00D21405" w:rsidRDefault="001B0A47">
      <w:pPr>
        <w:pStyle w:val="Point0number"/>
        <w:numPr>
          <w:ilvl w:val="0"/>
          <w:numId w:val="11"/>
        </w:numPr>
        <w:rPr>
          <w:noProof/>
        </w:rPr>
      </w:pPr>
      <w:r>
        <w:rPr>
          <w:noProof/>
        </w:rPr>
        <w:t>Rahastosta tuettujen yhteisten operatiivisten toimien määrä.</w:t>
      </w:r>
    </w:p>
    <w:p w:rsidR="00D21405" w:rsidRDefault="001B0A47">
      <w:pPr>
        <w:pStyle w:val="Text1"/>
        <w:rPr>
          <w:i/>
          <w:noProof/>
        </w:rPr>
      </w:pPr>
      <w:r>
        <w:rPr>
          <w:i/>
          <w:noProof/>
        </w:rPr>
        <w:t>Tietolähde: Europol, Eurojust, jäsenvaltiot</w:t>
      </w:r>
    </w:p>
    <w:p w:rsidR="00D21405" w:rsidRDefault="001B0A47">
      <w:pPr>
        <w:pStyle w:val="Point0number"/>
        <w:rPr>
          <w:noProof/>
        </w:rPr>
      </w:pPr>
      <w:r>
        <w:rPr>
          <w:noProof/>
        </w:rPr>
        <w:t xml:space="preserve">Rahaston avulla jäädytettyjen ja menetetyksi tuomittujen varojen arvioitu arvo. </w:t>
      </w:r>
    </w:p>
    <w:p w:rsidR="00D21405" w:rsidRDefault="001B0A47">
      <w:pPr>
        <w:pStyle w:val="Text1"/>
        <w:rPr>
          <w:i/>
          <w:noProof/>
        </w:rPr>
      </w:pPr>
      <w:r>
        <w:rPr>
          <w:i/>
          <w:noProof/>
        </w:rPr>
        <w:t>Tietolähde:</w:t>
      </w:r>
      <w:r>
        <w:rPr>
          <w:i/>
          <w:noProof/>
        </w:rPr>
        <w:t xml:space="preserve"> Jäsenvaltiot</w:t>
      </w:r>
    </w:p>
    <w:p w:rsidR="00D21405" w:rsidRDefault="001B0A47">
      <w:pPr>
        <w:pStyle w:val="Point0number"/>
        <w:rPr>
          <w:noProof/>
        </w:rPr>
      </w:pPr>
      <w:r>
        <w:rPr>
          <w:noProof/>
        </w:rPr>
        <w:t xml:space="preserve">Niiden laittomien huumausaineiden arvo, jotka on takavarikoitu lainvalvontaviranomaisten yli rajojen tekemän yhteistyön avulla. </w:t>
      </w:r>
    </w:p>
    <w:p w:rsidR="00D21405" w:rsidRDefault="001B0A47">
      <w:pPr>
        <w:pStyle w:val="Text1"/>
        <w:rPr>
          <w:i/>
          <w:noProof/>
        </w:rPr>
      </w:pPr>
      <w:r>
        <w:rPr>
          <w:i/>
          <w:noProof/>
        </w:rPr>
        <w:t>Tietolähde: Jäsenvaltiot, unionin toimiin liittyvien avustusten saajat</w:t>
      </w:r>
    </w:p>
    <w:p w:rsidR="00D21405" w:rsidRDefault="001B0A47">
      <w:pPr>
        <w:pStyle w:val="Point0number"/>
        <w:rPr>
          <w:noProof/>
        </w:rPr>
      </w:pPr>
      <w:r>
        <w:rPr>
          <w:noProof/>
        </w:rPr>
        <w:t xml:space="preserve">Niiden Schengen-arviointiin perustuvien suositusten määrä, joilla on taloudellisia vaikutuksia turvallisuuden alalla ja jotka on täytetty rahastosta saadun tuen avulla, verrattuna sellaisten suositusten kokonaismäärään, joilla on taloudellisia vaikutuksia </w:t>
      </w:r>
      <w:r>
        <w:rPr>
          <w:noProof/>
        </w:rPr>
        <w:t xml:space="preserve">turvallisuuden alalla. </w:t>
      </w:r>
    </w:p>
    <w:p w:rsidR="00D21405" w:rsidRDefault="001B0A47">
      <w:pPr>
        <w:pStyle w:val="Text1"/>
        <w:rPr>
          <w:i/>
          <w:noProof/>
        </w:rPr>
      </w:pPr>
      <w:r>
        <w:rPr>
          <w:i/>
          <w:noProof/>
        </w:rPr>
        <w:t>Tietolähde: Jäsenvaltiot</w:t>
      </w:r>
    </w:p>
    <w:p w:rsidR="00D21405" w:rsidRDefault="00D21405">
      <w:pPr>
        <w:rPr>
          <w:b/>
          <w:noProof/>
        </w:rPr>
      </w:pPr>
    </w:p>
    <w:p w:rsidR="00D21405" w:rsidRDefault="001B0A47">
      <w:pPr>
        <w:rPr>
          <w:b/>
          <w:noProof/>
        </w:rPr>
      </w:pPr>
      <w:r>
        <w:rPr>
          <w:b/>
          <w:noProof/>
        </w:rPr>
        <w:t xml:space="preserve">Erityistavoite 3: </w:t>
      </w:r>
      <w:r>
        <w:rPr>
          <w:noProof/>
        </w:rPr>
        <w:tab/>
      </w:r>
      <w:r>
        <w:rPr>
          <w:b/>
          <w:noProof/>
        </w:rPr>
        <w:t>Rikosten torjuntaa ja ehkäisemistä koskevien valmiuksien parantaminen</w:t>
      </w:r>
    </w:p>
    <w:p w:rsidR="00D21405" w:rsidRDefault="001B0A47">
      <w:pPr>
        <w:pStyle w:val="Point0number"/>
        <w:rPr>
          <w:noProof/>
        </w:rPr>
      </w:pPr>
      <w:r>
        <w:rPr>
          <w:noProof/>
        </w:rPr>
        <w:t xml:space="preserve">Niiden lainvalvontaviranomaisten henkilöstön jäsenten määrä, jotka ovat osallistuneet koulutukseen, harjoituksiin, </w:t>
      </w:r>
      <w:r>
        <w:rPr>
          <w:noProof/>
        </w:rPr>
        <w:t>keskinäiseen oppimiseen tai erityisiin vaihto-ohjelmiin, jotka koskevat valtioiden rajat ylittäviä aiheita ja jotka on toteutettu rahaston tuella.</w:t>
      </w:r>
    </w:p>
    <w:p w:rsidR="00D21405" w:rsidRDefault="001B0A47">
      <w:pPr>
        <w:pStyle w:val="Text1"/>
        <w:rPr>
          <w:i/>
          <w:noProof/>
        </w:rPr>
      </w:pPr>
      <w:r>
        <w:rPr>
          <w:i/>
          <w:noProof/>
        </w:rPr>
        <w:t>Tietolähde: Jäsenvaltiot</w:t>
      </w:r>
    </w:p>
    <w:p w:rsidR="00D21405" w:rsidRDefault="001B0A47">
      <w:pPr>
        <w:pStyle w:val="Point0number"/>
        <w:rPr>
          <w:noProof/>
        </w:rPr>
      </w:pPr>
      <w:r>
        <w:rPr>
          <w:noProof/>
        </w:rPr>
        <w:t>Niiden kriittisten infrastruktuurien ja julkisten tilojen määrä, joiden suojelua tur</w:t>
      </w:r>
      <w:r>
        <w:rPr>
          <w:noProof/>
        </w:rPr>
        <w:t>vallisuuteen liittyviltä vaaratilanteilta on parannettu rahaston avulla.</w:t>
      </w:r>
    </w:p>
    <w:p w:rsidR="00D21405" w:rsidRDefault="001B0A47">
      <w:pPr>
        <w:pStyle w:val="Text1"/>
        <w:rPr>
          <w:i/>
          <w:noProof/>
        </w:rPr>
      </w:pPr>
      <w:r>
        <w:rPr>
          <w:i/>
          <w:noProof/>
        </w:rPr>
        <w:t>Tietolähde: Jäsenvaltiot</w:t>
      </w:r>
    </w:p>
    <w:p w:rsidR="00D21405" w:rsidRDefault="001B0A47">
      <w:pPr>
        <w:pStyle w:val="Point0number"/>
        <w:rPr>
          <w:noProof/>
        </w:rPr>
      </w:pPr>
      <w:r>
        <w:rPr>
          <w:noProof/>
        </w:rPr>
        <w:t>Niiden aloitteiden määrä, joilla on ehkäisty väkivaltaisiin ääriliikkeisiin johtavaa radikalisoitumista.</w:t>
      </w:r>
    </w:p>
    <w:p w:rsidR="00D21405" w:rsidRDefault="001B0A47">
      <w:pPr>
        <w:pStyle w:val="Text1"/>
        <w:rPr>
          <w:i/>
          <w:noProof/>
        </w:rPr>
      </w:pPr>
      <w:r>
        <w:rPr>
          <w:i/>
          <w:noProof/>
        </w:rPr>
        <w:t>Tietojen lähde: Radikalisoitumisen torjunnan EU-verko</w:t>
      </w:r>
      <w:r>
        <w:rPr>
          <w:i/>
          <w:noProof/>
        </w:rPr>
        <w:t>sto (RAN).</w:t>
      </w:r>
    </w:p>
    <w:p w:rsidR="00D21405" w:rsidRDefault="001B0A47">
      <w:pPr>
        <w:spacing w:before="0" w:after="200" w:line="276" w:lineRule="auto"/>
        <w:jc w:val="left"/>
        <w:rPr>
          <w:noProof/>
          <w:u w:val="single"/>
        </w:rPr>
      </w:pPr>
      <w:r>
        <w:rPr>
          <w:noProof/>
        </w:rPr>
        <w:br w:type="page"/>
      </w:r>
    </w:p>
    <w:p w:rsidR="00D21405" w:rsidRDefault="00D21405">
      <w:pPr>
        <w:rPr>
          <w:noProof/>
          <w:u w:val="single"/>
        </w:rPr>
      </w:pPr>
    </w:p>
    <w:p w:rsidR="00D21405" w:rsidRDefault="001B0A47">
      <w:pPr>
        <w:pStyle w:val="Annexetitre"/>
        <w:rPr>
          <w:noProof/>
          <w:u w:val="none"/>
        </w:rPr>
      </w:pPr>
      <w:r>
        <w:rPr>
          <w:noProof/>
        </w:rPr>
        <w:t>LIITE VI</w:t>
      </w:r>
      <w:r>
        <w:rPr>
          <w:noProof/>
        </w:rPr>
        <w:br/>
      </w:r>
      <w:r>
        <w:rPr>
          <w:noProof/>
        </w:rPr>
        <w:br/>
      </w:r>
      <w:r>
        <w:rPr>
          <w:noProof/>
          <w:u w:val="none"/>
        </w:rPr>
        <w:t xml:space="preserve">Tukitoimityypit </w:t>
      </w:r>
    </w:p>
    <w:p w:rsidR="00D21405" w:rsidRDefault="001B0A47">
      <w:pPr>
        <w:shd w:val="clear" w:color="auto" w:fill="FFFFFF"/>
        <w:spacing w:before="240"/>
        <w:jc w:val="center"/>
        <w:rPr>
          <w:rFonts w:eastAsia="Times New Roman"/>
          <w:b/>
          <w:bCs/>
          <w:noProof/>
          <w:color w:val="000000"/>
          <w:szCs w:val="24"/>
        </w:rPr>
      </w:pPr>
      <w:r>
        <w:rPr>
          <w:b/>
          <w:noProof/>
          <w:color w:val="000000"/>
        </w:rPr>
        <w:t>TAULUKKO 1:   TUKITOIMIEN ALAKOODIT</w:t>
      </w:r>
    </w:p>
    <w:tbl>
      <w:tblPr>
        <w:tblStyle w:val="TableGrid"/>
        <w:tblW w:w="8508" w:type="dxa"/>
        <w:tblLook w:val="04A0" w:firstRow="1" w:lastRow="0" w:firstColumn="1" w:lastColumn="0" w:noHBand="0" w:noVBand="1"/>
      </w:tblPr>
      <w:tblGrid>
        <w:gridCol w:w="588"/>
        <w:gridCol w:w="7920"/>
      </w:tblGrid>
      <w:tr w:rsidR="00D21405">
        <w:tc>
          <w:tcPr>
            <w:tcW w:w="588" w:type="dxa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</w:t>
            </w:r>
          </w:p>
        </w:tc>
        <w:tc>
          <w:tcPr>
            <w:tcW w:w="7920" w:type="dxa"/>
            <w:vAlign w:val="center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TER-Terrorismin rahoituksen torjunta</w:t>
            </w:r>
          </w:p>
        </w:tc>
      </w:tr>
      <w:tr w:rsidR="00D21405">
        <w:tc>
          <w:tcPr>
            <w:tcW w:w="588" w:type="dxa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</w:t>
            </w:r>
          </w:p>
        </w:tc>
        <w:tc>
          <w:tcPr>
            <w:tcW w:w="7920" w:type="dxa"/>
            <w:vAlign w:val="center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TER-Radikalisoitumisen ehkäiseminen ja torjunta</w:t>
            </w:r>
          </w:p>
        </w:tc>
      </w:tr>
      <w:tr w:rsidR="00D21405">
        <w:tc>
          <w:tcPr>
            <w:tcW w:w="588" w:type="dxa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</w:t>
            </w:r>
          </w:p>
        </w:tc>
        <w:tc>
          <w:tcPr>
            <w:tcW w:w="7920" w:type="dxa"/>
            <w:vAlign w:val="center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TER-Julkisten tilojen ja muiden pehmeiden kohteiden suojelu ja selviytymiskyky</w:t>
            </w:r>
          </w:p>
        </w:tc>
      </w:tr>
      <w:tr w:rsidR="00D21405">
        <w:tc>
          <w:tcPr>
            <w:tcW w:w="588" w:type="dxa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</w:t>
            </w:r>
          </w:p>
        </w:tc>
        <w:tc>
          <w:tcPr>
            <w:tcW w:w="7920" w:type="dxa"/>
            <w:vAlign w:val="center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TER-Kriittisen infrastruktuurin suojelu ja selviytymiskyky</w:t>
            </w:r>
          </w:p>
        </w:tc>
      </w:tr>
      <w:tr w:rsidR="00D21405">
        <w:tc>
          <w:tcPr>
            <w:tcW w:w="588" w:type="dxa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5</w:t>
            </w:r>
          </w:p>
        </w:tc>
        <w:tc>
          <w:tcPr>
            <w:tcW w:w="7920" w:type="dxa"/>
            <w:vAlign w:val="center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TER-Kemialliset, biologiset, säteily- ja ydinuhkat</w:t>
            </w:r>
          </w:p>
        </w:tc>
      </w:tr>
      <w:tr w:rsidR="00D21405">
        <w:tc>
          <w:tcPr>
            <w:tcW w:w="588" w:type="dxa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</w:t>
            </w:r>
          </w:p>
        </w:tc>
        <w:tc>
          <w:tcPr>
            <w:tcW w:w="7920" w:type="dxa"/>
            <w:vAlign w:val="center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TER-Räjähteet </w:t>
            </w:r>
          </w:p>
        </w:tc>
      </w:tr>
      <w:tr w:rsidR="00D21405">
        <w:tc>
          <w:tcPr>
            <w:tcW w:w="588" w:type="dxa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7</w:t>
            </w:r>
          </w:p>
        </w:tc>
        <w:tc>
          <w:tcPr>
            <w:tcW w:w="7920" w:type="dxa"/>
            <w:vAlign w:val="center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TER-Kriisinhallinta</w:t>
            </w:r>
          </w:p>
        </w:tc>
      </w:tr>
      <w:tr w:rsidR="00D21405">
        <w:tc>
          <w:tcPr>
            <w:tcW w:w="588" w:type="dxa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</w:t>
            </w:r>
          </w:p>
        </w:tc>
        <w:tc>
          <w:tcPr>
            <w:tcW w:w="7920" w:type="dxa"/>
            <w:vAlign w:val="center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TER-Muu</w:t>
            </w:r>
          </w:p>
        </w:tc>
      </w:tr>
      <w:tr w:rsidR="00D21405">
        <w:tc>
          <w:tcPr>
            <w:tcW w:w="588" w:type="dxa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9</w:t>
            </w:r>
          </w:p>
        </w:tc>
        <w:tc>
          <w:tcPr>
            <w:tcW w:w="7920" w:type="dxa"/>
            <w:vAlign w:val="center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OC-Korruptio</w:t>
            </w:r>
          </w:p>
        </w:tc>
      </w:tr>
      <w:tr w:rsidR="00D21405">
        <w:tc>
          <w:tcPr>
            <w:tcW w:w="588" w:type="dxa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</w:t>
            </w:r>
          </w:p>
        </w:tc>
        <w:tc>
          <w:tcPr>
            <w:tcW w:w="7920" w:type="dxa"/>
            <w:vAlign w:val="center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OC-Talousrikollisuus </w:t>
            </w:r>
          </w:p>
        </w:tc>
      </w:tr>
      <w:tr w:rsidR="00D21405">
        <w:tc>
          <w:tcPr>
            <w:tcW w:w="588" w:type="dxa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11</w:t>
            </w:r>
          </w:p>
        </w:tc>
        <w:tc>
          <w:tcPr>
            <w:tcW w:w="7920" w:type="dxa"/>
            <w:vAlign w:val="center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OC-Huumausaineet</w:t>
            </w:r>
          </w:p>
        </w:tc>
      </w:tr>
      <w:tr w:rsidR="00D21405">
        <w:tc>
          <w:tcPr>
            <w:tcW w:w="588" w:type="dxa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12</w:t>
            </w:r>
          </w:p>
        </w:tc>
        <w:tc>
          <w:tcPr>
            <w:tcW w:w="7920" w:type="dxa"/>
            <w:vAlign w:val="center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OC-Ampuma-aseiden laiton</w:t>
            </w:r>
            <w:r>
              <w:rPr>
                <w:noProof/>
                <w:color w:val="000000"/>
              </w:rPr>
              <w:t xml:space="preserve"> kauppa</w:t>
            </w:r>
          </w:p>
        </w:tc>
      </w:tr>
      <w:tr w:rsidR="00D21405">
        <w:tc>
          <w:tcPr>
            <w:tcW w:w="588" w:type="dxa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13</w:t>
            </w:r>
          </w:p>
        </w:tc>
        <w:tc>
          <w:tcPr>
            <w:tcW w:w="7920" w:type="dxa"/>
            <w:vAlign w:val="center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OC-Ihmiskauppa</w:t>
            </w:r>
          </w:p>
        </w:tc>
      </w:tr>
      <w:tr w:rsidR="00D21405">
        <w:tc>
          <w:tcPr>
            <w:tcW w:w="588" w:type="dxa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14</w:t>
            </w:r>
          </w:p>
        </w:tc>
        <w:tc>
          <w:tcPr>
            <w:tcW w:w="7920" w:type="dxa"/>
            <w:vAlign w:val="center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OC-Siirtolaisten salakuljetus</w:t>
            </w:r>
          </w:p>
        </w:tc>
      </w:tr>
      <w:tr w:rsidR="00D21405">
        <w:tc>
          <w:tcPr>
            <w:tcW w:w="588" w:type="dxa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15</w:t>
            </w:r>
          </w:p>
        </w:tc>
        <w:tc>
          <w:tcPr>
            <w:tcW w:w="7920" w:type="dxa"/>
            <w:vAlign w:val="center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OC-Ympäristörikollisuus</w:t>
            </w:r>
          </w:p>
        </w:tc>
      </w:tr>
      <w:tr w:rsidR="00D21405">
        <w:tc>
          <w:tcPr>
            <w:tcW w:w="588" w:type="dxa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16</w:t>
            </w:r>
          </w:p>
        </w:tc>
        <w:tc>
          <w:tcPr>
            <w:tcW w:w="7920" w:type="dxa"/>
            <w:vAlign w:val="center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OC-Järjestäytynyt omaisuusrikollisuus</w:t>
            </w:r>
          </w:p>
        </w:tc>
      </w:tr>
      <w:tr w:rsidR="00D21405">
        <w:tc>
          <w:tcPr>
            <w:tcW w:w="588" w:type="dxa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17</w:t>
            </w:r>
          </w:p>
        </w:tc>
        <w:tc>
          <w:tcPr>
            <w:tcW w:w="7920" w:type="dxa"/>
            <w:vAlign w:val="center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OC-Muu</w:t>
            </w:r>
          </w:p>
        </w:tc>
      </w:tr>
      <w:tr w:rsidR="00D21405">
        <w:tc>
          <w:tcPr>
            <w:tcW w:w="588" w:type="dxa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18</w:t>
            </w:r>
          </w:p>
        </w:tc>
        <w:tc>
          <w:tcPr>
            <w:tcW w:w="7920" w:type="dxa"/>
            <w:vAlign w:val="center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CC-Kyberrikollisuus - Muu</w:t>
            </w:r>
          </w:p>
        </w:tc>
      </w:tr>
      <w:tr w:rsidR="00D21405">
        <w:tc>
          <w:tcPr>
            <w:tcW w:w="588" w:type="dxa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19</w:t>
            </w:r>
          </w:p>
        </w:tc>
        <w:tc>
          <w:tcPr>
            <w:tcW w:w="7920" w:type="dxa"/>
            <w:vAlign w:val="center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CC-Kyberrikollisuus - Ehkäiseminen</w:t>
            </w:r>
          </w:p>
        </w:tc>
      </w:tr>
      <w:tr w:rsidR="00D21405">
        <w:tc>
          <w:tcPr>
            <w:tcW w:w="588" w:type="dxa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20</w:t>
            </w:r>
          </w:p>
        </w:tc>
        <w:tc>
          <w:tcPr>
            <w:tcW w:w="7920" w:type="dxa"/>
            <w:vAlign w:val="center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CC-Kyberrikollisuus - Tutkimusten </w:t>
            </w:r>
            <w:r>
              <w:rPr>
                <w:noProof/>
                <w:color w:val="000000"/>
              </w:rPr>
              <w:t>helpottaminen</w:t>
            </w:r>
          </w:p>
        </w:tc>
      </w:tr>
      <w:tr w:rsidR="00D21405">
        <w:tc>
          <w:tcPr>
            <w:tcW w:w="588" w:type="dxa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21</w:t>
            </w:r>
          </w:p>
        </w:tc>
        <w:tc>
          <w:tcPr>
            <w:tcW w:w="7920" w:type="dxa"/>
            <w:vAlign w:val="center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CC-Kyberrikollisuus - Uhrien avustaminen</w:t>
            </w:r>
          </w:p>
        </w:tc>
      </w:tr>
      <w:tr w:rsidR="00D21405">
        <w:tc>
          <w:tcPr>
            <w:tcW w:w="588" w:type="dxa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22</w:t>
            </w:r>
          </w:p>
        </w:tc>
        <w:tc>
          <w:tcPr>
            <w:tcW w:w="7920" w:type="dxa"/>
            <w:vAlign w:val="center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CC-Lasten seksuaalinen hyväksikäyttö - Ehkäiseminen</w:t>
            </w:r>
          </w:p>
        </w:tc>
      </w:tr>
      <w:tr w:rsidR="00D21405">
        <w:tc>
          <w:tcPr>
            <w:tcW w:w="588" w:type="dxa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23</w:t>
            </w:r>
          </w:p>
        </w:tc>
        <w:tc>
          <w:tcPr>
            <w:tcW w:w="7920" w:type="dxa"/>
            <w:vAlign w:val="center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CC-Lasten seksuaalinen hyväksikäyttö - Tutkimusten helpottaminen</w:t>
            </w:r>
          </w:p>
        </w:tc>
      </w:tr>
      <w:tr w:rsidR="00D21405">
        <w:tc>
          <w:tcPr>
            <w:tcW w:w="588" w:type="dxa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24</w:t>
            </w:r>
          </w:p>
        </w:tc>
        <w:tc>
          <w:tcPr>
            <w:tcW w:w="7920" w:type="dxa"/>
            <w:vAlign w:val="center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CC-Lasten seksuaalinen hyväksikäyttö - Uhrien avustaminen</w:t>
            </w:r>
          </w:p>
        </w:tc>
      </w:tr>
      <w:tr w:rsidR="00D21405">
        <w:tc>
          <w:tcPr>
            <w:tcW w:w="588" w:type="dxa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25</w:t>
            </w:r>
          </w:p>
        </w:tc>
        <w:tc>
          <w:tcPr>
            <w:tcW w:w="7920" w:type="dxa"/>
            <w:vAlign w:val="center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CC-Lasten seksuaalinen hyväksikäyttö - Muu</w:t>
            </w:r>
          </w:p>
        </w:tc>
      </w:tr>
      <w:tr w:rsidR="00D21405">
        <w:tc>
          <w:tcPr>
            <w:tcW w:w="588" w:type="dxa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26</w:t>
            </w:r>
          </w:p>
        </w:tc>
        <w:tc>
          <w:tcPr>
            <w:tcW w:w="7920" w:type="dxa"/>
            <w:vAlign w:val="center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CC-Muu</w:t>
            </w:r>
          </w:p>
        </w:tc>
      </w:tr>
      <w:tr w:rsidR="00D21405">
        <w:tc>
          <w:tcPr>
            <w:tcW w:w="588" w:type="dxa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27</w:t>
            </w:r>
          </w:p>
        </w:tc>
        <w:tc>
          <w:tcPr>
            <w:tcW w:w="7920" w:type="dxa"/>
            <w:vAlign w:val="center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GEN-Tiedonvaihto</w:t>
            </w:r>
          </w:p>
        </w:tc>
      </w:tr>
      <w:tr w:rsidR="00D21405">
        <w:tc>
          <w:tcPr>
            <w:tcW w:w="588" w:type="dxa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28</w:t>
            </w:r>
          </w:p>
        </w:tc>
        <w:tc>
          <w:tcPr>
            <w:tcW w:w="7920" w:type="dxa"/>
            <w:vAlign w:val="center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GEN-Poliisivoimien tai virastojen yhteistyö (tulli, rajavartiostot, tiedustelupalvelut) </w:t>
            </w:r>
          </w:p>
        </w:tc>
      </w:tr>
      <w:tr w:rsidR="00D21405">
        <w:tc>
          <w:tcPr>
            <w:tcW w:w="588" w:type="dxa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29</w:t>
            </w:r>
          </w:p>
        </w:tc>
        <w:tc>
          <w:tcPr>
            <w:tcW w:w="7920" w:type="dxa"/>
            <w:vAlign w:val="center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GEN-Forensinen tiede</w:t>
            </w:r>
          </w:p>
        </w:tc>
      </w:tr>
      <w:tr w:rsidR="00D21405">
        <w:tc>
          <w:tcPr>
            <w:tcW w:w="588" w:type="dxa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30</w:t>
            </w:r>
          </w:p>
        </w:tc>
        <w:tc>
          <w:tcPr>
            <w:tcW w:w="7920" w:type="dxa"/>
            <w:vAlign w:val="center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GEN-Uhrien tukeminen</w:t>
            </w:r>
          </w:p>
        </w:tc>
      </w:tr>
      <w:tr w:rsidR="00D21405">
        <w:tc>
          <w:tcPr>
            <w:tcW w:w="588" w:type="dxa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31</w:t>
            </w:r>
          </w:p>
        </w:tc>
        <w:tc>
          <w:tcPr>
            <w:tcW w:w="7920" w:type="dxa"/>
            <w:vAlign w:val="center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GEN-Operatiivinen tuki</w:t>
            </w:r>
          </w:p>
        </w:tc>
      </w:tr>
      <w:tr w:rsidR="00D21405">
        <w:tc>
          <w:tcPr>
            <w:tcW w:w="588" w:type="dxa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32</w:t>
            </w:r>
          </w:p>
        </w:tc>
        <w:tc>
          <w:tcPr>
            <w:tcW w:w="7920" w:type="dxa"/>
            <w:vAlign w:val="center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TA-Tekninen tuki - </w:t>
            </w:r>
            <w:r>
              <w:rPr>
                <w:noProof/>
                <w:sz w:val="20"/>
              </w:rPr>
              <w:t>tiedotus ja viestintä</w:t>
            </w:r>
          </w:p>
        </w:tc>
      </w:tr>
      <w:tr w:rsidR="00D21405">
        <w:tc>
          <w:tcPr>
            <w:tcW w:w="588" w:type="dxa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33</w:t>
            </w:r>
          </w:p>
        </w:tc>
        <w:tc>
          <w:tcPr>
            <w:tcW w:w="7920" w:type="dxa"/>
            <w:vAlign w:val="center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TA-Tekninen tuki - </w:t>
            </w:r>
            <w:r>
              <w:rPr>
                <w:noProof/>
                <w:sz w:val="20"/>
              </w:rPr>
              <w:t>valmistelu, toteutus, seuranta ja valvonta</w:t>
            </w:r>
          </w:p>
        </w:tc>
      </w:tr>
      <w:tr w:rsidR="00D21405">
        <w:tc>
          <w:tcPr>
            <w:tcW w:w="588" w:type="dxa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34</w:t>
            </w:r>
          </w:p>
        </w:tc>
        <w:tc>
          <w:tcPr>
            <w:tcW w:w="7920" w:type="dxa"/>
            <w:vAlign w:val="center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TA-Tekninen tuki - </w:t>
            </w:r>
            <w:r>
              <w:rPr>
                <w:noProof/>
                <w:sz w:val="20"/>
              </w:rPr>
              <w:t>arviointi ja selvitykset, tiedonkeruu</w:t>
            </w:r>
          </w:p>
        </w:tc>
      </w:tr>
      <w:tr w:rsidR="00D21405">
        <w:tc>
          <w:tcPr>
            <w:tcW w:w="588" w:type="dxa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35</w:t>
            </w:r>
          </w:p>
        </w:tc>
        <w:tc>
          <w:tcPr>
            <w:tcW w:w="7920" w:type="dxa"/>
            <w:vAlign w:val="center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TA-Tekninen tuki - </w:t>
            </w:r>
            <w:r>
              <w:rPr>
                <w:noProof/>
                <w:sz w:val="20"/>
              </w:rPr>
              <w:t>valmiuksien kehittäminen</w:t>
            </w:r>
          </w:p>
        </w:tc>
      </w:tr>
    </w:tbl>
    <w:p w:rsidR="00D21405" w:rsidRDefault="001B0A47">
      <w:pPr>
        <w:shd w:val="clear" w:color="auto" w:fill="FFFFFF"/>
        <w:spacing w:before="240"/>
        <w:jc w:val="center"/>
        <w:rPr>
          <w:rFonts w:eastAsia="Times New Roman"/>
          <w:b/>
          <w:bCs/>
          <w:noProof/>
          <w:color w:val="000000"/>
          <w:szCs w:val="24"/>
        </w:rPr>
      </w:pPr>
      <w:r>
        <w:rPr>
          <w:b/>
          <w:noProof/>
          <w:color w:val="000000"/>
        </w:rPr>
        <w:t>TAULUKKO 2:   TOIMITYYPPIEN KOODIT</w:t>
      </w:r>
    </w:p>
    <w:tbl>
      <w:tblPr>
        <w:tblStyle w:val="TableGrid"/>
        <w:tblW w:w="8508" w:type="dxa"/>
        <w:tblLook w:val="04A0" w:firstRow="1" w:lastRow="0" w:firstColumn="1" w:lastColumn="0" w:noHBand="0" w:noVBand="1"/>
      </w:tblPr>
      <w:tblGrid>
        <w:gridCol w:w="696"/>
        <w:gridCol w:w="7812"/>
      </w:tblGrid>
      <w:tr w:rsidR="00D21405">
        <w:tc>
          <w:tcPr>
            <w:tcW w:w="696" w:type="dxa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</w:t>
            </w:r>
          </w:p>
        </w:tc>
        <w:tc>
          <w:tcPr>
            <w:tcW w:w="7812" w:type="dxa"/>
            <w:vAlign w:val="center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Ti</w:t>
            </w:r>
            <w:r>
              <w:rPr>
                <w:noProof/>
                <w:color w:val="000000"/>
              </w:rPr>
              <w:t>etojärjestelmät, yhteentoimivuus, tietojen laatu, viestintäjärjestelmät (laitteet pois lukien)</w:t>
            </w:r>
          </w:p>
        </w:tc>
      </w:tr>
      <w:tr w:rsidR="00D21405">
        <w:tc>
          <w:tcPr>
            <w:tcW w:w="696" w:type="dxa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</w:t>
            </w:r>
          </w:p>
        </w:tc>
        <w:tc>
          <w:tcPr>
            <w:tcW w:w="7812" w:type="dxa"/>
            <w:vAlign w:val="center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Verkostot, osaamiskeskukset, yhteistyörakenteet, yhteiset toimet ja operaatiot</w:t>
            </w:r>
          </w:p>
        </w:tc>
      </w:tr>
      <w:tr w:rsidR="00D21405">
        <w:tc>
          <w:tcPr>
            <w:tcW w:w="696" w:type="dxa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</w:t>
            </w:r>
          </w:p>
        </w:tc>
        <w:tc>
          <w:tcPr>
            <w:tcW w:w="7812" w:type="dxa"/>
            <w:vAlign w:val="center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Yhteiset tutkintaryhmät tai muut yhteiset operaatiot</w:t>
            </w:r>
          </w:p>
        </w:tc>
      </w:tr>
      <w:tr w:rsidR="00D21405">
        <w:tc>
          <w:tcPr>
            <w:tcW w:w="696" w:type="dxa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</w:t>
            </w:r>
          </w:p>
        </w:tc>
        <w:tc>
          <w:tcPr>
            <w:tcW w:w="7812" w:type="dxa"/>
            <w:vAlign w:val="center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Asiantuntijoiden </w:t>
            </w:r>
            <w:r>
              <w:rPr>
                <w:noProof/>
                <w:color w:val="000000"/>
              </w:rPr>
              <w:t>lähettäminen</w:t>
            </w:r>
          </w:p>
        </w:tc>
      </w:tr>
      <w:tr w:rsidR="00D21405">
        <w:tc>
          <w:tcPr>
            <w:tcW w:w="696" w:type="dxa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5</w:t>
            </w:r>
          </w:p>
        </w:tc>
        <w:tc>
          <w:tcPr>
            <w:tcW w:w="7812" w:type="dxa"/>
            <w:vAlign w:val="center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Koulutus</w:t>
            </w:r>
          </w:p>
        </w:tc>
      </w:tr>
      <w:tr w:rsidR="00D21405">
        <w:tc>
          <w:tcPr>
            <w:tcW w:w="696" w:type="dxa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</w:t>
            </w:r>
          </w:p>
        </w:tc>
        <w:tc>
          <w:tcPr>
            <w:tcW w:w="7812" w:type="dxa"/>
            <w:vAlign w:val="center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Parhaiden käytäntöjen vaihto, työpajat, konferenssit, tapahtumat, tiedotuskampanjat, viestintätoimet</w:t>
            </w:r>
          </w:p>
        </w:tc>
      </w:tr>
      <w:tr w:rsidR="00D21405">
        <w:tc>
          <w:tcPr>
            <w:tcW w:w="696" w:type="dxa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7</w:t>
            </w:r>
          </w:p>
        </w:tc>
        <w:tc>
          <w:tcPr>
            <w:tcW w:w="7812" w:type="dxa"/>
            <w:vAlign w:val="center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Tutkimukset, pilottihankkeet, riskienarviointi</w:t>
            </w:r>
          </w:p>
        </w:tc>
      </w:tr>
      <w:tr w:rsidR="00D21405">
        <w:tc>
          <w:tcPr>
            <w:tcW w:w="696" w:type="dxa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</w:t>
            </w:r>
          </w:p>
        </w:tc>
        <w:tc>
          <w:tcPr>
            <w:tcW w:w="7812" w:type="dxa"/>
            <w:vAlign w:val="center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Laitteet (sisältyy 15 prosentin enimmäismäärän laskentaan)</w:t>
            </w:r>
          </w:p>
        </w:tc>
      </w:tr>
      <w:tr w:rsidR="00D21405">
        <w:tc>
          <w:tcPr>
            <w:tcW w:w="696" w:type="dxa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9</w:t>
            </w:r>
          </w:p>
        </w:tc>
        <w:tc>
          <w:tcPr>
            <w:tcW w:w="7812" w:type="dxa"/>
            <w:vAlign w:val="center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Kulkuneuvot </w:t>
            </w:r>
            <w:r>
              <w:rPr>
                <w:noProof/>
                <w:color w:val="000000"/>
              </w:rPr>
              <w:t>(sisältyy 15 prosentin enimmäismäärän laskentaan)</w:t>
            </w:r>
          </w:p>
        </w:tc>
      </w:tr>
      <w:tr w:rsidR="00D21405">
        <w:tc>
          <w:tcPr>
            <w:tcW w:w="696" w:type="dxa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</w:t>
            </w:r>
          </w:p>
        </w:tc>
        <w:tc>
          <w:tcPr>
            <w:tcW w:w="7812" w:type="dxa"/>
            <w:vAlign w:val="center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Rakennukset, laitteet (sisältyy 15 prosentin enimmäismäärän laskentaan)</w:t>
            </w:r>
          </w:p>
        </w:tc>
      </w:tr>
      <w:tr w:rsidR="00D21405">
        <w:tc>
          <w:tcPr>
            <w:tcW w:w="696" w:type="dxa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11</w:t>
            </w:r>
          </w:p>
        </w:tc>
        <w:tc>
          <w:tcPr>
            <w:tcW w:w="7812" w:type="dxa"/>
            <w:vAlign w:val="center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Tutkimushankkeiden käyttöönotto tai muu seuranta</w:t>
            </w:r>
          </w:p>
        </w:tc>
      </w:tr>
    </w:tbl>
    <w:p w:rsidR="00D21405" w:rsidRDefault="001B0A47">
      <w:pPr>
        <w:shd w:val="clear" w:color="auto" w:fill="FFFFFF"/>
        <w:spacing w:before="240"/>
        <w:jc w:val="center"/>
        <w:rPr>
          <w:rFonts w:eastAsia="Times New Roman"/>
          <w:b/>
          <w:bCs/>
          <w:noProof/>
          <w:color w:val="000000"/>
          <w:szCs w:val="24"/>
        </w:rPr>
      </w:pPr>
      <w:r>
        <w:rPr>
          <w:b/>
          <w:noProof/>
          <w:color w:val="000000"/>
        </w:rPr>
        <w:t>TAULUKKO 3:   TOTEUTUSTAPOJEN KOODIT</w:t>
      </w:r>
    </w:p>
    <w:tbl>
      <w:tblPr>
        <w:tblStyle w:val="TableGrid"/>
        <w:tblW w:w="8508" w:type="dxa"/>
        <w:tblLook w:val="04A0" w:firstRow="1" w:lastRow="0" w:firstColumn="1" w:lastColumn="0" w:noHBand="0" w:noVBand="1"/>
      </w:tblPr>
      <w:tblGrid>
        <w:gridCol w:w="696"/>
        <w:gridCol w:w="7812"/>
      </w:tblGrid>
      <w:tr w:rsidR="00D21405">
        <w:tc>
          <w:tcPr>
            <w:tcW w:w="696" w:type="dxa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</w:t>
            </w:r>
          </w:p>
        </w:tc>
        <w:tc>
          <w:tcPr>
            <w:tcW w:w="7812" w:type="dxa"/>
            <w:vAlign w:val="center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Yhteistyö kolmansien maiden kanssa</w:t>
            </w:r>
          </w:p>
        </w:tc>
      </w:tr>
      <w:tr w:rsidR="00D21405">
        <w:tc>
          <w:tcPr>
            <w:tcW w:w="696" w:type="dxa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</w:t>
            </w:r>
          </w:p>
        </w:tc>
        <w:tc>
          <w:tcPr>
            <w:tcW w:w="7812" w:type="dxa"/>
            <w:vAlign w:val="center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Kolmansissa maissa toteutettavat toimet</w:t>
            </w:r>
          </w:p>
        </w:tc>
      </w:tr>
      <w:tr w:rsidR="00D21405">
        <w:tc>
          <w:tcPr>
            <w:tcW w:w="696" w:type="dxa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</w:t>
            </w:r>
          </w:p>
        </w:tc>
        <w:tc>
          <w:tcPr>
            <w:tcW w:w="7812" w:type="dxa"/>
            <w:vAlign w:val="center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Schengen-arviointeihin perustuvien suositusten toteuttaminen poliisiyhteistyön alalla</w:t>
            </w:r>
          </w:p>
        </w:tc>
      </w:tr>
      <w:tr w:rsidR="00D21405">
        <w:tc>
          <w:tcPr>
            <w:tcW w:w="696" w:type="dxa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</w:t>
            </w:r>
          </w:p>
        </w:tc>
        <w:tc>
          <w:tcPr>
            <w:tcW w:w="7812" w:type="dxa"/>
            <w:vAlign w:val="center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Erityistoimet (ei tiedossa ohjelmasuunnittelun vaiheessa)</w:t>
            </w:r>
          </w:p>
        </w:tc>
      </w:tr>
      <w:tr w:rsidR="00D21405">
        <w:tc>
          <w:tcPr>
            <w:tcW w:w="696" w:type="dxa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5</w:t>
            </w:r>
          </w:p>
        </w:tc>
        <w:tc>
          <w:tcPr>
            <w:tcW w:w="7812" w:type="dxa"/>
            <w:vAlign w:val="center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Hätäapu (ei tiedossa ohjelmasuunnittelun vaiheessa)</w:t>
            </w:r>
          </w:p>
        </w:tc>
      </w:tr>
      <w:tr w:rsidR="00D21405">
        <w:tc>
          <w:tcPr>
            <w:tcW w:w="696" w:type="dxa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</w:t>
            </w:r>
          </w:p>
        </w:tc>
        <w:tc>
          <w:tcPr>
            <w:tcW w:w="7812" w:type="dxa"/>
            <w:vAlign w:val="center"/>
          </w:tcPr>
          <w:p w:rsidR="00D21405" w:rsidRDefault="001B0A47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Liitteessä IV luetellut toimet</w:t>
            </w:r>
          </w:p>
        </w:tc>
      </w:tr>
    </w:tbl>
    <w:p w:rsidR="00D21405" w:rsidRDefault="001B0A47">
      <w:pPr>
        <w:rPr>
          <w:noProof/>
          <w:u w:val="single"/>
        </w:rPr>
      </w:pPr>
      <w:r>
        <w:rPr>
          <w:noProof/>
        </w:rPr>
        <w:br w:type="page"/>
      </w:r>
    </w:p>
    <w:p w:rsidR="00D21405" w:rsidRDefault="001B0A47">
      <w:pPr>
        <w:pStyle w:val="Annexetitre"/>
        <w:rPr>
          <w:noProof/>
          <w:u w:val="none"/>
        </w:rPr>
      </w:pPr>
      <w:r>
        <w:rPr>
          <w:noProof/>
        </w:rPr>
        <w:t>LIITE VII</w:t>
      </w:r>
      <w:r>
        <w:rPr>
          <w:noProof/>
        </w:rPr>
        <w:br/>
      </w:r>
      <w:r>
        <w:rPr>
          <w:noProof/>
        </w:rPr>
        <w:br/>
      </w:r>
      <w:r>
        <w:rPr>
          <w:noProof/>
          <w:u w:val="none"/>
        </w:rPr>
        <w:t>Operatiiviseen tukeen oikeutetut toimet</w:t>
      </w:r>
    </w:p>
    <w:p w:rsidR="00D21405" w:rsidRDefault="00D21405">
      <w:pPr>
        <w:rPr>
          <w:noProof/>
        </w:rPr>
      </w:pPr>
    </w:p>
    <w:p w:rsidR="00D21405" w:rsidRDefault="001B0A47">
      <w:pPr>
        <w:rPr>
          <w:noProof/>
        </w:rPr>
      </w:pPr>
      <w:r>
        <w:rPr>
          <w:i/>
          <w:noProof/>
        </w:rPr>
        <w:t>Tiedonvaihdon parantamista</w:t>
      </w:r>
      <w:r>
        <w:rPr>
          <w:noProof/>
        </w:rPr>
        <w:t xml:space="preserve"> koskevan erityistavoitteen yhteydessä ohjelmista annettava operatiivinen tuki voi kattaa seuraavat:</w:t>
      </w:r>
    </w:p>
    <w:p w:rsidR="00D21405" w:rsidRDefault="001B0A47">
      <w:pPr>
        <w:pStyle w:val="Bullet0"/>
        <w:rPr>
          <w:noProof/>
        </w:rPr>
      </w:pPr>
      <w:r>
        <w:rPr>
          <w:noProof/>
        </w:rPr>
        <w:t xml:space="preserve">huolto- ja tukipalvelut sellaisia unionin ja tarvittaessa kansallisia tietojärjestelmiä varten, jotka edistävät tämän asetuksen tavoitteiden saavuttamista. </w:t>
      </w:r>
    </w:p>
    <w:p w:rsidR="00D21405" w:rsidRDefault="001B0A47">
      <w:pPr>
        <w:pStyle w:val="Bullet0"/>
        <w:rPr>
          <w:b/>
          <w:noProof/>
        </w:rPr>
      </w:pPr>
      <w:r>
        <w:rPr>
          <w:noProof/>
        </w:rPr>
        <w:t>henkilöstökulut, jotka edistävät tämän asetuksen tavoitteiden saavuttamista.</w:t>
      </w:r>
    </w:p>
    <w:p w:rsidR="00D21405" w:rsidRDefault="001B0A47">
      <w:pPr>
        <w:rPr>
          <w:noProof/>
        </w:rPr>
      </w:pPr>
      <w:r>
        <w:rPr>
          <w:i/>
          <w:noProof/>
        </w:rPr>
        <w:t>Operatiivisen yhteisty</w:t>
      </w:r>
      <w:r>
        <w:rPr>
          <w:i/>
          <w:noProof/>
        </w:rPr>
        <w:t>ön lisäämistä</w:t>
      </w:r>
      <w:r>
        <w:rPr>
          <w:noProof/>
        </w:rPr>
        <w:t xml:space="preserve"> koskevan erityistavoitteen yhteydessä kansallisista ohjelmista annettava operatiivinen tuki voi kattaa seuraavat:</w:t>
      </w:r>
    </w:p>
    <w:p w:rsidR="00D21405" w:rsidRDefault="001B0A47">
      <w:pPr>
        <w:pStyle w:val="Bullet0"/>
        <w:rPr>
          <w:noProof/>
        </w:rPr>
      </w:pPr>
      <w:r>
        <w:rPr>
          <w:noProof/>
        </w:rPr>
        <w:t>huoltopalvelut sellaisia teknisiä laitteita tai kulkuneuvoja varten, joita käytetään valtioiden rajat ylittävän vakavan ja järje</w:t>
      </w:r>
      <w:r>
        <w:rPr>
          <w:noProof/>
        </w:rPr>
        <w:t xml:space="preserve">stäytyneen rikollisuuden ehkäisemisen, paljastamisen ja tutkinnan alalla. </w:t>
      </w:r>
    </w:p>
    <w:p w:rsidR="00D21405" w:rsidRDefault="001B0A47">
      <w:pPr>
        <w:pStyle w:val="Bullet0"/>
        <w:rPr>
          <w:noProof/>
        </w:rPr>
      </w:pPr>
      <w:r>
        <w:rPr>
          <w:noProof/>
        </w:rPr>
        <w:t>henkilöstökulut, jotka edistävät tämän asetuksen tavoitteiden saavuttamista.</w:t>
      </w:r>
    </w:p>
    <w:p w:rsidR="00D21405" w:rsidRDefault="001B0A47">
      <w:pPr>
        <w:rPr>
          <w:noProof/>
        </w:rPr>
      </w:pPr>
      <w:r>
        <w:rPr>
          <w:i/>
          <w:noProof/>
        </w:rPr>
        <w:t>Rikosten torjuntaa ja ehkäisemistä koskevien valmiuksien parantamista</w:t>
      </w:r>
      <w:r>
        <w:rPr>
          <w:noProof/>
        </w:rPr>
        <w:t xml:space="preserve"> koskevan erityistavoitteen yhteyde</w:t>
      </w:r>
      <w:r>
        <w:rPr>
          <w:noProof/>
        </w:rPr>
        <w:t>ssä kansallisista ohjelmista annettava operatiivinen tuki voi kattaa seuraavat:</w:t>
      </w:r>
    </w:p>
    <w:p w:rsidR="00D21405" w:rsidRDefault="001B0A47">
      <w:pPr>
        <w:pStyle w:val="Bullet0"/>
        <w:rPr>
          <w:noProof/>
        </w:rPr>
      </w:pPr>
      <w:r>
        <w:rPr>
          <w:noProof/>
        </w:rPr>
        <w:t>huoltopalvelut sellaisia teknisiä laitteita tai kulkuneuvoja varten, joita käytetään valtioiden rajat ylittävän vakavan ja järjestäytyneen rikollisuuden ehkäisemisen, paljastam</w:t>
      </w:r>
      <w:r>
        <w:rPr>
          <w:noProof/>
        </w:rPr>
        <w:t>isen ja tutkinnan alalla.</w:t>
      </w:r>
    </w:p>
    <w:p w:rsidR="00D21405" w:rsidRDefault="001B0A47">
      <w:pPr>
        <w:pStyle w:val="Bullet0"/>
        <w:rPr>
          <w:noProof/>
        </w:rPr>
      </w:pPr>
      <w:r>
        <w:rPr>
          <w:noProof/>
        </w:rPr>
        <w:t>henkilöstökulut, jotka edistävät tämän asetuksen tavoitteiden saavuttamista.</w:t>
      </w:r>
    </w:p>
    <w:p w:rsidR="00D21405" w:rsidRDefault="001B0A47">
      <w:pPr>
        <w:rPr>
          <w:noProof/>
        </w:rPr>
      </w:pPr>
      <w:r>
        <w:rPr>
          <w:noProof/>
        </w:rPr>
        <w:t>Rahoitusta ei myönnetä toimiin, jotka eivät ole tukikelpoisia 4 artiklan 3 kohdan nojalla.</w:t>
      </w:r>
    </w:p>
    <w:p w:rsidR="00D21405" w:rsidRDefault="001B0A47">
      <w:pPr>
        <w:rPr>
          <w:noProof/>
        </w:rPr>
      </w:pPr>
      <w:r>
        <w:rPr>
          <w:noProof/>
        </w:rPr>
        <w:br w:type="page"/>
      </w:r>
    </w:p>
    <w:p w:rsidR="00D21405" w:rsidRDefault="001B0A47">
      <w:pPr>
        <w:pStyle w:val="Annexetitre"/>
        <w:rPr>
          <w:noProof/>
        </w:rPr>
      </w:pPr>
      <w:r>
        <w:rPr>
          <w:noProof/>
        </w:rPr>
        <w:t>LIITE VIII</w:t>
      </w:r>
      <w:r>
        <w:rPr>
          <w:noProof/>
          <w:u w:val="none"/>
        </w:rPr>
        <w:br/>
      </w:r>
      <w:r>
        <w:rPr>
          <w:noProof/>
          <w:u w:val="none"/>
        </w:rPr>
        <w:br/>
        <w:t xml:space="preserve">Asetuksen 24 artiklan 3 kohdassa tarkoitetut </w:t>
      </w:r>
      <w:r>
        <w:rPr>
          <w:noProof/>
          <w:u w:val="none"/>
        </w:rPr>
        <w:t>keskeiset tuotos- ja tulosindikaattorit</w:t>
      </w:r>
    </w:p>
    <w:p w:rsidR="00D21405" w:rsidRDefault="00D21405">
      <w:pPr>
        <w:rPr>
          <w:b/>
          <w:noProof/>
        </w:rPr>
      </w:pPr>
    </w:p>
    <w:p w:rsidR="00D21405" w:rsidRDefault="001B0A47">
      <w:pPr>
        <w:rPr>
          <w:b/>
          <w:noProof/>
        </w:rPr>
      </w:pPr>
      <w:r>
        <w:rPr>
          <w:b/>
          <w:noProof/>
        </w:rPr>
        <w:t xml:space="preserve">Erityistavoite 1: </w:t>
      </w:r>
      <w:r>
        <w:rPr>
          <w:noProof/>
        </w:rPr>
        <w:tab/>
      </w:r>
      <w:r>
        <w:rPr>
          <w:b/>
          <w:noProof/>
        </w:rPr>
        <w:t>Tiedonvaihdon parantaminen</w:t>
      </w:r>
    </w:p>
    <w:p w:rsidR="00D21405" w:rsidRDefault="001B0A47">
      <w:pPr>
        <w:pStyle w:val="Point0number"/>
        <w:numPr>
          <w:ilvl w:val="0"/>
          <w:numId w:val="10"/>
        </w:numPr>
        <w:rPr>
          <w:noProof/>
        </w:rPr>
      </w:pPr>
      <w:r>
        <w:rPr>
          <w:noProof/>
        </w:rPr>
        <w:t>EU:n tiedonvaihtomekanismien käyttö, jota mitataan seuraavien tietojen perusteella:</w:t>
      </w:r>
    </w:p>
    <w:p w:rsidR="00D21405" w:rsidRDefault="001B0A47">
      <w:pPr>
        <w:pStyle w:val="Point1letter"/>
        <w:rPr>
          <w:noProof/>
        </w:rPr>
      </w:pPr>
      <w:r>
        <w:rPr>
          <w:noProof/>
        </w:rPr>
        <w:t>Schengenin tietojärjestelmässä (SIS) tehtyjen hakujen määrä;</w:t>
      </w:r>
    </w:p>
    <w:p w:rsidR="00D21405" w:rsidRDefault="001B0A47">
      <w:pPr>
        <w:pStyle w:val="Point1letter"/>
        <w:rPr>
          <w:noProof/>
        </w:rPr>
      </w:pPr>
      <w:r>
        <w:rPr>
          <w:noProof/>
        </w:rPr>
        <w:t>jäsenvaltioiden välisess</w:t>
      </w:r>
      <w:r>
        <w:rPr>
          <w:noProof/>
        </w:rPr>
        <w:t>ä forensisten tietojen (DNA, sormenjäljet, rekisterikilvet) vaihtoa koskevassa järjestelmässä (Prüm-mekanismin automatisoitu tiedonvaihtojärjestelmä) tehtyjen hakujen määrä;</w:t>
      </w:r>
    </w:p>
    <w:p w:rsidR="00D21405" w:rsidRDefault="001B0A47">
      <w:pPr>
        <w:pStyle w:val="Point1letter"/>
        <w:rPr>
          <w:noProof/>
        </w:rPr>
      </w:pPr>
      <w:r>
        <w:rPr>
          <w:noProof/>
        </w:rPr>
        <w:t>Europolin suojatun tiedonvaihdon verkkosovelluksessa (SIENA) vaihdettujen viestien</w:t>
      </w:r>
      <w:r>
        <w:rPr>
          <w:noProof/>
        </w:rPr>
        <w:t xml:space="preserve"> määrä;</w:t>
      </w:r>
    </w:p>
    <w:p w:rsidR="00D21405" w:rsidRDefault="001B0A47">
      <w:pPr>
        <w:pStyle w:val="Point1letter"/>
        <w:rPr>
          <w:noProof/>
        </w:rPr>
      </w:pPr>
      <w:r>
        <w:rPr>
          <w:noProof/>
        </w:rPr>
        <w:t>Europolin tietojärjestelmässä (EIS) tehtyjen hakujen määrä;</w:t>
      </w:r>
    </w:p>
    <w:p w:rsidR="00D21405" w:rsidRDefault="001B0A47">
      <w:pPr>
        <w:pStyle w:val="Point1letter"/>
        <w:rPr>
          <w:noProof/>
        </w:rPr>
      </w:pPr>
      <w:r>
        <w:rPr>
          <w:noProof/>
        </w:rPr>
        <w:t>niiden matkustajien kokonaismäärä, joiden EU:n matkustajarekisteritiedot (PNR) on kerätty ja vaihdettu;</w:t>
      </w:r>
    </w:p>
    <w:p w:rsidR="00D21405" w:rsidRDefault="001B0A47">
      <w:pPr>
        <w:pStyle w:val="Text1"/>
        <w:rPr>
          <w:i/>
          <w:noProof/>
        </w:rPr>
      </w:pPr>
      <w:r>
        <w:rPr>
          <w:i/>
          <w:noProof/>
        </w:rPr>
        <w:t>Tietolähde: Europol, EU-LISA, neuvosto, jäsenvaltiot</w:t>
      </w:r>
    </w:p>
    <w:p w:rsidR="00D21405" w:rsidRDefault="001B0A47">
      <w:pPr>
        <w:pStyle w:val="Point0number"/>
        <w:rPr>
          <w:noProof/>
        </w:rPr>
      </w:pPr>
      <w:r>
        <w:rPr>
          <w:noProof/>
        </w:rPr>
        <w:t>Turvallisuuden kannalta merkity</w:t>
      </w:r>
      <w:r>
        <w:rPr>
          <w:noProof/>
        </w:rPr>
        <w:t>ksellisiin tietokantoihin rahaston tuella luotujen uusien yhteyksien määrä:</w:t>
      </w:r>
    </w:p>
    <w:p w:rsidR="00D21405" w:rsidRDefault="001B0A47">
      <w:pPr>
        <w:pStyle w:val="Point1letter"/>
        <w:numPr>
          <w:ilvl w:val="3"/>
          <w:numId w:val="11"/>
        </w:numPr>
        <w:rPr>
          <w:noProof/>
        </w:rPr>
      </w:pPr>
      <w:r>
        <w:rPr>
          <w:noProof/>
        </w:rPr>
        <w:t>yhteydet EU:n (ja tarvittaessa kansainvälisiin) tietokantoihin;</w:t>
      </w:r>
    </w:p>
    <w:p w:rsidR="00D21405" w:rsidRDefault="001B0A47">
      <w:pPr>
        <w:pStyle w:val="Point1letter"/>
        <w:numPr>
          <w:ilvl w:val="3"/>
          <w:numId w:val="11"/>
        </w:numPr>
        <w:rPr>
          <w:noProof/>
        </w:rPr>
      </w:pPr>
      <w:r>
        <w:rPr>
          <w:noProof/>
        </w:rPr>
        <w:t>yhteydet jäsenvaltion sisällä;</w:t>
      </w:r>
    </w:p>
    <w:p w:rsidR="00D21405" w:rsidRDefault="001B0A47">
      <w:pPr>
        <w:pStyle w:val="Point1letter"/>
        <w:numPr>
          <w:ilvl w:val="3"/>
          <w:numId w:val="11"/>
        </w:numPr>
        <w:rPr>
          <w:noProof/>
        </w:rPr>
      </w:pPr>
      <w:r>
        <w:rPr>
          <w:noProof/>
        </w:rPr>
        <w:t>yhteydet yhden tai useamman toisen jäsenvaltion kanssa;</w:t>
      </w:r>
    </w:p>
    <w:p w:rsidR="00D21405" w:rsidRDefault="001B0A47">
      <w:pPr>
        <w:pStyle w:val="Point1letter"/>
        <w:numPr>
          <w:ilvl w:val="3"/>
          <w:numId w:val="11"/>
        </w:numPr>
        <w:rPr>
          <w:noProof/>
        </w:rPr>
      </w:pPr>
      <w:r>
        <w:rPr>
          <w:noProof/>
        </w:rPr>
        <w:t>yhteydet yhden tai useamman k</w:t>
      </w:r>
      <w:r>
        <w:rPr>
          <w:noProof/>
        </w:rPr>
        <w:t>olmannen maan kanssa.</w:t>
      </w:r>
    </w:p>
    <w:p w:rsidR="00D21405" w:rsidRDefault="001B0A47">
      <w:pPr>
        <w:pStyle w:val="Text1"/>
        <w:rPr>
          <w:i/>
          <w:noProof/>
        </w:rPr>
      </w:pPr>
      <w:r>
        <w:rPr>
          <w:i/>
          <w:noProof/>
        </w:rPr>
        <w:t>Tietolähde: Jäsenvaltiot</w:t>
      </w:r>
    </w:p>
    <w:p w:rsidR="00D21405" w:rsidRDefault="001B0A47">
      <w:pPr>
        <w:pStyle w:val="Point0number"/>
        <w:numPr>
          <w:ilvl w:val="0"/>
          <w:numId w:val="11"/>
        </w:numPr>
        <w:rPr>
          <w:noProof/>
        </w:rPr>
      </w:pPr>
      <w:r>
        <w:rPr>
          <w:noProof/>
        </w:rPr>
        <w:t>Niiden uusien aktiivikäyttäjien määrä, jotka ovat rahaston tuen ansiosta ryhtyneet käyttämään EU:n ja mahdollisesti kansallisia turvallisuuden kannalta merkityksellisiä tiedonvaihtovälineitä, järjestelmiä ja t</w:t>
      </w:r>
      <w:r>
        <w:rPr>
          <w:noProof/>
        </w:rPr>
        <w:t>ietokantoja, verrattuna käyttäjien kokonaismäärään.</w:t>
      </w:r>
    </w:p>
    <w:p w:rsidR="00D21405" w:rsidRDefault="001B0A47">
      <w:pPr>
        <w:pStyle w:val="Text1"/>
        <w:rPr>
          <w:i/>
          <w:noProof/>
        </w:rPr>
      </w:pPr>
      <w:r>
        <w:rPr>
          <w:i/>
          <w:noProof/>
        </w:rPr>
        <w:t>Tietojen lähde: Jäsenvaltiot</w:t>
      </w:r>
    </w:p>
    <w:p w:rsidR="00D21405" w:rsidRDefault="001B0A47">
      <w:pPr>
        <w:rPr>
          <w:b/>
          <w:noProof/>
        </w:rPr>
      </w:pPr>
      <w:r>
        <w:rPr>
          <w:b/>
          <w:noProof/>
        </w:rPr>
        <w:t xml:space="preserve">Erityistavoite 2: </w:t>
      </w:r>
      <w:r>
        <w:rPr>
          <w:noProof/>
        </w:rPr>
        <w:tab/>
      </w:r>
      <w:r>
        <w:rPr>
          <w:b/>
          <w:noProof/>
        </w:rPr>
        <w:t>Operatiivisen yhteistyön lisääminen</w:t>
      </w:r>
    </w:p>
    <w:p w:rsidR="00D21405" w:rsidRDefault="001B0A47">
      <w:pPr>
        <w:pStyle w:val="Point0number"/>
        <w:numPr>
          <w:ilvl w:val="0"/>
          <w:numId w:val="11"/>
        </w:numPr>
        <w:rPr>
          <w:noProof/>
        </w:rPr>
      </w:pPr>
      <w:r>
        <w:rPr>
          <w:noProof/>
        </w:rPr>
        <w:t>Rahastosta tuettujen yhteisten operatiivisten toimien määrä, mukaan lukien osallistuvat jäsenvaltiot ja viranomaiset, ja</w:t>
      </w:r>
      <w:r>
        <w:rPr>
          <w:noProof/>
        </w:rPr>
        <w:t>oteltuna aloittain (terrorismintorjunta, järjestäytynyt rikollisuus yleensä, järjestäytynyt rikollisuus – ampuma-aseet, kyberrikollisuus, muut):</w:t>
      </w:r>
    </w:p>
    <w:p w:rsidR="00D21405" w:rsidRDefault="001B0A47">
      <w:pPr>
        <w:pStyle w:val="Point1letter"/>
        <w:rPr>
          <w:noProof/>
        </w:rPr>
      </w:pPr>
      <w:r>
        <w:rPr>
          <w:noProof/>
        </w:rPr>
        <w:t>yhteisten tutkintaryhmien määrä;</w:t>
      </w:r>
    </w:p>
    <w:p w:rsidR="00D21405" w:rsidRDefault="001B0A47">
      <w:pPr>
        <w:pStyle w:val="Point1letter"/>
        <w:rPr>
          <w:noProof/>
        </w:rPr>
      </w:pPr>
      <w:r>
        <w:rPr>
          <w:noProof/>
        </w:rPr>
        <w:t>Euroopan monialaisen rikosuhkien torjuntafoorumin (EMPACT) puitteissa toteutet</w:t>
      </w:r>
      <w:r>
        <w:rPr>
          <w:noProof/>
        </w:rPr>
        <w:t>tujen operatiivisten hankkeiden määrä;</w:t>
      </w:r>
    </w:p>
    <w:p w:rsidR="00D21405" w:rsidRDefault="001B0A47">
      <w:pPr>
        <w:pStyle w:val="Point1letter"/>
        <w:rPr>
          <w:noProof/>
        </w:rPr>
      </w:pPr>
      <w:r>
        <w:rPr>
          <w:noProof/>
        </w:rPr>
        <w:t>muut yhteiset operatiiviset toimet.</w:t>
      </w:r>
    </w:p>
    <w:p w:rsidR="00D21405" w:rsidRDefault="001B0A47">
      <w:pPr>
        <w:pStyle w:val="Text1"/>
        <w:rPr>
          <w:i/>
          <w:noProof/>
        </w:rPr>
      </w:pPr>
      <w:r>
        <w:rPr>
          <w:i/>
          <w:noProof/>
        </w:rPr>
        <w:t>Tietolähde: Europol, Eurojust, jäsenvaltiot</w:t>
      </w:r>
    </w:p>
    <w:p w:rsidR="00D21405" w:rsidRDefault="001B0A47">
      <w:pPr>
        <w:pStyle w:val="Point0number"/>
        <w:rPr>
          <w:noProof/>
        </w:rPr>
      </w:pPr>
      <w:r>
        <w:rPr>
          <w:noProof/>
        </w:rPr>
        <w:t>Osallistuminen rahaston tuella toimiviin rajatylittäviin verkostoihin.</w:t>
      </w:r>
    </w:p>
    <w:p w:rsidR="00D21405" w:rsidRDefault="001B0A47">
      <w:pPr>
        <w:pStyle w:val="Text1"/>
        <w:rPr>
          <w:i/>
          <w:noProof/>
        </w:rPr>
      </w:pPr>
      <w:r>
        <w:rPr>
          <w:i/>
          <w:noProof/>
        </w:rPr>
        <w:t xml:space="preserve">Tietojen lähde: Jäsenvaltiot, unionin toimien tai </w:t>
      </w:r>
      <w:r>
        <w:rPr>
          <w:i/>
          <w:noProof/>
        </w:rPr>
        <w:t>hätäapuavustusten edunsaajat</w:t>
      </w:r>
    </w:p>
    <w:p w:rsidR="00D21405" w:rsidRDefault="001B0A47">
      <w:pPr>
        <w:pStyle w:val="Point0number"/>
        <w:rPr>
          <w:noProof/>
        </w:rPr>
      </w:pPr>
      <w:r>
        <w:rPr>
          <w:noProof/>
        </w:rPr>
        <w:t xml:space="preserve">Rahaston avulla jäädytettyjen ja menetetyksi tuomittujen varojen arvioitu arvo. </w:t>
      </w:r>
    </w:p>
    <w:p w:rsidR="00D21405" w:rsidRDefault="001B0A47">
      <w:pPr>
        <w:pStyle w:val="Text1"/>
        <w:rPr>
          <w:i/>
          <w:noProof/>
        </w:rPr>
      </w:pPr>
      <w:r>
        <w:rPr>
          <w:i/>
          <w:noProof/>
        </w:rPr>
        <w:t>Tietolähde: Jäsenvaltiot</w:t>
      </w:r>
    </w:p>
    <w:p w:rsidR="00D21405" w:rsidRDefault="001B0A47">
      <w:pPr>
        <w:pStyle w:val="Point0number"/>
        <w:rPr>
          <w:noProof/>
        </w:rPr>
      </w:pPr>
      <w:r>
        <w:rPr>
          <w:noProof/>
        </w:rPr>
        <w:t>Niiden laittomien huumausaineiden arvo, jotka on takavarikoitu lainvalvontaviranomaisten yli rajojen tekemän yhteistyön a</w:t>
      </w:r>
      <w:r>
        <w:rPr>
          <w:noProof/>
        </w:rPr>
        <w:t xml:space="preserve">vulla. </w:t>
      </w:r>
    </w:p>
    <w:p w:rsidR="00D21405" w:rsidRDefault="001B0A47">
      <w:pPr>
        <w:pStyle w:val="Text1"/>
        <w:rPr>
          <w:i/>
          <w:noProof/>
        </w:rPr>
      </w:pPr>
      <w:r>
        <w:rPr>
          <w:i/>
          <w:noProof/>
        </w:rPr>
        <w:t>Tietolähde: Jäsenvaltiot, unionin toimiin liittyvien avustusten saajat</w:t>
      </w:r>
    </w:p>
    <w:p w:rsidR="00D21405" w:rsidRDefault="001B0A47">
      <w:pPr>
        <w:pStyle w:val="Point0number"/>
        <w:rPr>
          <w:noProof/>
        </w:rPr>
      </w:pPr>
      <w:r>
        <w:rPr>
          <w:noProof/>
        </w:rPr>
        <w:t>Rahaston avulla perustettujen nykyisten rajatylittävien verkostojen tuotokset, kuten parhaita käytäntöjä koskevat käsikirjat, työpajat, yhteiset harjoitukset.</w:t>
      </w:r>
    </w:p>
    <w:p w:rsidR="00D21405" w:rsidRDefault="001B0A47">
      <w:pPr>
        <w:pStyle w:val="Text1"/>
        <w:rPr>
          <w:i/>
          <w:noProof/>
        </w:rPr>
      </w:pPr>
      <w:r>
        <w:rPr>
          <w:i/>
          <w:noProof/>
        </w:rPr>
        <w:t>Tietolähde: Unioni</w:t>
      </w:r>
      <w:r>
        <w:rPr>
          <w:i/>
          <w:noProof/>
        </w:rPr>
        <w:t>n toimiin liittyvien avustusten saajat</w:t>
      </w:r>
    </w:p>
    <w:p w:rsidR="00D21405" w:rsidRDefault="001B0A47">
      <w:pPr>
        <w:pStyle w:val="Point0number"/>
        <w:rPr>
          <w:noProof/>
        </w:rPr>
      </w:pPr>
      <w:r>
        <w:rPr>
          <w:noProof/>
        </w:rPr>
        <w:t>Niiden Schengen-arviointiin perustuvien suositusten määrä, joilla on taloudellisia vaikutuksia turvallisuuden alalla ja jotka on täytetty rahastosta saadun tuen avulla, verrattuna sellaisten suositusten kokonaismäärää</w:t>
      </w:r>
      <w:r>
        <w:rPr>
          <w:noProof/>
        </w:rPr>
        <w:t xml:space="preserve">n, joilla on taloudellisia vaikutuksia turvallisuuden alalla. </w:t>
      </w:r>
    </w:p>
    <w:p w:rsidR="00D21405" w:rsidRDefault="001B0A47">
      <w:pPr>
        <w:pStyle w:val="Text1"/>
        <w:rPr>
          <w:i/>
          <w:noProof/>
        </w:rPr>
      </w:pPr>
      <w:r>
        <w:rPr>
          <w:i/>
          <w:noProof/>
        </w:rPr>
        <w:t>Tietolähde: Jäsenvaltiot</w:t>
      </w:r>
    </w:p>
    <w:p w:rsidR="00D21405" w:rsidRDefault="001B0A47">
      <w:pPr>
        <w:rPr>
          <w:b/>
          <w:noProof/>
        </w:rPr>
      </w:pPr>
      <w:r>
        <w:rPr>
          <w:b/>
          <w:noProof/>
        </w:rPr>
        <w:t xml:space="preserve">Erityistavoite 3: </w:t>
      </w:r>
      <w:r>
        <w:rPr>
          <w:noProof/>
        </w:rPr>
        <w:tab/>
      </w:r>
      <w:r>
        <w:rPr>
          <w:b/>
          <w:noProof/>
        </w:rPr>
        <w:t>Rikosten torjuntaa ja ehkäisemistä koskevien valmiuksien parantaminen</w:t>
      </w:r>
    </w:p>
    <w:p w:rsidR="00D21405" w:rsidRDefault="001B0A47">
      <w:pPr>
        <w:pStyle w:val="Point0number"/>
        <w:rPr>
          <w:noProof/>
        </w:rPr>
      </w:pPr>
      <w:r>
        <w:rPr>
          <w:noProof/>
        </w:rPr>
        <w:t>Niiden lainvalvontaviranomaisten henkilöstön jäsenten määrä, jotka ovat osallis</w:t>
      </w:r>
      <w:r>
        <w:rPr>
          <w:noProof/>
        </w:rPr>
        <w:t>tuneet koulutukseen, harjoituksiin, keskinäiseen oppimiseen tai erityisiin vaihto-ohjelmiin, jotka koskevat valtioiden rajat ylittäviä aiheita ja jotka on toteutettu rahaston tuella, jaoteltuna seuraavien alojen mukaan:</w:t>
      </w:r>
    </w:p>
    <w:p w:rsidR="00D21405" w:rsidRDefault="001B0A47">
      <w:pPr>
        <w:pStyle w:val="Point1letter"/>
        <w:rPr>
          <w:noProof/>
        </w:rPr>
      </w:pPr>
      <w:r>
        <w:rPr>
          <w:noProof/>
        </w:rPr>
        <w:t>terrorismin torjunta;</w:t>
      </w:r>
    </w:p>
    <w:p w:rsidR="00D21405" w:rsidRDefault="001B0A47">
      <w:pPr>
        <w:pStyle w:val="Point1letter"/>
        <w:rPr>
          <w:noProof/>
        </w:rPr>
      </w:pPr>
      <w:r>
        <w:rPr>
          <w:noProof/>
        </w:rPr>
        <w:t>järjestäytynyt</w:t>
      </w:r>
      <w:r>
        <w:rPr>
          <w:noProof/>
        </w:rPr>
        <w:t xml:space="preserve"> rikollisuus;</w:t>
      </w:r>
    </w:p>
    <w:p w:rsidR="00D21405" w:rsidRDefault="001B0A47">
      <w:pPr>
        <w:pStyle w:val="Point1letter"/>
        <w:rPr>
          <w:noProof/>
        </w:rPr>
      </w:pPr>
      <w:r>
        <w:rPr>
          <w:noProof/>
        </w:rPr>
        <w:t>kyberrikollisuus;</w:t>
      </w:r>
    </w:p>
    <w:p w:rsidR="00D21405" w:rsidRDefault="001B0A47">
      <w:pPr>
        <w:pStyle w:val="Point1letter"/>
        <w:rPr>
          <w:noProof/>
        </w:rPr>
      </w:pPr>
      <w:r>
        <w:rPr>
          <w:noProof/>
        </w:rPr>
        <w:t>muut operatiivisen yhteistyön alat.</w:t>
      </w:r>
    </w:p>
    <w:p w:rsidR="00D21405" w:rsidRDefault="001B0A47">
      <w:pPr>
        <w:pStyle w:val="Text1"/>
        <w:rPr>
          <w:i/>
          <w:noProof/>
        </w:rPr>
      </w:pPr>
      <w:r>
        <w:rPr>
          <w:i/>
          <w:noProof/>
        </w:rPr>
        <w:t>Tietolähde: Jäsenvaltiot</w:t>
      </w:r>
    </w:p>
    <w:p w:rsidR="00D21405" w:rsidRDefault="001B0A47">
      <w:pPr>
        <w:pStyle w:val="Point0number"/>
        <w:rPr>
          <w:noProof/>
        </w:rPr>
      </w:pPr>
      <w:r>
        <w:rPr>
          <w:noProof/>
        </w:rPr>
        <w:t>Sellaisten parhaita käytäntöjä, tutkimustekniikoita ja vakioituja toimintaohjeita koskevien käsikirjojen ja muiden välineiden määrä, jotka on tuotettu rahaston tue</w:t>
      </w:r>
      <w:r>
        <w:rPr>
          <w:noProof/>
        </w:rPr>
        <w:t xml:space="preserve">lla eri puolilla EU:ta toimivien organisaatioiden vuorovaikutuksen tuloksena. </w:t>
      </w:r>
    </w:p>
    <w:p w:rsidR="00D21405" w:rsidRDefault="001B0A47">
      <w:pPr>
        <w:pStyle w:val="Text1"/>
        <w:rPr>
          <w:i/>
          <w:noProof/>
        </w:rPr>
      </w:pPr>
      <w:r>
        <w:rPr>
          <w:i/>
          <w:noProof/>
        </w:rPr>
        <w:t>Tietolähde: Jäsenvaltiot, unionin toimien tai hätäapuavustusten edunsaajat</w:t>
      </w:r>
    </w:p>
    <w:p w:rsidR="00D21405" w:rsidRDefault="001B0A47">
      <w:pPr>
        <w:pStyle w:val="Point0number"/>
        <w:rPr>
          <w:noProof/>
        </w:rPr>
      </w:pPr>
      <w:r>
        <w:rPr>
          <w:noProof/>
        </w:rPr>
        <w:t>Niiden rikoksen uhrien määrä, jotka ovat saaneet tukea rahastosta, rikoksen tyypin mukaan jaoteltuna (</w:t>
      </w:r>
      <w:r>
        <w:rPr>
          <w:noProof/>
        </w:rPr>
        <w:t xml:space="preserve">ihmiskauppa, siirtolaisten salakuljetus, terrorismi, vakava ja järjestäytynyt rikollisuus, kyberrikollisuus, lasten seksuaalinen hyväksikäyttö). </w:t>
      </w:r>
    </w:p>
    <w:p w:rsidR="00D21405" w:rsidRDefault="001B0A47">
      <w:pPr>
        <w:pStyle w:val="Text1"/>
        <w:rPr>
          <w:i/>
          <w:noProof/>
        </w:rPr>
      </w:pPr>
      <w:r>
        <w:rPr>
          <w:i/>
          <w:noProof/>
        </w:rPr>
        <w:t>Tietolähde: Jäsenvaltiot</w:t>
      </w:r>
    </w:p>
    <w:p w:rsidR="00D21405" w:rsidRDefault="001B0A47">
      <w:pPr>
        <w:pStyle w:val="Point0number"/>
        <w:rPr>
          <w:noProof/>
        </w:rPr>
      </w:pPr>
      <w:r>
        <w:rPr>
          <w:noProof/>
        </w:rPr>
        <w:t>Niiden kriittisten infrastruktuurien ja julkisten tilojen määrä, joiden suojelua turv</w:t>
      </w:r>
      <w:r>
        <w:rPr>
          <w:noProof/>
        </w:rPr>
        <w:t>allisuuteen liittyviltä vaaratilanteilta on parannettu rahaston avulla.</w:t>
      </w:r>
    </w:p>
    <w:p w:rsidR="00D21405" w:rsidRDefault="001B0A47">
      <w:pPr>
        <w:pStyle w:val="Text1"/>
        <w:rPr>
          <w:i/>
          <w:noProof/>
        </w:rPr>
      </w:pPr>
      <w:r>
        <w:rPr>
          <w:i/>
          <w:noProof/>
        </w:rPr>
        <w:t>Tietolähde: Jäsenvaltiot</w:t>
      </w:r>
    </w:p>
    <w:p w:rsidR="00D21405" w:rsidRDefault="001B0A47">
      <w:pPr>
        <w:pStyle w:val="Point0number"/>
        <w:rPr>
          <w:noProof/>
        </w:rPr>
      </w:pPr>
      <w:r>
        <w:rPr>
          <w:noProof/>
        </w:rPr>
        <w:t>Niiden aloitteiden määrä, joilla on ehkäisty väkivaltaisiin ääriliikkeisiin johtavaa radikalisoitumista.</w:t>
      </w:r>
    </w:p>
    <w:p w:rsidR="00D21405" w:rsidRDefault="001B0A47">
      <w:pPr>
        <w:pStyle w:val="Point1letter"/>
        <w:rPr>
          <w:noProof/>
        </w:rPr>
      </w:pPr>
      <w:r>
        <w:rPr>
          <w:noProof/>
        </w:rPr>
        <w:t>Osumien määrä radikalisoitumisen torjunnan EU-verkosto</w:t>
      </w:r>
      <w:r>
        <w:rPr>
          <w:noProof/>
        </w:rPr>
        <w:t>n (RAN) verkkosivulla;</w:t>
      </w:r>
    </w:p>
    <w:p w:rsidR="00D21405" w:rsidRDefault="001B0A47">
      <w:pPr>
        <w:pStyle w:val="Point1letter"/>
        <w:rPr>
          <w:noProof/>
        </w:rPr>
      </w:pPr>
      <w:r>
        <w:rPr>
          <w:noProof/>
        </w:rPr>
        <w:t>RAN-verkoston osallistujien määrä asiantuntijatyypin mukaan jaoteltuna;</w:t>
      </w:r>
    </w:p>
    <w:p w:rsidR="00D21405" w:rsidRDefault="001B0A47">
      <w:pPr>
        <w:pStyle w:val="Point1letter"/>
        <w:rPr>
          <w:noProof/>
        </w:rPr>
      </w:pPr>
      <w:r>
        <w:rPr>
          <w:noProof/>
        </w:rPr>
        <w:t>Niiden opintokäyntien, koulutustapahtumien, työpajojen ja neuvontaistuntojen määrä, jotka on toteutettu jäsenvaltioissa kansallisten viranomaisten tiiviin koordi</w:t>
      </w:r>
      <w:r>
        <w:rPr>
          <w:noProof/>
        </w:rPr>
        <w:t>noinnin avulla, jaoteltuna edunsaajatyypin mukaan (lainvalvontaviranomaiset, muut).</w:t>
      </w:r>
    </w:p>
    <w:p w:rsidR="00D21405" w:rsidRDefault="001B0A47">
      <w:pPr>
        <w:pStyle w:val="Text1"/>
        <w:rPr>
          <w:i/>
          <w:noProof/>
        </w:rPr>
      </w:pPr>
      <w:r>
        <w:rPr>
          <w:i/>
          <w:noProof/>
        </w:rPr>
        <w:t>Tietolähde: Radikalisoitumisen torjunnan EU-verkosto (RAN)</w:t>
      </w:r>
    </w:p>
    <w:p w:rsidR="00D21405" w:rsidRDefault="001B0A47">
      <w:pPr>
        <w:pStyle w:val="Point0number"/>
        <w:rPr>
          <w:noProof/>
        </w:rPr>
      </w:pPr>
      <w:r>
        <w:rPr>
          <w:noProof/>
        </w:rPr>
        <w:t>Niiden rahaston tuella perustettujen kumppanuuksien määrä, jotka edistävät todistajille, väärinkäytösten paljasta</w:t>
      </w:r>
      <w:r>
        <w:rPr>
          <w:noProof/>
        </w:rPr>
        <w:t>jille ja rikoksen uhreille annettavan tuen kehittämistä, sen mukaan, edustavatko kumppanit</w:t>
      </w:r>
    </w:p>
    <w:p w:rsidR="00D21405" w:rsidRDefault="001B0A47">
      <w:pPr>
        <w:pStyle w:val="Point1letter"/>
        <w:numPr>
          <w:ilvl w:val="3"/>
          <w:numId w:val="12"/>
        </w:numPr>
        <w:rPr>
          <w:noProof/>
        </w:rPr>
      </w:pPr>
      <w:r>
        <w:rPr>
          <w:noProof/>
        </w:rPr>
        <w:t>yksityistä sektoria;</w:t>
      </w:r>
    </w:p>
    <w:p w:rsidR="00D21405" w:rsidRDefault="001B0A47">
      <w:pPr>
        <w:pStyle w:val="Point1letter"/>
        <w:numPr>
          <w:ilvl w:val="3"/>
          <w:numId w:val="12"/>
        </w:numPr>
        <w:rPr>
          <w:noProof/>
        </w:rPr>
      </w:pPr>
      <w:r>
        <w:rPr>
          <w:noProof/>
        </w:rPr>
        <w:t>kansalaisyhteiskuntaa.</w:t>
      </w:r>
    </w:p>
    <w:p w:rsidR="00D21405" w:rsidRDefault="001B0A47">
      <w:pPr>
        <w:pStyle w:val="Text1"/>
        <w:rPr>
          <w:b/>
          <w:i/>
          <w:noProof/>
          <w:u w:val="single"/>
        </w:rPr>
      </w:pPr>
      <w:r>
        <w:rPr>
          <w:i/>
          <w:noProof/>
        </w:rPr>
        <w:t>Tietolähde: Jäsenvaltiot, unionin toimien tai hätäapuavustusten edunsaajat</w:t>
      </w:r>
    </w:p>
    <w:sectPr w:rsidR="00D21405" w:rsidSect="001B0A47"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405" w:rsidRDefault="001B0A47">
      <w:pPr>
        <w:spacing w:before="0" w:after="0"/>
      </w:pPr>
      <w:r>
        <w:separator/>
      </w:r>
    </w:p>
  </w:endnote>
  <w:endnote w:type="continuationSeparator" w:id="0">
    <w:p w:rsidR="00D21405" w:rsidRDefault="001B0A47">
      <w:pPr>
        <w:spacing w:before="0" w:after="0"/>
      </w:pPr>
      <w:r>
        <w:continuationSeparator/>
      </w:r>
    </w:p>
  </w:endnote>
  <w:endnote w:type="continuationNotice" w:id="1">
    <w:p w:rsidR="00D21405" w:rsidRDefault="00D2140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47" w:rsidRPr="001B0A47" w:rsidRDefault="001B0A47" w:rsidP="001B0A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05" w:rsidRPr="001B0A47" w:rsidRDefault="001B0A47" w:rsidP="001B0A47">
    <w:pPr>
      <w:pStyle w:val="Footer"/>
      <w:rPr>
        <w:rFonts w:ascii="Arial" w:hAnsi="Arial" w:cs="Arial"/>
        <w:b/>
        <w:sz w:val="48"/>
      </w:rPr>
    </w:pPr>
    <w:r w:rsidRPr="001B0A47">
      <w:rPr>
        <w:rFonts w:ascii="Arial" w:hAnsi="Arial" w:cs="Arial"/>
        <w:b/>
        <w:sz w:val="48"/>
      </w:rPr>
      <w:t>FI</w:t>
    </w:r>
    <w:r w:rsidRPr="001B0A47">
      <w:rPr>
        <w:rFonts w:ascii="Arial" w:hAnsi="Arial" w:cs="Arial"/>
        <w:b/>
        <w:sz w:val="48"/>
      </w:rPr>
      <w:tab/>
    </w:r>
    <w:r w:rsidRPr="001B0A47">
      <w:rPr>
        <w:rFonts w:ascii="Arial" w:hAnsi="Arial" w:cs="Arial"/>
        <w:b/>
        <w:sz w:val="48"/>
      </w:rPr>
      <w:tab/>
    </w:r>
    <w:r w:rsidRPr="001B0A47">
      <w:tab/>
    </w:r>
    <w:proofErr w:type="spellStart"/>
    <w:r w:rsidRPr="001B0A47">
      <w:rPr>
        <w:rFonts w:ascii="Arial" w:hAnsi="Arial" w:cs="Arial"/>
        <w:b/>
        <w:sz w:val="48"/>
      </w:rPr>
      <w:t>FI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47" w:rsidRPr="001B0A47" w:rsidRDefault="001B0A47" w:rsidP="001B0A4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47" w:rsidRPr="001B0A47" w:rsidRDefault="001B0A47" w:rsidP="001B0A47">
    <w:pPr>
      <w:pStyle w:val="Footer"/>
      <w:rPr>
        <w:rFonts w:ascii="Arial" w:hAnsi="Arial" w:cs="Arial"/>
        <w:b/>
        <w:sz w:val="48"/>
      </w:rPr>
    </w:pPr>
    <w:r w:rsidRPr="001B0A47">
      <w:rPr>
        <w:rFonts w:ascii="Arial" w:hAnsi="Arial" w:cs="Arial"/>
        <w:b/>
        <w:sz w:val="48"/>
      </w:rPr>
      <w:t>FI</w:t>
    </w:r>
    <w:r w:rsidRPr="001B0A47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fldChar w:fldCharType="end"/>
    </w:r>
    <w:r>
      <w:tab/>
    </w:r>
    <w:r w:rsidRPr="001B0A47">
      <w:tab/>
    </w:r>
    <w:r w:rsidRPr="001B0A47">
      <w:rPr>
        <w:rFonts w:ascii="Arial" w:hAnsi="Arial" w:cs="Arial"/>
        <w:b/>
        <w:sz w:val="48"/>
      </w:rPr>
      <w:t>FI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47" w:rsidRPr="001B0A47" w:rsidRDefault="001B0A47" w:rsidP="001B0A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405" w:rsidRDefault="001B0A47">
      <w:pPr>
        <w:spacing w:before="0" w:after="0"/>
      </w:pPr>
      <w:r>
        <w:separator/>
      </w:r>
    </w:p>
  </w:footnote>
  <w:footnote w:type="continuationSeparator" w:id="0">
    <w:p w:rsidR="00D21405" w:rsidRDefault="001B0A47">
      <w:pPr>
        <w:spacing w:before="0" w:after="0"/>
      </w:pPr>
      <w:r>
        <w:continuationSeparator/>
      </w:r>
    </w:p>
  </w:footnote>
  <w:footnote w:type="continuationNotice" w:id="1">
    <w:p w:rsidR="00D21405" w:rsidRDefault="00D21405">
      <w:pPr>
        <w:spacing w:before="0" w:after="0"/>
      </w:pPr>
    </w:p>
  </w:footnote>
  <w:footnote w:id="2">
    <w:p w:rsidR="00D21405" w:rsidRDefault="001B0A47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Komission tiedonannon </w:t>
      </w:r>
      <w:r>
        <w:rPr>
          <w:i/>
        </w:rPr>
        <w:t>Vahvemmat ja älykkäämmät tietojärjestelmät rajaturvallisuuden ja sisäisen turvallisuuden tueksi</w:t>
      </w:r>
      <w:r>
        <w:t xml:space="preserve"> (COM(2016) 205) mukaisesti.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47" w:rsidRPr="001B0A47" w:rsidRDefault="001B0A47" w:rsidP="001B0A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47" w:rsidRPr="001B0A47" w:rsidRDefault="001B0A47" w:rsidP="001B0A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47" w:rsidRPr="001B0A47" w:rsidRDefault="001B0A47" w:rsidP="001B0A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D28A94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F00414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7C4CC7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A77A8A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8AA816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2F10E6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1AA15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27001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2"/>
  </w:num>
  <w:num w:numId="23">
    <w:abstractNumId w:val="20"/>
  </w:num>
  <w:num w:numId="24">
    <w:abstractNumId w:val="11"/>
  </w:num>
  <w:num w:numId="25">
    <w:abstractNumId w:val="13"/>
  </w:num>
  <w:num w:numId="26">
    <w:abstractNumId w:val="9"/>
  </w:num>
  <w:num w:numId="27">
    <w:abstractNumId w:val="19"/>
  </w:num>
  <w:num w:numId="28">
    <w:abstractNumId w:val="8"/>
  </w:num>
  <w:num w:numId="29">
    <w:abstractNumId w:val="14"/>
  </w:num>
  <w:num w:numId="30">
    <w:abstractNumId w:val="16"/>
  </w:num>
  <w:num w:numId="31">
    <w:abstractNumId w:val="17"/>
  </w:num>
  <w:num w:numId="32">
    <w:abstractNumId w:val="10"/>
  </w:num>
  <w:num w:numId="33">
    <w:abstractNumId w:val="15"/>
  </w:num>
  <w:num w:numId="34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22 15:46:4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9"/>
    <w:docVar w:name="DQCResult_UnknownFonts" w:val="0;0"/>
    <w:docVar w:name="DQCResult_UnknownStyles" w:val="0;1"/>
    <w:docVar w:name="DQCStatus" w:val="Yellow"/>
    <w:docVar w:name="DQCVersion" w:val="3"/>
    <w:docVar w:name="DQCWithWarnings" w:val="0"/>
    <w:docVar w:name="LW_ACCOMPAGNANT" w:val="asiakirjaan"/>
    <w:docVar w:name="LW_ACCOMPAGNANT.CP" w:val="asiakirjaan"/>
    <w:docVar w:name="LW_ANNEX_NBR_FIRST" w:val="1"/>
    <w:docVar w:name="LW_ANNEX_NBR_LAST" w:val="8"/>
    <w:docVar w:name="LW_ANNEX_UNIQUE" w:val="0"/>
    <w:docVar w:name="LW_CORRIGENDUM" w:val="&lt;UNUSED&gt;"/>
    <w:docVar w:name="LW_COVERPAGE_EXISTS" w:val="True"/>
    <w:docVar w:name="LW_COVERPAGE_GUID" w:val="CE21DE40-71E2-47C5-A1EE-6AAD1A25D5BF"/>
    <w:docVar w:name="LW_COVERPAGE_TYPE" w:val="1"/>
    <w:docVar w:name="LW_CROSSREFERENCE" w:val="{SWD(2018) 347 final}_x000a_{SWD(2018) 348 final}_x000a_{SEC(2018) 315 final}"/>
    <w:docVar w:name="LW_DocType" w:val="ANNEX"/>
    <w:docVar w:name="LW_EMISSION" w:val="13.6.2018"/>
    <w:docVar w:name="LW_EMISSION_ISODATE" w:val="2018-06-13"/>
    <w:docVar w:name="LW_EMISSION_LOCATION" w:val="BRX"/>
    <w:docVar w:name="LW_EMISSION_PREFIX" w:val="Bryssel"/>
    <w:docVar w:name="LW_EMISSION_SUFFIX" w:val="&lt;EMPTY&gt;"/>
    <w:docVar w:name="LW_ID_DOCSTRUCTURE" w:val="COM/ANNEX"/>
    <w:docVar w:name="LW_ID_DOCTYPE" w:val="SG-017"/>
    <w:docVar w:name="LW_LANGUE" w:val="FI"/>
    <w:docVar w:name="LW_LEVEL_OF_SENSITIVITY" w:val="Standard treatment"/>
    <w:docVar w:name="LW_NOM.INST" w:val="EUROOPAN KOMISSIO"/>
    <w:docVar w:name="LW_NOM.INST_JOINTDOC" w:val="&lt;EMPTY&gt;"/>
    <w:docVar w:name="LW_OBJETACTEPRINCIPAL" w:val="sisäisen turvallisuuden rahaston perustamisesta"/>
    <w:docVar w:name="LW_OBJETACTEPRINCIPAL.CP" w:val="sisäisen turvallisuuden rahaston perustamisesta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8) 47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LIITTEET"/>
    <w:docVar w:name="LW_TYPE.DOC.CP" w:val="LIITTEET"/>
    <w:docVar w:name="LW_TYPEACTEPRINCIPAL" w:val="Ehdotus_x000b_Euroopan parlamentin ja neuvoston asetus"/>
    <w:docVar w:name="LW_TYPEACTEPRINCIPAL.CP" w:val="Ehdotus_x000b_Euroopan parlamentin ja neuvoston asetus"/>
  </w:docVars>
  <w:rsids>
    <w:rsidRoot w:val="00D21405"/>
    <w:rsid w:val="001B0A47"/>
    <w:rsid w:val="00D2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fi-F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3">
    <w:name w:val="List Number 3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fi-F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fi-FI"/>
    </w:rPr>
  </w:style>
  <w:style w:type="paragraph" w:styleId="ListParagraph">
    <w:name w:val="List Paragraph"/>
    <w:basedOn w:val="Normal"/>
    <w:uiPriority w:val="34"/>
    <w:qFormat/>
    <w:pPr>
      <w:spacing w:before="0" w:after="180" w:line="211" w:lineRule="exact"/>
      <w:ind w:left="720" w:right="23"/>
      <w:contextualSpacing/>
      <w:jc w:val="left"/>
    </w:pPr>
    <w:rPr>
      <w:rFonts w:asciiTheme="minorHAnsi" w:hAnsiTheme="minorHAnsi" w:cstheme="minorBidi"/>
      <w:sz w:val="2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Header">
    <w:name w:val="header"/>
    <w:basedOn w:val="Normal"/>
    <w:link w:val="HeaderChar"/>
    <w:uiPriority w:val="99"/>
    <w:unhideWhenUsed/>
    <w:rsid w:val="001B0A47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1B0A47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1B0A47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B0A47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1B0A47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1B0A47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1B0A4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1B0A4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1"/>
      </w:numPr>
    </w:pPr>
  </w:style>
  <w:style w:type="paragraph" w:customStyle="1" w:styleId="Tiret1">
    <w:name w:val="Tiret 1"/>
    <w:basedOn w:val="Point1"/>
    <w:pPr>
      <w:numPr>
        <w:numId w:val="22"/>
      </w:numPr>
    </w:pPr>
  </w:style>
  <w:style w:type="paragraph" w:customStyle="1" w:styleId="Tiret2">
    <w:name w:val="Tiret 2"/>
    <w:basedOn w:val="Point2"/>
    <w:pPr>
      <w:numPr>
        <w:numId w:val="23"/>
      </w:numPr>
    </w:pPr>
  </w:style>
  <w:style w:type="paragraph" w:customStyle="1" w:styleId="Tiret3">
    <w:name w:val="Tiret 3"/>
    <w:basedOn w:val="Point3"/>
    <w:pPr>
      <w:numPr>
        <w:numId w:val="24"/>
      </w:numPr>
    </w:pPr>
  </w:style>
  <w:style w:type="paragraph" w:customStyle="1" w:styleId="Tiret4">
    <w:name w:val="Tiret 4"/>
    <w:basedOn w:val="Point4"/>
    <w:pPr>
      <w:numPr>
        <w:numId w:val="2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8"/>
      </w:numPr>
    </w:pPr>
  </w:style>
  <w:style w:type="paragraph" w:customStyle="1" w:styleId="Point1number">
    <w:name w:val="Point 1 (number)"/>
    <w:basedOn w:val="Normal"/>
    <w:pPr>
      <w:numPr>
        <w:ilvl w:val="2"/>
        <w:numId w:val="28"/>
      </w:numPr>
    </w:pPr>
  </w:style>
  <w:style w:type="paragraph" w:customStyle="1" w:styleId="Point2number">
    <w:name w:val="Point 2 (number)"/>
    <w:basedOn w:val="Normal"/>
    <w:pPr>
      <w:numPr>
        <w:ilvl w:val="4"/>
        <w:numId w:val="28"/>
      </w:numPr>
    </w:pPr>
  </w:style>
  <w:style w:type="paragraph" w:customStyle="1" w:styleId="Point3number">
    <w:name w:val="Point 3 (number)"/>
    <w:basedOn w:val="Normal"/>
    <w:pPr>
      <w:numPr>
        <w:ilvl w:val="6"/>
        <w:numId w:val="28"/>
      </w:numPr>
    </w:pPr>
  </w:style>
  <w:style w:type="paragraph" w:customStyle="1" w:styleId="Point0letter">
    <w:name w:val="Point 0 (letter)"/>
    <w:basedOn w:val="Normal"/>
    <w:pPr>
      <w:numPr>
        <w:ilvl w:val="1"/>
        <w:numId w:val="28"/>
      </w:numPr>
    </w:pPr>
  </w:style>
  <w:style w:type="paragraph" w:customStyle="1" w:styleId="Point1letter">
    <w:name w:val="Point 1 (letter)"/>
    <w:basedOn w:val="Normal"/>
    <w:pPr>
      <w:numPr>
        <w:ilvl w:val="3"/>
        <w:numId w:val="28"/>
      </w:numPr>
    </w:pPr>
  </w:style>
  <w:style w:type="paragraph" w:customStyle="1" w:styleId="Point2letter">
    <w:name w:val="Point 2 (letter)"/>
    <w:basedOn w:val="Normal"/>
    <w:pPr>
      <w:numPr>
        <w:ilvl w:val="5"/>
        <w:numId w:val="28"/>
      </w:numPr>
    </w:pPr>
  </w:style>
  <w:style w:type="paragraph" w:customStyle="1" w:styleId="Point3letter">
    <w:name w:val="Point 3 (letter)"/>
    <w:basedOn w:val="Normal"/>
    <w:pPr>
      <w:numPr>
        <w:ilvl w:val="7"/>
        <w:numId w:val="28"/>
      </w:numPr>
    </w:pPr>
  </w:style>
  <w:style w:type="paragraph" w:customStyle="1" w:styleId="Point4letter">
    <w:name w:val="Point 4 (letter)"/>
    <w:basedOn w:val="Normal"/>
    <w:pPr>
      <w:numPr>
        <w:ilvl w:val="8"/>
        <w:numId w:val="28"/>
      </w:numPr>
    </w:pPr>
  </w:style>
  <w:style w:type="paragraph" w:customStyle="1" w:styleId="Bullet0">
    <w:name w:val="Bullet 0"/>
    <w:basedOn w:val="Normal"/>
    <w:pPr>
      <w:numPr>
        <w:numId w:val="29"/>
      </w:numPr>
    </w:pPr>
  </w:style>
  <w:style w:type="paragraph" w:customStyle="1" w:styleId="Bullet1">
    <w:name w:val="Bullet 1"/>
    <w:basedOn w:val="Normal"/>
    <w:pPr>
      <w:numPr>
        <w:numId w:val="30"/>
      </w:numPr>
    </w:pPr>
  </w:style>
  <w:style w:type="paragraph" w:customStyle="1" w:styleId="Bullet2">
    <w:name w:val="Bullet 2"/>
    <w:basedOn w:val="Normal"/>
    <w:pPr>
      <w:numPr>
        <w:numId w:val="31"/>
      </w:numPr>
    </w:pPr>
  </w:style>
  <w:style w:type="paragraph" w:customStyle="1" w:styleId="Bullet3">
    <w:name w:val="Bullet 3"/>
    <w:basedOn w:val="Normal"/>
    <w:pPr>
      <w:numPr>
        <w:numId w:val="32"/>
      </w:numPr>
    </w:pPr>
  </w:style>
  <w:style w:type="paragraph" w:customStyle="1" w:styleId="Bullet4">
    <w:name w:val="Bullet 4"/>
    <w:basedOn w:val="Normal"/>
    <w:pPr>
      <w:numPr>
        <w:numId w:val="3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fi-F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3">
    <w:name w:val="List Number 3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fi-F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fi-FI"/>
    </w:rPr>
  </w:style>
  <w:style w:type="paragraph" w:styleId="ListParagraph">
    <w:name w:val="List Paragraph"/>
    <w:basedOn w:val="Normal"/>
    <w:uiPriority w:val="34"/>
    <w:qFormat/>
    <w:pPr>
      <w:spacing w:before="0" w:after="180" w:line="211" w:lineRule="exact"/>
      <w:ind w:left="720" w:right="23"/>
      <w:contextualSpacing/>
      <w:jc w:val="left"/>
    </w:pPr>
    <w:rPr>
      <w:rFonts w:asciiTheme="minorHAnsi" w:hAnsiTheme="minorHAnsi" w:cstheme="minorBidi"/>
      <w:sz w:val="2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Header">
    <w:name w:val="header"/>
    <w:basedOn w:val="Normal"/>
    <w:link w:val="HeaderChar"/>
    <w:uiPriority w:val="99"/>
    <w:unhideWhenUsed/>
    <w:rsid w:val="001B0A47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1B0A47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1B0A47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B0A47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1B0A47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1B0A47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1B0A4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1B0A4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1"/>
      </w:numPr>
    </w:pPr>
  </w:style>
  <w:style w:type="paragraph" w:customStyle="1" w:styleId="Tiret1">
    <w:name w:val="Tiret 1"/>
    <w:basedOn w:val="Point1"/>
    <w:pPr>
      <w:numPr>
        <w:numId w:val="22"/>
      </w:numPr>
    </w:pPr>
  </w:style>
  <w:style w:type="paragraph" w:customStyle="1" w:styleId="Tiret2">
    <w:name w:val="Tiret 2"/>
    <w:basedOn w:val="Point2"/>
    <w:pPr>
      <w:numPr>
        <w:numId w:val="23"/>
      </w:numPr>
    </w:pPr>
  </w:style>
  <w:style w:type="paragraph" w:customStyle="1" w:styleId="Tiret3">
    <w:name w:val="Tiret 3"/>
    <w:basedOn w:val="Point3"/>
    <w:pPr>
      <w:numPr>
        <w:numId w:val="24"/>
      </w:numPr>
    </w:pPr>
  </w:style>
  <w:style w:type="paragraph" w:customStyle="1" w:styleId="Tiret4">
    <w:name w:val="Tiret 4"/>
    <w:basedOn w:val="Point4"/>
    <w:pPr>
      <w:numPr>
        <w:numId w:val="2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8"/>
      </w:numPr>
    </w:pPr>
  </w:style>
  <w:style w:type="paragraph" w:customStyle="1" w:styleId="Point1number">
    <w:name w:val="Point 1 (number)"/>
    <w:basedOn w:val="Normal"/>
    <w:pPr>
      <w:numPr>
        <w:ilvl w:val="2"/>
        <w:numId w:val="28"/>
      </w:numPr>
    </w:pPr>
  </w:style>
  <w:style w:type="paragraph" w:customStyle="1" w:styleId="Point2number">
    <w:name w:val="Point 2 (number)"/>
    <w:basedOn w:val="Normal"/>
    <w:pPr>
      <w:numPr>
        <w:ilvl w:val="4"/>
        <w:numId w:val="28"/>
      </w:numPr>
    </w:pPr>
  </w:style>
  <w:style w:type="paragraph" w:customStyle="1" w:styleId="Point3number">
    <w:name w:val="Point 3 (number)"/>
    <w:basedOn w:val="Normal"/>
    <w:pPr>
      <w:numPr>
        <w:ilvl w:val="6"/>
        <w:numId w:val="28"/>
      </w:numPr>
    </w:pPr>
  </w:style>
  <w:style w:type="paragraph" w:customStyle="1" w:styleId="Point0letter">
    <w:name w:val="Point 0 (letter)"/>
    <w:basedOn w:val="Normal"/>
    <w:pPr>
      <w:numPr>
        <w:ilvl w:val="1"/>
        <w:numId w:val="28"/>
      </w:numPr>
    </w:pPr>
  </w:style>
  <w:style w:type="paragraph" w:customStyle="1" w:styleId="Point1letter">
    <w:name w:val="Point 1 (letter)"/>
    <w:basedOn w:val="Normal"/>
    <w:pPr>
      <w:numPr>
        <w:ilvl w:val="3"/>
        <w:numId w:val="28"/>
      </w:numPr>
    </w:pPr>
  </w:style>
  <w:style w:type="paragraph" w:customStyle="1" w:styleId="Point2letter">
    <w:name w:val="Point 2 (letter)"/>
    <w:basedOn w:val="Normal"/>
    <w:pPr>
      <w:numPr>
        <w:ilvl w:val="5"/>
        <w:numId w:val="28"/>
      </w:numPr>
    </w:pPr>
  </w:style>
  <w:style w:type="paragraph" w:customStyle="1" w:styleId="Point3letter">
    <w:name w:val="Point 3 (letter)"/>
    <w:basedOn w:val="Normal"/>
    <w:pPr>
      <w:numPr>
        <w:ilvl w:val="7"/>
        <w:numId w:val="28"/>
      </w:numPr>
    </w:pPr>
  </w:style>
  <w:style w:type="paragraph" w:customStyle="1" w:styleId="Point4letter">
    <w:name w:val="Point 4 (letter)"/>
    <w:basedOn w:val="Normal"/>
    <w:pPr>
      <w:numPr>
        <w:ilvl w:val="8"/>
        <w:numId w:val="28"/>
      </w:numPr>
    </w:pPr>
  </w:style>
  <w:style w:type="paragraph" w:customStyle="1" w:styleId="Bullet0">
    <w:name w:val="Bullet 0"/>
    <w:basedOn w:val="Normal"/>
    <w:pPr>
      <w:numPr>
        <w:numId w:val="29"/>
      </w:numPr>
    </w:pPr>
  </w:style>
  <w:style w:type="paragraph" w:customStyle="1" w:styleId="Bullet1">
    <w:name w:val="Bullet 1"/>
    <w:basedOn w:val="Normal"/>
    <w:pPr>
      <w:numPr>
        <w:numId w:val="30"/>
      </w:numPr>
    </w:pPr>
  </w:style>
  <w:style w:type="paragraph" w:customStyle="1" w:styleId="Bullet2">
    <w:name w:val="Bullet 2"/>
    <w:basedOn w:val="Normal"/>
    <w:pPr>
      <w:numPr>
        <w:numId w:val="31"/>
      </w:numPr>
    </w:pPr>
  </w:style>
  <w:style w:type="paragraph" w:customStyle="1" w:styleId="Bullet3">
    <w:name w:val="Bullet 3"/>
    <w:basedOn w:val="Normal"/>
    <w:pPr>
      <w:numPr>
        <w:numId w:val="32"/>
      </w:numPr>
    </w:pPr>
  </w:style>
  <w:style w:type="paragraph" w:customStyle="1" w:styleId="Bullet4">
    <w:name w:val="Bullet 4"/>
    <w:basedOn w:val="Normal"/>
    <w:pPr>
      <w:numPr>
        <w:numId w:val="3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7AC33-3804-40A6-8AF4-F6F01385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13</Pages>
  <Words>1878</Words>
  <Characters>16665</Characters>
  <Application>Microsoft Office Word</Application>
  <DocSecurity>0</DocSecurity>
  <Lines>398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BARETTE Anne (EMPL)</dc:creator>
  <cp:lastModifiedBy>JANSEN Colette (SG)</cp:lastModifiedBy>
  <cp:revision>8</cp:revision>
  <cp:lastPrinted>2018-05-30T09:48:00Z</cp:lastPrinted>
  <dcterms:created xsi:type="dcterms:W3CDTF">2018-06-21T07:34:00Z</dcterms:created>
  <dcterms:modified xsi:type="dcterms:W3CDTF">2018-06-22T15:01:00Z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8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Yellow (DQC version 03)</vt:lpwstr>
  </property>
</Properties>
</file>