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C1" w:rsidRDefault="006C1C6A" w:rsidP="006C1C6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623A5EC-63BF-4816-891B-7EE528B4B327" style="width:450pt;height:411pt">
            <v:imagedata r:id="rId9" o:title=""/>
          </v:shape>
        </w:pict>
      </w:r>
    </w:p>
    <w:p w:rsidR="002907C1" w:rsidRDefault="002907C1">
      <w:pPr>
        <w:rPr>
          <w:noProof/>
        </w:rPr>
        <w:sectPr w:rsidR="002907C1" w:rsidSect="006C1C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907C1" w:rsidRDefault="006C1C6A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</w:rPr>
        <w:lastRenderedPageBreak/>
        <w:t>I PIELIKUMS</w:t>
      </w:r>
      <w:r>
        <w:rPr>
          <w:noProof/>
          <w:u w:val="none"/>
        </w:rPr>
        <w:br/>
      </w:r>
      <w:r>
        <w:rPr>
          <w:noProof/>
          <w:u w:val="none"/>
        </w:rPr>
        <w:br/>
        <w:t>Kritēriji finansējuma piešķiršanai dalītās pārvaldības programmām</w:t>
      </w:r>
    </w:p>
    <w:p w:rsidR="002907C1" w:rsidRDefault="002907C1">
      <w:pPr>
        <w:rPr>
          <w:noProof/>
          <w:szCs w:val="24"/>
        </w:rPr>
      </w:pPr>
    </w:p>
    <w:p w:rsidR="002907C1" w:rsidRDefault="006C1C6A">
      <w:pPr>
        <w:rPr>
          <w:noProof/>
          <w:szCs w:val="24"/>
        </w:rPr>
      </w:pPr>
      <w:r>
        <w:rPr>
          <w:noProof/>
        </w:rPr>
        <w:t xml:space="preserve">Regulas 10. pantā minēto finansējumu piešķir dalībvalstu programmām </w:t>
      </w:r>
      <w:r>
        <w:rPr>
          <w:noProof/>
        </w:rPr>
        <w:t>šādi:</w:t>
      </w:r>
    </w:p>
    <w:p w:rsidR="002907C1" w:rsidRDefault="006C1C6A"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>plānošanas perioda sākumā katrai dalībvalstij tiks piešķirta vienreizēja fiksēta summa EUR 5 000 000 apmērā, lai nodrošinātu katrai programmai kritisko masu un segtu vajadzības, uz kurām nav tieši attiecināmi turpmāk minētie kritēriji;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atlikušie resu</w:t>
      </w:r>
      <w:r>
        <w:rPr>
          <w:noProof/>
        </w:rPr>
        <w:t>rsi tiks sadalīti pēc šādiem kritērijiem:</w:t>
      </w:r>
    </w:p>
    <w:p w:rsidR="002907C1" w:rsidRDefault="006C1C6A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45 % apgriezti proporcionāli dalībvalstu iekšzemes kopproduktam (pirktspējas standartam uz vienu iedzīvotāju),</w:t>
      </w:r>
    </w:p>
    <w:p w:rsidR="002907C1" w:rsidRDefault="006C1C6A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40 % proporcionāli dalībvalstu iedzīvotāju skaitam,</w:t>
      </w:r>
    </w:p>
    <w:p w:rsidR="002907C1" w:rsidRDefault="006C1C6A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15 % proporcionāli to teritorijas lielumam.</w:t>
      </w:r>
    </w:p>
    <w:p w:rsidR="002907C1" w:rsidRDefault="006C1C6A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t>Sākotnē</w:t>
      </w:r>
      <w:r>
        <w:rPr>
          <w:noProof/>
        </w:rPr>
        <w:t>jā piešķīruma pamatā ir jaunākie ikgadējie statistikas dati, kurus ieguvusi Komisija (</w:t>
      </w:r>
      <w:r>
        <w:rPr>
          <w:i/>
          <w:noProof/>
        </w:rPr>
        <w:t>Eurostat</w:t>
      </w:r>
      <w:r>
        <w:rPr>
          <w:noProof/>
        </w:rPr>
        <w:t>) un kuri aptver iepriekšējo kalendāro gadu. Attiecībā uz vidusposma pārskatīšanu atsauces dati ir jaunākie ikgadējie statistikas dati par iepriekšējo kalendāro g</w:t>
      </w:r>
      <w:r>
        <w:rPr>
          <w:noProof/>
        </w:rPr>
        <w:t>adu, kurus ieguvusi Komisija (</w:t>
      </w:r>
      <w:r>
        <w:rPr>
          <w:i/>
          <w:noProof/>
        </w:rPr>
        <w:t>Eurostat</w:t>
      </w:r>
      <w:r>
        <w:rPr>
          <w:noProof/>
        </w:rPr>
        <w:t>) un kuri ir pieejami vidusposma pārskatīšanas brīdī 2024. gadā.</w:t>
      </w: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  <w:u w:val="none"/>
        </w:rPr>
      </w:pPr>
      <w:r>
        <w:rPr>
          <w:noProof/>
        </w:rPr>
        <w:lastRenderedPageBreak/>
        <w:t>II PIELIKUMS</w:t>
      </w:r>
      <w:r>
        <w:rPr>
          <w:noProof/>
          <w:u w:val="none"/>
        </w:rPr>
        <w:br/>
      </w:r>
      <w:r>
        <w:rPr>
          <w:noProof/>
          <w:u w:val="none"/>
        </w:rPr>
        <w:br/>
        <w:t>Īstenošanas pasākumi</w:t>
      </w:r>
    </w:p>
    <w:p w:rsidR="002907C1" w:rsidRDefault="002907C1">
      <w:pPr>
        <w:rPr>
          <w:noProof/>
        </w:rPr>
      </w:pPr>
    </w:p>
    <w:p w:rsidR="002907C1" w:rsidRDefault="006C1C6A">
      <w:pPr>
        <w:rPr>
          <w:noProof/>
        </w:rPr>
      </w:pPr>
      <w:r>
        <w:rPr>
          <w:noProof/>
        </w:rPr>
        <w:t xml:space="preserve">Fonds sekmē 3. panta 2. punkta a) apakšpunktā paredzētā konkrētā mērķa sasniegšanu, pievēršoties šādiem īstenošanas </w:t>
      </w:r>
      <w:r>
        <w:rPr>
          <w:noProof/>
        </w:rPr>
        <w:t>pasākumiem:</w:t>
      </w:r>
    </w:p>
    <w:p w:rsidR="002907C1" w:rsidRDefault="006C1C6A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 xml:space="preserve">nodrošināt Savienības </w:t>
      </w:r>
      <w:r>
        <w:rPr>
          <w:i/>
          <w:noProof/>
        </w:rPr>
        <w:t>acquis</w:t>
      </w:r>
      <w:r>
        <w:rPr>
          <w:noProof/>
        </w:rPr>
        <w:t xml:space="preserve"> vienādu piemērošanu attiecībā uz informācijas apmaiņu drošības jomā (piemēram, ar Prīmes lēmumu, ES PDR un </w:t>
      </w:r>
      <w:r>
        <w:rPr>
          <w:i/>
          <w:noProof/>
        </w:rPr>
        <w:t>SIS II</w:t>
      </w:r>
      <w:r>
        <w:rPr>
          <w:noProof/>
        </w:rPr>
        <w:t xml:space="preserve"> palīdzību), tostarp īstenojot ieteikumus, kas ietverti kvalitātes kontroles un izvērtēšanas mehānismo</w:t>
      </w:r>
      <w:r>
        <w:rPr>
          <w:noProof/>
        </w:rPr>
        <w:t>s, piemēram, Šengenas izvērtēšanas mehānismā un citos kvalitātes kontroles un izvērtēšanas mehānismos;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izveidot, pielāgot un uzturēt Savienības IT sistēmas un komunikācijas tīklus drošības jomā (tostarp to sadarbspēju) un izstrādāt atbilstošus instrumentus</w:t>
      </w:r>
      <w:r>
        <w:rPr>
          <w:noProof/>
        </w:rPr>
        <w:t>, lai novērstu konstatētos trūkumus;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aktīvāk izmantot ar drošību saistītus Savienības informācijas apmaiņas instrumentus, sistēmas un datubāzes, nodrošinot to, ka tajos tiek ievadīti augstas kvalitātes dati;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atbalstīt attiecīgos valsts mēroga pasākumus, ja</w:t>
      </w:r>
      <w:r>
        <w:rPr>
          <w:noProof/>
        </w:rPr>
        <w:t xml:space="preserve"> tie ir būtiski 3. panta 2. punkta a) apakšpunktā paredzēto konkrēto mērķu īstenošanai.</w:t>
      </w:r>
    </w:p>
    <w:p w:rsidR="002907C1" w:rsidRDefault="006C1C6A">
      <w:pPr>
        <w:rPr>
          <w:noProof/>
        </w:rPr>
      </w:pPr>
      <w:r>
        <w:rPr>
          <w:noProof/>
        </w:rPr>
        <w:t>Fonds sekmē 3. panta 2. punkta b) apakšpunktā paredzētā konkrētā mērķa sasniegšanu, pievēršoties šādiem īstenošanas pasākumiem:</w:t>
      </w:r>
    </w:p>
    <w:p w:rsidR="002907C1" w:rsidRDefault="006C1C6A"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panākt, ka dalībvalstis ciešāk sadarboja</w:t>
      </w:r>
      <w:r>
        <w:rPr>
          <w:noProof/>
        </w:rPr>
        <w:t>s (tostarp vajadzības gadījumā ar citiem attiecīgiem dalībniekiem) tiesībaizsardzības operāciju veikšanā, jo īpaši ar nolūku sekmēt un uzlabot kopīgu izmeklēšanas vienību, kopīgu patruļu, tūlītējas pakaļdzīšanās, slepenas novērošanas un citu operatīvās sad</w:t>
      </w:r>
      <w:r>
        <w:rPr>
          <w:noProof/>
        </w:rPr>
        <w:t>arbības mehānismu izmantošanu ES politikas cikla (</w:t>
      </w:r>
      <w:r>
        <w:rPr>
          <w:i/>
          <w:noProof/>
        </w:rPr>
        <w:t>EMPACT</w:t>
      </w:r>
      <w:r>
        <w:rPr>
          <w:noProof/>
        </w:rPr>
        <w:t>) kontekstā, īpašu uzmanību veltot pārrobežu operācijām;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pastiprināt tiesībaizsardzības iestāžu un citu kompetento iestāžu koordināciju un sadarbību dalībvalstīs un starp tām, kā arī ar citiem attiecī</w:t>
      </w:r>
      <w:r>
        <w:rPr>
          <w:noProof/>
        </w:rPr>
        <w:t>giem dalībniekiem, izmantojot, piemēram, specializētu valsts līmeņa vienību tīklus, Savienības tīklus un sadarbības struktūras, kā arī Savienības centrus;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Savienības līmenī uzlabot aģentūru sadarbību starp dalībvalstīm vai uzlabot sadarbību starp dalībvals</w:t>
      </w:r>
      <w:r>
        <w:rPr>
          <w:noProof/>
        </w:rPr>
        <w:t>tīm, no vienas puses, un attiecīgām Savienības struktūrām, birojiem un aģentūrām, no otras puses, kā arī valstu līmenī uzlabot valsts iestāžu sadarbību katrā dalībvalstī.</w:t>
      </w:r>
    </w:p>
    <w:p w:rsidR="002907C1" w:rsidRDefault="006C1C6A">
      <w:pPr>
        <w:rPr>
          <w:noProof/>
        </w:rPr>
      </w:pPr>
      <w:r>
        <w:rPr>
          <w:noProof/>
        </w:rPr>
        <w:t xml:space="preserve">Fonds sekmē 3. panta 2. punkta c) apakšpunktā paredzētā konkrētā mērķa sasniegšanu, </w:t>
      </w:r>
      <w:r>
        <w:rPr>
          <w:noProof/>
        </w:rPr>
        <w:t>pievēršoties šādiem īstenošanas pasākumiem:</w:t>
      </w:r>
    </w:p>
    <w:p w:rsidR="002907C1" w:rsidRDefault="006C1C6A">
      <w:pPr>
        <w:pStyle w:val="Point1letter"/>
        <w:numPr>
          <w:ilvl w:val="3"/>
          <w:numId w:val="20"/>
        </w:numPr>
        <w:rPr>
          <w:noProof/>
        </w:rPr>
      </w:pPr>
      <w:r>
        <w:rPr>
          <w:noProof/>
        </w:rPr>
        <w:t>tiesībaizsardzības jomā pastiprināt apmācību, atbilstošus vingrinājumus, savstarpēju mācīšanos, specializētas apmaiņas programmas un paraugprakses apmaiņu, tostarp trešās valstīs un ar tām, kā arī ar citiem attie</w:t>
      </w:r>
      <w:r>
        <w:rPr>
          <w:noProof/>
        </w:rPr>
        <w:t>cīgiem dalībniekiem;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izmantot sinerģiju, apvienojot dalībvalstu un citu attiecīgo dalībnieku (tostarp pilsoniskās sabiedrības) resursus un zināšanas, piemēram, dibinot kopīgus izcilības centrus, izstrādājot kopīgus riska novērtējumus vai izveidojot kopīgus</w:t>
      </w:r>
      <w:r>
        <w:rPr>
          <w:noProof/>
        </w:rPr>
        <w:t xml:space="preserve"> operatīvā atbalsta centrus kopīgo operāciju veikšanai;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lastRenderedPageBreak/>
        <w:t>sekmēt un izstrādāt pasākumus, aizsardzības līdzekļus, mehānismus un paraugpraksi, lai jau agrīnā posmā apzinātu, aizsargātu un atbalstītu lieciniekus, trauksmes cēlējus un noziegumu upurus, un šajā n</w:t>
      </w:r>
      <w:r>
        <w:rPr>
          <w:noProof/>
        </w:rPr>
        <w:t>olūkā veidot partnerības starp publiskām iestādēm un citiem attiecīgiem dalībniekiem;</w:t>
      </w:r>
    </w:p>
    <w:p w:rsidR="002907C1" w:rsidRDefault="006C1C6A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iegādāties attiecīgo aprīkojumu un izveidot vai modernizēt specializētas apmācības iestādes un citu būtisku, ar drošības jomu saistītu infrastruktūru, lai palielinātu sag</w:t>
      </w:r>
      <w:r>
        <w:rPr>
          <w:noProof/>
        </w:rPr>
        <w:t>atavotību, izturētspēju un sabiedrības izpratni un pienācīgi reaģētu uz drošības apdraudējumiem.</w:t>
      </w:r>
    </w:p>
    <w:p w:rsidR="002907C1" w:rsidRDefault="006C1C6A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  <w:u w:val="none"/>
        </w:rPr>
      </w:pPr>
      <w:r>
        <w:rPr>
          <w:noProof/>
        </w:rPr>
        <w:t>III PIELIKUMS</w:t>
      </w:r>
      <w:r>
        <w:rPr>
          <w:noProof/>
          <w:u w:val="none"/>
        </w:rPr>
        <w:br/>
      </w:r>
      <w:r>
        <w:rPr>
          <w:noProof/>
          <w:u w:val="none"/>
        </w:rPr>
        <w:br/>
        <w:t>Fonda atbalstāmās darbības saskaņā ar 4. pantu</w:t>
      </w:r>
    </w:p>
    <w:p w:rsidR="002907C1" w:rsidRDefault="002907C1">
      <w:pPr>
        <w:spacing w:before="0" w:after="200" w:line="276" w:lineRule="auto"/>
        <w:jc w:val="left"/>
        <w:rPr>
          <w:b/>
          <w:noProof/>
          <w:u w:val="single"/>
        </w:rPr>
      </w:pPr>
    </w:p>
    <w:p w:rsidR="002907C1" w:rsidRDefault="006C1C6A">
      <w:pPr>
        <w:pStyle w:val="Bullet0"/>
        <w:numPr>
          <w:ilvl w:val="0"/>
          <w:numId w:val="16"/>
        </w:numPr>
        <w:rPr>
          <w:noProof/>
        </w:rPr>
      </w:pPr>
      <w:r>
        <w:rPr>
          <w:noProof/>
        </w:rPr>
        <w:t>IT sistēmas un tīkli, kas sekmē šīs regulas mērķu sasniegšanu, apmācība šādu sistēmu izmantoša</w:t>
      </w:r>
      <w:r>
        <w:rPr>
          <w:noProof/>
        </w:rPr>
        <w:t>nai un šādu sistēmu sadarbspējas un datu kvalitātes testēšana un uzlabošana;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Savienības tiesību aktu un Savienības politikas mērķu īstenošanas uzraudzība dalībvalstīs drošības informācijas sistēmu jomā;</w:t>
      </w:r>
    </w:p>
    <w:p w:rsidR="002907C1" w:rsidRDefault="006C1C6A">
      <w:pPr>
        <w:pStyle w:val="Bullet0"/>
        <w:rPr>
          <w:noProof/>
        </w:rPr>
      </w:pPr>
      <w:r>
        <w:rPr>
          <w:i/>
          <w:noProof/>
        </w:rPr>
        <w:t>EMPACT</w:t>
      </w:r>
      <w:r>
        <w:rPr>
          <w:noProof/>
        </w:rPr>
        <w:t xml:space="preserve"> darbības, ar kurām īsteno ES politikas ciklu v</w:t>
      </w:r>
      <w:r>
        <w:rPr>
          <w:noProof/>
        </w:rPr>
        <w:t>ai atvieglo tā īstenošanu;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darbības, ar kurām atbalsta efektīvu un koordinētu reakciju uz krīzi, sasaistot esošās, nozarei raksturīgās spējas, zināšanu centrus un situācijas apzināšanās centrus, tostarp veselības, civilās aizsardzības un terorisma jomā;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da</w:t>
      </w:r>
      <w:r>
        <w:rPr>
          <w:noProof/>
        </w:rPr>
        <w:t>rbības, ar kurām izstrādā inovatīvas metodes vai ievieš jaunas tehnoloģijas, ko, iespējams, var nodot citām dalībvalstīm, jo īpaši projekti, kuru mērķis ir testēt un validēt Savienības finansētu pētniecības projektu rezultātus drošības jomā;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 xml:space="preserve">atbalsts </w:t>
      </w:r>
      <w:r>
        <w:rPr>
          <w:noProof/>
        </w:rPr>
        <w:t>specializētu valsts līmeņa vienību tematiskiem vai transversāliem tīkliem ar nolūku vairot savstarpējo uzticēšanos un uzlabot zināšanu, informācijas, pieredzes un paraugprakses apmaiņu un izplatīšanu, kopīgos izcilības centros apvienojot resursus un zinātī</w:t>
      </w:r>
      <w:r>
        <w:rPr>
          <w:noProof/>
        </w:rPr>
        <w:t>bu;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attiecīgo tiesībaizsardzības un tiesu iestāžu un administratīvo aģentūru darbinieku un ekspertu izglītība un apmācība, ņemot vērā operatīvās vajadzības un riska analīzi, kuru pamatā ir Eiropas Tiesībaizsardzības apmācības shēma (</w:t>
      </w:r>
      <w:r>
        <w:rPr>
          <w:i/>
          <w:noProof/>
        </w:rPr>
        <w:t>LETS</w:t>
      </w:r>
      <w:r>
        <w:rPr>
          <w:noProof/>
        </w:rPr>
        <w:t>), un sadarbojoties</w:t>
      </w:r>
      <w:r>
        <w:rPr>
          <w:noProof/>
        </w:rPr>
        <w:t xml:space="preserve"> ar Eiropas Savienības Tiesībaizsardzības apmācības aģentūru (</w:t>
      </w:r>
      <w:r>
        <w:rPr>
          <w:i/>
          <w:noProof/>
        </w:rPr>
        <w:t>CEPOL</w:t>
      </w:r>
      <w:r>
        <w:rPr>
          <w:noProof/>
        </w:rPr>
        <w:t>) un – vajadzības gadījumā – Eiropas Tiesiskās apmācības tīklu;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sadarbība ar privāto sektoru, lai vairotu uzticēšanos un uzlabotu koordināciju, situatīvo plānošanu un informācijas un paraug</w:t>
      </w:r>
      <w:r>
        <w:rPr>
          <w:noProof/>
        </w:rPr>
        <w:t>prakses apmaiņu un izplatīšanu sabiedrībā un privātajā sektorā, tostarp attiecībā uz sabiedrisko vietu un kritiskās infrastruktūras aizsardzību;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darbības, kas dod kopienām iespējas izstrādāt vietēja mēroga pieeju un novēršanas politiku, kā arī pasākumi iei</w:t>
      </w:r>
      <w:r>
        <w:rPr>
          <w:noProof/>
        </w:rPr>
        <w:t>nteresēto personu un plašas sabiedrības izpratnes veicināšanai un informēšanai par Savienības politiku drošības jomā;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aprīkojums, transportlīdzekļi, sakaru sistēmas un svarīgi, ar drošību saistīti objekti;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tā personāla izmaksas, kas iesaistīts fonda atbals</w:t>
      </w:r>
      <w:r>
        <w:rPr>
          <w:noProof/>
        </w:rPr>
        <w:t>tītajās darbībās vai darbībās, kuru veikšanai tehnisku vai ar drošību saistītu iemeslu dēļ ir vajadzīgs personāls.</w:t>
      </w:r>
    </w:p>
    <w:p w:rsidR="002907C1" w:rsidRDefault="006C1C6A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  <w:u w:val="none"/>
        </w:rPr>
      </w:pPr>
      <w:r>
        <w:rPr>
          <w:noProof/>
        </w:rPr>
        <w:t>IV PIELIKUMS</w:t>
      </w:r>
      <w:r>
        <w:rPr>
          <w:noProof/>
          <w:u w:val="none"/>
        </w:rPr>
        <w:br/>
      </w:r>
      <w:r>
        <w:rPr>
          <w:noProof/>
          <w:u w:val="none"/>
        </w:rPr>
        <w:br/>
        <w:t>Darbības, kas tiesīgas saņemt lielāku līdzfinansējumu saskaņā ar 11. panta 2. punktu un 12. panta 6. punktu</w:t>
      </w:r>
    </w:p>
    <w:p w:rsidR="002907C1" w:rsidRDefault="002907C1">
      <w:pPr>
        <w:pStyle w:val="ListParagraph"/>
        <w:spacing w:after="120" w:line="240" w:lineRule="auto"/>
        <w:ind w:right="0"/>
        <w:contextualSpacing w:val="0"/>
        <w:rPr>
          <w:noProof/>
        </w:rPr>
      </w:pPr>
    </w:p>
    <w:p w:rsidR="002907C1" w:rsidRDefault="006C1C6A"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>Projekti, kuru m</w:t>
      </w:r>
      <w:r>
        <w:rPr>
          <w:noProof/>
        </w:rPr>
        <w:t>ērķis ir novērst radikalizāciju un cīnīties pret to.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Projekti, kuru mērķis ir uzlabot IT sistēmu un komunikāciju tīklu sadarbspēju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 w:rsidR="002907C1" w:rsidRDefault="006C1C6A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</w:rPr>
      </w:pPr>
      <w:r>
        <w:rPr>
          <w:noProof/>
        </w:rPr>
        <w:t>V PIELIKUMS</w:t>
      </w:r>
      <w:r>
        <w:rPr>
          <w:noProof/>
          <w:u w:val="none"/>
        </w:rPr>
        <w:br/>
      </w:r>
      <w:r>
        <w:rPr>
          <w:noProof/>
        </w:rPr>
        <w:br/>
      </w:r>
      <w:r>
        <w:rPr>
          <w:noProof/>
          <w:u w:val="none"/>
        </w:rPr>
        <w:t>Regulas 24. panta 1. punktā minētie galvenie snieguma rādītāji</w:t>
      </w:r>
    </w:p>
    <w:p w:rsidR="002907C1" w:rsidRDefault="002907C1">
      <w:pPr>
        <w:rPr>
          <w:b/>
          <w:noProof/>
        </w:rPr>
      </w:pP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1 – </w:t>
      </w:r>
      <w:r>
        <w:rPr>
          <w:noProof/>
        </w:rPr>
        <w:tab/>
      </w:r>
      <w:r>
        <w:rPr>
          <w:b/>
          <w:noProof/>
        </w:rPr>
        <w:t>labāka informācij</w:t>
      </w:r>
      <w:r>
        <w:rPr>
          <w:b/>
          <w:noProof/>
        </w:rPr>
        <w:t>as apmaiņa</w:t>
      </w:r>
    </w:p>
    <w:p w:rsidR="002907C1" w:rsidRDefault="006C1C6A"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ES informācijas apmaiņas mehānismu izmantošana.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Eiropols, </w:t>
      </w:r>
      <w:r>
        <w:rPr>
          <w:noProof/>
        </w:rPr>
        <w:t>EU-LISA</w:t>
      </w:r>
      <w:r>
        <w:rPr>
          <w:i/>
          <w:noProof/>
        </w:rPr>
        <w:t>, Padome, dalībvalstis</w:t>
      </w:r>
    </w:p>
    <w:p w:rsidR="002907C1" w:rsidRDefault="002907C1">
      <w:pPr>
        <w:rPr>
          <w:noProof/>
        </w:rPr>
      </w:pP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2 – </w:t>
      </w:r>
      <w:r>
        <w:rPr>
          <w:noProof/>
        </w:rPr>
        <w:tab/>
      </w:r>
      <w:r>
        <w:rPr>
          <w:b/>
          <w:noProof/>
        </w:rPr>
        <w:t>uzlabota operatīvā sadarbība</w:t>
      </w:r>
    </w:p>
    <w:p w:rsidR="002907C1" w:rsidRDefault="006C1C6A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Fonda atbalstīto kopīgo operatīvo darbību skaits.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Eiropols, </w:t>
      </w:r>
      <w:r>
        <w:rPr>
          <w:noProof/>
        </w:rPr>
        <w:t>Eurojust</w:t>
      </w:r>
      <w:r>
        <w:rPr>
          <w:i/>
          <w:noProof/>
        </w:rPr>
        <w:t xml:space="preserve">, </w:t>
      </w:r>
      <w:r>
        <w:rPr>
          <w:i/>
          <w:noProof/>
        </w:rPr>
        <w:t>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 xml:space="preserve">To aktīvu lēstā vērtība, kuri ar fonda palīdzību tika iesaldēti vai konfiscēti.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 xml:space="preserve">To nelikumīgo narkotisko vielu vērtība, kuras tika konfiscētas, pateicoties tiesībaizsardzības iestāžu pārrobežu sadarbībai.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</w:t>
      </w:r>
      <w:r>
        <w:rPr>
          <w:i/>
          <w:noProof/>
        </w:rPr>
        <w:t xml:space="preserve"> dalībvalstis, ar konkrētām darbībām saistīto Savienības dotāciju saņēmēji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Šengenas izvērtēšanas ietvaros izteikto ieteikumu skaits, kuriem bija finansiāla ietekme drošības jomā un kuri tika īstenoti ar fonda atbalstu, – salīdzinājumā ar ieteikumu, kuri</w:t>
      </w:r>
      <w:r>
        <w:rPr>
          <w:noProof/>
        </w:rPr>
        <w:t xml:space="preserve">em bija finansiāla ietekme drošības jomā, kopējo skaitu.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2907C1">
      <w:pPr>
        <w:rPr>
          <w:b/>
          <w:noProof/>
        </w:rPr>
      </w:pP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3 – </w:t>
      </w:r>
      <w:r>
        <w:rPr>
          <w:noProof/>
        </w:rPr>
        <w:tab/>
      </w:r>
      <w:r>
        <w:rPr>
          <w:b/>
          <w:noProof/>
        </w:rPr>
        <w:t>uzlabotas noziedzības apkarošanas un novēršanas spējas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tiesībaizsardzības amatpersonu skaits, kuras pabeidza ar fonda atbalstu nodrošinātu apm</w:t>
      </w:r>
      <w:r>
        <w:rPr>
          <w:noProof/>
        </w:rPr>
        <w:t>ācību, vingrinājumus, savstarpēju mācīšanos vai specializētas apmaiņas programmas par tematiem, kas saistīti ar pārrobežu aspektiem.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Tās kritiskās infrastruktūras un sabiedrisko vietu skaits, kuru aizsardzība pret drošības negadīju</w:t>
      </w:r>
      <w:r>
        <w:rPr>
          <w:noProof/>
        </w:rPr>
        <w:t>miem ir uzlabota ar fonda palīdzību.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iniciatīvu skaits, kuru mērķis ir nepieļaut radikalizāciju, kas izraisa vardarbīgu ekstrēmismu.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Radikalizācijas izpratnes tīkls (</w:t>
      </w:r>
      <w:r>
        <w:rPr>
          <w:noProof/>
        </w:rPr>
        <w:t>RAN</w:t>
      </w:r>
      <w:r>
        <w:rPr>
          <w:i/>
          <w:noProof/>
        </w:rPr>
        <w:t>)</w:t>
      </w:r>
    </w:p>
    <w:p w:rsidR="002907C1" w:rsidRDefault="006C1C6A">
      <w:pPr>
        <w:spacing w:before="0" w:after="200" w:line="276" w:lineRule="auto"/>
        <w:jc w:val="left"/>
        <w:rPr>
          <w:noProof/>
          <w:u w:val="single"/>
        </w:rPr>
      </w:pPr>
      <w:r>
        <w:rPr>
          <w:noProof/>
        </w:rPr>
        <w:br w:type="page"/>
      </w:r>
    </w:p>
    <w:p w:rsidR="002907C1" w:rsidRDefault="002907C1">
      <w:pPr>
        <w:rPr>
          <w:noProof/>
          <w:u w:val="single"/>
        </w:rPr>
      </w:pPr>
    </w:p>
    <w:p w:rsidR="002907C1" w:rsidRDefault="006C1C6A">
      <w:pPr>
        <w:pStyle w:val="Annexetitre"/>
        <w:rPr>
          <w:noProof/>
          <w:u w:val="none"/>
        </w:rPr>
      </w:pPr>
      <w:r>
        <w:rPr>
          <w:noProof/>
        </w:rPr>
        <w:t>VI PIELIKUMS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Darbību veidi </w:t>
      </w:r>
    </w:p>
    <w:p w:rsidR="002907C1" w:rsidRDefault="006C1C6A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1. TABULA. KO</w:t>
      </w:r>
      <w:r>
        <w:rPr>
          <w:b/>
          <w:noProof/>
          <w:color w:val="000000"/>
        </w:rPr>
        <w:t>DI, KAS ATTIECAS UZ DARBĪBU JOMAS DIMENSIJU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588"/>
        <w:gridCol w:w="7920"/>
      </w:tblGrid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Teroristu finansēšanas apkarošana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Radikalizācijas novēršana un apkarošana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Sabiedrisko vietu un citu viegli pieejamu mērķu aizsardzība un izturētspēja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TER – Kritiskās infrastruktūras </w:t>
            </w:r>
            <w:r>
              <w:rPr>
                <w:noProof/>
                <w:color w:val="000000"/>
              </w:rPr>
              <w:t>aizsardzība un izturētspēja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Ķīmiskās, bioloģiskās, radioaktīvās un kodolenerģijas vielas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Sprāgstvielas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Krīžu pārvarēšana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 – Citi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Korupcija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OC – Ekonomikas un finanšu noziegumi 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Narkotiskās vielas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</w:t>
            </w:r>
            <w:r>
              <w:rPr>
                <w:noProof/>
                <w:color w:val="000000"/>
              </w:rPr>
              <w:t xml:space="preserve"> – Nelikumīga šaujamieroču tirdzniecība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Cilvēku tirdzniecība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Migrantu kontrabanda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Noziegumi pret vidi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Organizētā noziedzība īpašuma jomā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 – Citi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Kibernoziedzība – Citi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Kibernoziedzība – Novēršana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Kibernoziedzība – Izmeklēšanas atvieglošana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Kibernoziedzība – Palīdzība cietušajiem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Bērnu seksuāla izmantošana – Novēršana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Bērnu seksuāla izmantošana – Izmeklēšanas atvieglošana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CC – Bērnu seksuāla izmantošana – </w:t>
            </w:r>
            <w:r>
              <w:rPr>
                <w:noProof/>
                <w:color w:val="000000"/>
              </w:rPr>
              <w:t>Palīdzība cietušajiem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Bērnu seksuāla izmantošana – Citi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 – Citi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 –Informācijas apmaiņa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GEN – Policijas vai citu iestāžu sadarbība (muita, robežsardze, izlūkošanas dienesti) 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 –Tiesu ekspertīze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 – Cietušo atbalsts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 – Darbības atbalsts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 – Tehniskā palīdzība</w:t>
            </w:r>
            <w:r>
              <w:rPr>
                <w:noProof/>
              </w:rPr>
              <w:t xml:space="preserve"> – </w:t>
            </w:r>
            <w:r>
              <w:rPr>
                <w:noProof/>
                <w:sz w:val="20"/>
              </w:rPr>
              <w:t>Informācija un komunikācija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 – Tehniskā palīdzība</w:t>
            </w:r>
            <w:r>
              <w:rPr>
                <w:noProof/>
              </w:rPr>
              <w:t xml:space="preserve"> – </w:t>
            </w:r>
            <w:r>
              <w:rPr>
                <w:noProof/>
                <w:sz w:val="20"/>
              </w:rPr>
              <w:t>Sagatavošana, īstenošana, uzraudzība un kontrole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 – Tehniskā palīdzība</w:t>
            </w:r>
            <w:r>
              <w:rPr>
                <w:noProof/>
              </w:rPr>
              <w:t xml:space="preserve"> – </w:t>
            </w:r>
            <w:r>
              <w:rPr>
                <w:noProof/>
                <w:sz w:val="20"/>
              </w:rPr>
              <w:t>Izvērtēšana un pētījumi, datu vākšana</w:t>
            </w:r>
          </w:p>
        </w:tc>
      </w:tr>
      <w:tr w:rsidR="002907C1">
        <w:tc>
          <w:tcPr>
            <w:tcW w:w="588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7920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TA – Tehniskā </w:t>
            </w:r>
            <w:r>
              <w:rPr>
                <w:noProof/>
              </w:rPr>
              <w:t>palīdzība – Spēju veidošana</w:t>
            </w:r>
          </w:p>
        </w:tc>
      </w:tr>
    </w:tbl>
    <w:p w:rsidR="002907C1" w:rsidRDefault="006C1C6A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2. TABULA. KODI, KAS ATTIECAS UZ DARBĪBU VEIDU DIMENSIJU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IT sistēmas, sadarbspēja, datu kvalitāte, sakaru sistēmas (izņemot aprīkojumu)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Tīkli, izcilības centri, sadarbības struktūras, kopīgas darbības un operācijas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Kopējas izmeklēšanas grupas (KIG) vai citas kopīgas operācijas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Ekspertu norīkošana vai nosūtīšana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Apmācība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Paraugprakses, semināru, konferenču, sarīkojumu, izpratnes veidošanas kampaņu, komunikācijas pasākumu apmaiņa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Pētījumi, izmēģinājuma proj</w:t>
            </w:r>
            <w:r>
              <w:rPr>
                <w:noProof/>
                <w:color w:val="000000"/>
              </w:rPr>
              <w:t>ekti, riska novērtējumi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Aprīkojums (ietverts 15 % robežvērtības aprēķinā)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Transportlīdzekļi (ietverti 15 % robežvērtības aprēķinā)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Ēkas, objekti (ietverti 15 % robežvērtības aprēķinā)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Pētniecības projektu īstenošana vai citi turpmākie </w:t>
            </w:r>
            <w:r>
              <w:rPr>
                <w:noProof/>
                <w:color w:val="000000"/>
              </w:rPr>
              <w:t>pasākumi</w:t>
            </w:r>
          </w:p>
        </w:tc>
      </w:tr>
    </w:tbl>
    <w:p w:rsidR="002907C1" w:rsidRDefault="006C1C6A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3. TABULA. KODI, KAS ATTIECAS UZ ĪSTENOŠANAS KĀRTĪBAS DIMENSIJU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Sadarbība ar trešām valstīm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Darbības trešās valstīs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Šengenas izvērtēšanas ieteikumu īstenošana policijas sadarbības jomā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Konkrētas darbības (nav zināmas plānošanas posmā)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Ārkārtas palīdzība (nav zināma plānošanas posmā)</w:t>
            </w:r>
          </w:p>
        </w:tc>
      </w:tr>
      <w:tr w:rsidR="002907C1">
        <w:tc>
          <w:tcPr>
            <w:tcW w:w="696" w:type="dxa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2907C1" w:rsidRDefault="006C1C6A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IV pielikumā uzskaitītās darbības</w:t>
            </w:r>
          </w:p>
        </w:tc>
      </w:tr>
    </w:tbl>
    <w:p w:rsidR="002907C1" w:rsidRDefault="006C1C6A">
      <w:pPr>
        <w:rPr>
          <w:noProof/>
          <w:u w:val="single"/>
        </w:rPr>
      </w:pP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  <w:u w:val="none"/>
        </w:rPr>
      </w:pPr>
      <w:r>
        <w:rPr>
          <w:noProof/>
        </w:rPr>
        <w:t>VII PIELIKUMS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Darbības, kas tiesīgas saņemt darbības atbalstu</w:t>
      </w:r>
    </w:p>
    <w:p w:rsidR="002907C1" w:rsidRDefault="002907C1">
      <w:pPr>
        <w:rPr>
          <w:noProof/>
        </w:rPr>
      </w:pPr>
    </w:p>
    <w:p w:rsidR="002907C1" w:rsidRDefault="006C1C6A">
      <w:pPr>
        <w:rPr>
          <w:noProof/>
        </w:rPr>
      </w:pPr>
      <w:r>
        <w:rPr>
          <w:noProof/>
        </w:rPr>
        <w:t>Saistībā ar konkrēto mērķi „</w:t>
      </w:r>
      <w:r>
        <w:rPr>
          <w:i/>
          <w:noProof/>
        </w:rPr>
        <w:t>Labāka informācijas apmaiņa</w:t>
      </w:r>
      <w:r>
        <w:rPr>
          <w:noProof/>
        </w:rPr>
        <w:t>” ar darbības atbalstu programmu ietvaros sed</w:t>
      </w:r>
      <w:r>
        <w:rPr>
          <w:noProof/>
        </w:rPr>
        <w:t>z: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 xml:space="preserve">to Savienības un – attiecīgā gadījumā – valsts IT sistēmu uzturēšanu un palīdzības dienesta atbalstu, kuras sekmē šīs regulas mērķu sasniegšanu; </w:t>
      </w:r>
    </w:p>
    <w:p w:rsidR="002907C1" w:rsidRDefault="006C1C6A">
      <w:pPr>
        <w:pStyle w:val="Bullet0"/>
        <w:rPr>
          <w:b/>
          <w:noProof/>
        </w:rPr>
      </w:pPr>
      <w:r>
        <w:rPr>
          <w:noProof/>
        </w:rPr>
        <w:t>tā personāla izmaksas, kas sekmē šīs regulas mērķu sasniegšanu.</w:t>
      </w:r>
    </w:p>
    <w:p w:rsidR="002907C1" w:rsidRDefault="006C1C6A">
      <w:pPr>
        <w:rPr>
          <w:noProof/>
        </w:rPr>
      </w:pPr>
      <w:r>
        <w:rPr>
          <w:noProof/>
        </w:rPr>
        <w:t>Saistībā ar konkrēto mērķi „</w:t>
      </w:r>
      <w:r>
        <w:rPr>
          <w:i/>
          <w:noProof/>
        </w:rPr>
        <w:t>Uzlabota operat</w:t>
      </w:r>
      <w:r>
        <w:rPr>
          <w:i/>
          <w:noProof/>
        </w:rPr>
        <w:t>īvā sadarbība</w:t>
      </w:r>
      <w:r>
        <w:rPr>
          <w:noProof/>
        </w:rPr>
        <w:t>” ar darbības atbalstu valsts programmu ietvaros sedz: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 xml:space="preserve">tāda tehniskā aprīkojuma vai transportlīdzekļu uzturēšanu, ko izmanto darbībām, lai novērstu, atklātu un izmeklētu smagus noziegumus un organizēto noziedzību ar pārrobežu dimensiju; 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tā pe</w:t>
      </w:r>
      <w:r>
        <w:rPr>
          <w:noProof/>
        </w:rPr>
        <w:t>rsonāla izmaksas, kas sekmē šīs regulas mērķu sasniegšanu.</w:t>
      </w:r>
    </w:p>
    <w:p w:rsidR="002907C1" w:rsidRDefault="006C1C6A">
      <w:pPr>
        <w:rPr>
          <w:noProof/>
        </w:rPr>
      </w:pPr>
      <w:r>
        <w:rPr>
          <w:noProof/>
        </w:rPr>
        <w:t>Saistībā ar konkrēto mērķi „</w:t>
      </w:r>
      <w:r>
        <w:rPr>
          <w:i/>
          <w:noProof/>
        </w:rPr>
        <w:t>Uzlabotas noziedzības apkarošanas un novēršanas spējas</w:t>
      </w:r>
      <w:r>
        <w:rPr>
          <w:noProof/>
        </w:rPr>
        <w:t>” ar darbības atbalstu valsts programmu ietvaros sedz: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tāda tehniskā aprīkojuma vai transportlīdzekļu uzturēšanu, k</w:t>
      </w:r>
      <w:r>
        <w:rPr>
          <w:noProof/>
        </w:rPr>
        <w:t>o izmanto darbībām, lai novērstu, atklātu un izmeklētu smagus noziegumus un organizēto noziedzību ar pārrobežu dimensiju;</w:t>
      </w:r>
    </w:p>
    <w:p w:rsidR="002907C1" w:rsidRDefault="006C1C6A">
      <w:pPr>
        <w:pStyle w:val="Bullet0"/>
        <w:rPr>
          <w:noProof/>
        </w:rPr>
      </w:pPr>
      <w:r>
        <w:rPr>
          <w:noProof/>
        </w:rPr>
        <w:t>tā personāla izmaksas, kas sekmē šīs regulas mērķu sasniegšanu.</w:t>
      </w:r>
    </w:p>
    <w:p w:rsidR="002907C1" w:rsidRDefault="006C1C6A">
      <w:pPr>
        <w:rPr>
          <w:noProof/>
        </w:rPr>
      </w:pPr>
      <w:r>
        <w:rPr>
          <w:noProof/>
        </w:rPr>
        <w:t>Darbībām, kas nav atbalsttiesīgas saskaņā ar 4. panta 3. punktu, finan</w:t>
      </w:r>
      <w:r>
        <w:rPr>
          <w:noProof/>
        </w:rPr>
        <w:t>sējumu nepiešķir.</w:t>
      </w:r>
    </w:p>
    <w:p w:rsidR="002907C1" w:rsidRDefault="006C1C6A">
      <w:pPr>
        <w:rPr>
          <w:noProof/>
        </w:rPr>
      </w:pPr>
      <w:r>
        <w:rPr>
          <w:noProof/>
        </w:rPr>
        <w:br w:type="page"/>
      </w:r>
    </w:p>
    <w:p w:rsidR="002907C1" w:rsidRDefault="006C1C6A">
      <w:pPr>
        <w:pStyle w:val="Annexetitre"/>
        <w:rPr>
          <w:noProof/>
        </w:rPr>
      </w:pPr>
      <w:r>
        <w:rPr>
          <w:noProof/>
        </w:rPr>
        <w:t>VIII PIELIKUMS</w:t>
      </w:r>
      <w:r>
        <w:rPr>
          <w:noProof/>
          <w:u w:val="none"/>
        </w:rPr>
        <w:br/>
      </w:r>
      <w:r>
        <w:rPr>
          <w:noProof/>
          <w:u w:val="none"/>
        </w:rPr>
        <w:br/>
        <w:t>Regulas 24. panta 3. punktā minētie iznākumu un rezultātu rādītāji</w:t>
      </w:r>
    </w:p>
    <w:p w:rsidR="002907C1" w:rsidRDefault="002907C1">
      <w:pPr>
        <w:rPr>
          <w:b/>
          <w:noProof/>
        </w:rPr>
      </w:pP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1 – </w:t>
      </w:r>
      <w:r>
        <w:rPr>
          <w:noProof/>
        </w:rPr>
        <w:tab/>
      </w:r>
      <w:r>
        <w:rPr>
          <w:b/>
          <w:noProof/>
        </w:rPr>
        <w:t>labāka informācijas apmaiņa</w:t>
      </w:r>
    </w:p>
    <w:p w:rsidR="002907C1" w:rsidRDefault="006C1C6A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ES informācijas apmaiņas mehānismu izmantošana, ko mēra uz šādu rādītāju pamata: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 xml:space="preserve">Šengenas </w:t>
      </w:r>
      <w:r>
        <w:rPr>
          <w:noProof/>
        </w:rPr>
        <w:t>Informācijas sistēmā (</w:t>
      </w:r>
      <w:r>
        <w:rPr>
          <w:i/>
          <w:noProof/>
        </w:rPr>
        <w:t>SIS</w:t>
      </w:r>
      <w:r>
        <w:rPr>
          <w:noProof/>
        </w:rPr>
        <w:t>) veikto vaicājumu skaits;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to vaicājumu skaits, kuri veikti sistēmā tiesu ekspertīzes datu (DNS datu, pirkstu nospiedumu datu, transportlīdzekļu numuru zīmju) transnacionālai apmaiņai starp dalībvalstīm (Prīmes automatizētā datu ap</w:t>
      </w:r>
      <w:r>
        <w:rPr>
          <w:noProof/>
        </w:rPr>
        <w:t>maiņas sistēma);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to ziņojumu skaits, kuri nosūtīti, izmantojot Eiropola drošas informācijas apmaiņas tīkla lietojumprogrammu (</w:t>
      </w:r>
      <w:r>
        <w:rPr>
          <w:i/>
          <w:noProof/>
        </w:rPr>
        <w:t>SIENA</w:t>
      </w:r>
      <w:r>
        <w:rPr>
          <w:noProof/>
        </w:rPr>
        <w:t>);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Eiropola informācijas sistēmā (EIS) veikto vaicājumu skaits;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kopējais to pasažieru skaits, par kuriem ir savākti un apmain</w:t>
      </w:r>
      <w:r>
        <w:rPr>
          <w:noProof/>
        </w:rPr>
        <w:t>īti ES Pasažieru datu reģistra (PDR) dati.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Eiropols, </w:t>
      </w:r>
      <w:r>
        <w:rPr>
          <w:noProof/>
        </w:rPr>
        <w:t>EU-LISA</w:t>
      </w:r>
      <w:r>
        <w:rPr>
          <w:i/>
          <w:noProof/>
        </w:rPr>
        <w:t>, Padome,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jauno pieslēgumu skaits, kuri ar fonda atbalstu ir izveidoti ar drošības jomu skarošajām datubāzēm:</w:t>
      </w:r>
    </w:p>
    <w:p w:rsidR="002907C1" w:rsidRDefault="006C1C6A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ar ES un – attiecīgā gadījumā – starptautiskajām </w:t>
      </w:r>
      <w:r>
        <w:rPr>
          <w:noProof/>
        </w:rPr>
        <w:t>datubāzēm;</w:t>
      </w:r>
    </w:p>
    <w:p w:rsidR="002907C1" w:rsidRDefault="006C1C6A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dalībvalsts teritorijā;</w:t>
      </w:r>
    </w:p>
    <w:p w:rsidR="002907C1" w:rsidRDefault="006C1C6A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ar vienu vai vairākām citām dalībvalstīm;</w:t>
      </w:r>
    </w:p>
    <w:p w:rsidR="002907C1" w:rsidRDefault="006C1C6A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ar vienu vai vairākām trešām valstīm.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To ar fonda atbalstu pievienoto, aktīvo lietotāju skaits, kuri izmanto ES un – attiecīgā gadījumā – valsts mēroga in</w:t>
      </w:r>
      <w:r>
        <w:rPr>
          <w:noProof/>
        </w:rPr>
        <w:t>formācijas apmaiņas instrumentus, sistēmas un datubāzes drošības jomā, – salīdzinājumā ar lietotāju kopējo skaitu.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2 – </w:t>
      </w:r>
      <w:r>
        <w:rPr>
          <w:noProof/>
        </w:rPr>
        <w:tab/>
      </w:r>
      <w:r>
        <w:rPr>
          <w:b/>
          <w:noProof/>
        </w:rPr>
        <w:t>uzlabota operatīvā sadarbība</w:t>
      </w:r>
    </w:p>
    <w:p w:rsidR="002907C1" w:rsidRDefault="006C1C6A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Fonda atbalstīto kopīgo operatīvo darbību skaits, tostarp no</w:t>
      </w:r>
      <w:r>
        <w:rPr>
          <w:noProof/>
        </w:rPr>
        <w:t>rādot iesaistītās dalībvalstis un iestādes un dalījumā pa jomām (terorisma apkarošana, organizētā noziedzība (vispārīgi), organizētā noziedzība (šaujamieroči), kibernoziedzība, cita):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kopēju izmeklēšanas grupu (KIG) skaits;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to operatīvo projektu skaits, ku</w:t>
      </w:r>
      <w:r>
        <w:rPr>
          <w:noProof/>
        </w:rPr>
        <w:t>ri īstenoti Eiropas daudznozaru platformā pret noziedzības draudiem (</w:t>
      </w:r>
      <w:r>
        <w:rPr>
          <w:i/>
          <w:noProof/>
        </w:rPr>
        <w:t>EMPACT</w:t>
      </w:r>
      <w:r>
        <w:rPr>
          <w:noProof/>
        </w:rPr>
        <w:t>);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citas kopīgas operatīvās darbības.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Eiropols, </w:t>
      </w:r>
      <w:r>
        <w:rPr>
          <w:noProof/>
        </w:rPr>
        <w:t>Eurojust</w:t>
      </w:r>
      <w:r>
        <w:rPr>
          <w:i/>
          <w:noProof/>
        </w:rPr>
        <w:t>,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Līdzdalība transnacionālajos tīklos, kas darbojas ar fonda atbalstu.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dalībvalstis, ar </w:t>
      </w:r>
      <w:r>
        <w:rPr>
          <w:i/>
          <w:noProof/>
        </w:rPr>
        <w:t>konkrētām darbībām saistīto Savienības dotāciju vai ārkārtas palīdzības (</w:t>
      </w:r>
      <w:r>
        <w:rPr>
          <w:noProof/>
        </w:rPr>
        <w:t>EMAS</w:t>
      </w:r>
      <w:r>
        <w:rPr>
          <w:i/>
          <w:noProof/>
        </w:rPr>
        <w:t>) saņēmēji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 xml:space="preserve">To aktīvu lēstā vērtība, kuri ar fonda palīdzību tika iesaldēti vai konfiscēti.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nelikumīgo narkotisko vielu vērtība, kuras tika konfiscētas</w:t>
      </w:r>
      <w:r>
        <w:rPr>
          <w:noProof/>
        </w:rPr>
        <w:t xml:space="preserve">, pateicoties tiesībaizsardzības iestāžu pārrobežu sadarbībai.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dalībvalstis, ar konkrētām darbībām saistīto Savienības dotāciju saņēmēji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rezultātu skaits, kurus esošie transnacionālie tīkli panākuši ar fonda atbalstu, piemēram, paraugprakse</w:t>
      </w:r>
      <w:r>
        <w:rPr>
          <w:noProof/>
        </w:rPr>
        <w:t>s rokasgrāmatas, semināri, kopīgi vingrinājumi.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ar konkrētām darbībām saistīto Savienības dotāciju saņēmēji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Šengenas izvērtēšanas ietvaros izteikto ieteikumu skaits, kuriem bija finansiāla ietekme drošības jomā un kuri tika īstenoti ar fonda</w:t>
      </w:r>
      <w:r>
        <w:rPr>
          <w:noProof/>
        </w:rPr>
        <w:t xml:space="preserve"> atbalstu, – salīdzinājumā ar ieteikumu, kuriem bija finansiāla ietekme drošības jomā, kopējo skaitu.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rPr>
          <w:b/>
          <w:noProof/>
        </w:rPr>
      </w:pPr>
      <w:r>
        <w:rPr>
          <w:b/>
          <w:noProof/>
        </w:rPr>
        <w:t xml:space="preserve">Konkrētais mērķis Nr. 3 – </w:t>
      </w:r>
      <w:r>
        <w:rPr>
          <w:noProof/>
        </w:rPr>
        <w:tab/>
      </w:r>
      <w:r>
        <w:rPr>
          <w:b/>
          <w:noProof/>
        </w:rPr>
        <w:t>uzlabotas noziedzības apkarošanas un novēršanas spējas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tiesībaizsardzības amatpersonu skaits, kura</w:t>
      </w:r>
      <w:r>
        <w:rPr>
          <w:noProof/>
        </w:rPr>
        <w:t>s pabeidza ar fonda atbalstu nodrošinātu apmācību, vingrinājumus, savstarpēju mācīšanos vai specializētas apmaiņas programmas par tematiem, kas saistīti ar pārrobežu aspektiem; dalījumā pa šādām jomām: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terorisma apkarošana;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organizētā noziedzība;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kibernozi</w:t>
      </w:r>
      <w:r>
        <w:rPr>
          <w:noProof/>
        </w:rPr>
        <w:t>edzība;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operatīvās sadarbības citas jomas.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paraugprakses rokasgrāmatu, izmeklēšanas metožu, darbības standartprocedūru un citu instrumentu skaits, kuri izstrādāti ar fonda atbalstu, sadarbojoties dažādām organizācijām Eiropas Sa</w:t>
      </w:r>
      <w:r>
        <w:rPr>
          <w:noProof/>
        </w:rPr>
        <w:t xml:space="preserve">vienībā.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dalībvalstis, ar konkrētām darbībām saistīto Savienības dotāciju vai ārkārtas palīdzības (</w:t>
      </w:r>
      <w:r>
        <w:rPr>
          <w:noProof/>
        </w:rPr>
        <w:t>EMAS</w:t>
      </w:r>
      <w:r>
        <w:rPr>
          <w:i/>
          <w:noProof/>
        </w:rPr>
        <w:t>) saņēmēji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noziegumos cietušo skaits, kuriem ar fonda atbalstu ir sniegta palīdzība, dalījumā pa noziegumu veidiem (cilvēku tirdzniecība,</w:t>
      </w:r>
      <w:r>
        <w:rPr>
          <w:noProof/>
        </w:rPr>
        <w:t xml:space="preserve"> migrantu kontrabanda, terorisms, smagi noziegumi un organizētā noziedzība, kibernoziedzība, bērnu seksuāla izmantošana). 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 xml:space="preserve">Tās kritiskās infrastruktūras un sabiedrisko vietu skaits, kuru aizsardzība pret drošības negadījumiem ir </w:t>
      </w:r>
      <w:r>
        <w:rPr>
          <w:noProof/>
        </w:rPr>
        <w:t>uzlabota ar fonda palīdzību.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>datu avots: dalībvalstis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iniciatīvu skaits, kuru mērķis ir nepieļaut radikalizāciju, kas izraisa vardarbīgu ekstrēmismu: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Radikalizācijas izpratnes tīkla (</w:t>
      </w:r>
      <w:r>
        <w:rPr>
          <w:i/>
          <w:noProof/>
        </w:rPr>
        <w:t>RAN</w:t>
      </w:r>
      <w:r>
        <w:rPr>
          <w:noProof/>
        </w:rPr>
        <w:t>) tīmekļa vietnes apmeklējumu skaits;</w:t>
      </w:r>
    </w:p>
    <w:p w:rsidR="002907C1" w:rsidRDefault="006C1C6A">
      <w:pPr>
        <w:pStyle w:val="Point1letter"/>
        <w:rPr>
          <w:noProof/>
        </w:rPr>
      </w:pPr>
      <w:r>
        <w:rPr>
          <w:i/>
          <w:noProof/>
        </w:rPr>
        <w:t>RAN</w:t>
      </w:r>
      <w:r>
        <w:rPr>
          <w:noProof/>
        </w:rPr>
        <w:t xml:space="preserve"> dalībnieku skaits, dalīju</w:t>
      </w:r>
      <w:r>
        <w:rPr>
          <w:noProof/>
        </w:rPr>
        <w:t>mā pa ekspertu kategorijām;</w:t>
      </w:r>
    </w:p>
    <w:p w:rsidR="002907C1" w:rsidRDefault="006C1C6A">
      <w:pPr>
        <w:pStyle w:val="Point1letter"/>
        <w:rPr>
          <w:noProof/>
        </w:rPr>
      </w:pPr>
      <w:r>
        <w:rPr>
          <w:noProof/>
        </w:rPr>
        <w:t>to izpētes vizīšu, apmācības kursu, darbsemināru un konsultāciju pasākumu skaits, kuri organizēti dalībvalstīs ciešā sadarbībā ar valstu iestādēm, dalījumā pa atbalsta saņēmējiem (tiesībaizsardzības iestādes, citi).</w:t>
      </w:r>
    </w:p>
    <w:p w:rsidR="002907C1" w:rsidRDefault="006C1C6A">
      <w:pPr>
        <w:pStyle w:val="Text1"/>
        <w:rPr>
          <w:i/>
          <w:noProof/>
        </w:rPr>
      </w:pPr>
      <w:r>
        <w:rPr>
          <w:i/>
          <w:noProof/>
        </w:rPr>
        <w:t xml:space="preserve">datu avots: </w:t>
      </w:r>
      <w:r>
        <w:rPr>
          <w:noProof/>
        </w:rPr>
        <w:t>RAN</w:t>
      </w:r>
    </w:p>
    <w:p w:rsidR="002907C1" w:rsidRDefault="006C1C6A">
      <w:pPr>
        <w:pStyle w:val="Point0number"/>
        <w:rPr>
          <w:noProof/>
        </w:rPr>
      </w:pPr>
      <w:r>
        <w:rPr>
          <w:noProof/>
        </w:rPr>
        <w:t>To ar fonda atbalstu izveidoto partnerību skaits, kuras palīdz uzlabot lieciniekiem, trauksmes cēlējiem un noziegumos cietušajiem paredzēto atbalstu:</w:t>
      </w:r>
    </w:p>
    <w:p w:rsidR="002907C1" w:rsidRDefault="006C1C6A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ar privāto sektoru;</w:t>
      </w:r>
    </w:p>
    <w:p w:rsidR="002907C1" w:rsidRDefault="006C1C6A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ar pilsonisko sabiedrību.</w:t>
      </w:r>
    </w:p>
    <w:p w:rsidR="002907C1" w:rsidRDefault="006C1C6A">
      <w:pPr>
        <w:pStyle w:val="Text1"/>
        <w:rPr>
          <w:b/>
          <w:i/>
          <w:noProof/>
          <w:u w:val="single"/>
        </w:rPr>
      </w:pPr>
      <w:r>
        <w:rPr>
          <w:i/>
          <w:noProof/>
        </w:rPr>
        <w:t>datu avots: dalībvalstis, ar konkrētām darbībām saistīto</w:t>
      </w:r>
      <w:r>
        <w:rPr>
          <w:i/>
          <w:noProof/>
        </w:rPr>
        <w:t xml:space="preserve"> Savienības dotāciju vai ārkārtas palīdzības (</w:t>
      </w:r>
      <w:r>
        <w:rPr>
          <w:noProof/>
        </w:rPr>
        <w:t>EMAS</w:t>
      </w:r>
      <w:r>
        <w:rPr>
          <w:i/>
          <w:noProof/>
        </w:rPr>
        <w:t>) saņēmēji</w:t>
      </w:r>
    </w:p>
    <w:sectPr w:rsidR="002907C1" w:rsidSect="006C1C6A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C1" w:rsidRDefault="006C1C6A">
      <w:pPr>
        <w:spacing w:before="0" w:after="0"/>
      </w:pPr>
      <w:r>
        <w:separator/>
      </w:r>
    </w:p>
  </w:endnote>
  <w:endnote w:type="continuationSeparator" w:id="0">
    <w:p w:rsidR="002907C1" w:rsidRDefault="006C1C6A">
      <w:pPr>
        <w:spacing w:before="0" w:after="0"/>
      </w:pPr>
      <w:r>
        <w:continuationSeparator/>
      </w:r>
    </w:p>
  </w:endnote>
  <w:endnote w:type="continuationNotice" w:id="1">
    <w:p w:rsidR="002907C1" w:rsidRDefault="002907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1" w:rsidRPr="006C1C6A" w:rsidRDefault="006C1C6A" w:rsidP="006C1C6A">
    <w:pPr>
      <w:pStyle w:val="Footer"/>
      <w:rPr>
        <w:rFonts w:ascii="Arial" w:hAnsi="Arial" w:cs="Arial"/>
        <w:b/>
        <w:sz w:val="48"/>
      </w:rPr>
    </w:pPr>
    <w:r w:rsidRPr="006C1C6A">
      <w:rPr>
        <w:rFonts w:ascii="Arial" w:hAnsi="Arial" w:cs="Arial"/>
        <w:b/>
        <w:sz w:val="48"/>
      </w:rPr>
      <w:t>LV</w:t>
    </w:r>
    <w:r w:rsidRPr="006C1C6A">
      <w:rPr>
        <w:rFonts w:ascii="Arial" w:hAnsi="Arial" w:cs="Arial"/>
        <w:b/>
        <w:sz w:val="48"/>
      </w:rPr>
      <w:tab/>
    </w:r>
    <w:r w:rsidRPr="006C1C6A">
      <w:rPr>
        <w:rFonts w:ascii="Arial" w:hAnsi="Arial" w:cs="Arial"/>
        <w:b/>
        <w:sz w:val="48"/>
      </w:rPr>
      <w:tab/>
    </w:r>
    <w:r w:rsidRPr="006C1C6A">
      <w:tab/>
    </w:r>
    <w:r w:rsidRPr="006C1C6A"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Footer"/>
      <w:rPr>
        <w:rFonts w:ascii="Arial" w:hAnsi="Arial" w:cs="Arial"/>
        <w:b/>
        <w:sz w:val="48"/>
      </w:rPr>
    </w:pPr>
    <w:r w:rsidRPr="006C1C6A">
      <w:rPr>
        <w:rFonts w:ascii="Arial" w:hAnsi="Arial" w:cs="Arial"/>
        <w:b/>
        <w:sz w:val="48"/>
      </w:rPr>
      <w:t>LV</w:t>
    </w:r>
    <w:r w:rsidRPr="006C1C6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 w:rsidRPr="006C1C6A">
      <w:tab/>
    </w:r>
    <w:r w:rsidRPr="006C1C6A"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C1" w:rsidRDefault="006C1C6A">
      <w:pPr>
        <w:spacing w:before="0" w:after="0"/>
      </w:pPr>
      <w:r>
        <w:separator/>
      </w:r>
    </w:p>
  </w:footnote>
  <w:footnote w:type="continuationSeparator" w:id="0">
    <w:p w:rsidR="002907C1" w:rsidRDefault="006C1C6A">
      <w:pPr>
        <w:spacing w:before="0" w:after="0"/>
      </w:pPr>
      <w:r>
        <w:continuationSeparator/>
      </w:r>
    </w:p>
  </w:footnote>
  <w:footnote w:type="continuationNotice" w:id="1">
    <w:p w:rsidR="002907C1" w:rsidRDefault="002907C1">
      <w:pPr>
        <w:spacing w:before="0" w:after="0"/>
      </w:pPr>
    </w:p>
  </w:footnote>
  <w:footnote w:id="2">
    <w:p w:rsidR="002907C1" w:rsidRDefault="006C1C6A">
      <w:pPr>
        <w:pStyle w:val="FootnoteText"/>
      </w:pPr>
      <w:r>
        <w:rPr>
          <w:rStyle w:val="FootnoteReference"/>
        </w:rPr>
        <w:footnoteRef/>
      </w:r>
      <w:r>
        <w:tab/>
        <w:t>Saskaņā ar Komisijas paziņojumu „Spēcīgākas un viedākas robežu un drošības informācijas sistēmas” (COM(2016) 205).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6A" w:rsidRPr="006C1C6A" w:rsidRDefault="006C1C6A" w:rsidP="006C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D28A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F0041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C4CC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77A8A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AA81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10E6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AA15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2700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20"/>
  </w:num>
  <w:num w:numId="24">
    <w:abstractNumId w:val="11"/>
  </w:num>
  <w:num w:numId="25">
    <w:abstractNumId w:val="13"/>
  </w:num>
  <w:num w:numId="26">
    <w:abstractNumId w:val="9"/>
  </w:num>
  <w:num w:numId="27">
    <w:abstractNumId w:val="19"/>
  </w:num>
  <w:num w:numId="28">
    <w:abstractNumId w:val="8"/>
  </w:num>
  <w:num w:numId="29">
    <w:abstractNumId w:val="14"/>
  </w:num>
  <w:num w:numId="30">
    <w:abstractNumId w:val="16"/>
  </w:num>
  <w:num w:numId="31">
    <w:abstractNumId w:val="17"/>
  </w:num>
  <w:num w:numId="32">
    <w:abstractNumId w:val="10"/>
  </w:num>
  <w:num w:numId="33">
    <w:abstractNumId w:val="15"/>
  </w:num>
  <w:num w:numId="34">
    <w:abstractNumId w:val="21"/>
  </w:num>
  <w:num w:numId="35">
    <w:abstractNumId w:val="18"/>
  </w:num>
  <w:num w:numId="36">
    <w:abstractNumId w:val="12"/>
  </w:num>
  <w:num w:numId="37">
    <w:abstractNumId w:val="20"/>
  </w:num>
  <w:num w:numId="38">
    <w:abstractNumId w:val="11"/>
  </w:num>
  <w:num w:numId="39">
    <w:abstractNumId w:val="13"/>
  </w:num>
  <w:num w:numId="40">
    <w:abstractNumId w:val="9"/>
  </w:num>
  <w:num w:numId="41">
    <w:abstractNumId w:val="19"/>
  </w:num>
  <w:num w:numId="42">
    <w:abstractNumId w:val="8"/>
  </w:num>
  <w:num w:numId="43">
    <w:abstractNumId w:val="14"/>
  </w:num>
  <w:num w:numId="44">
    <w:abstractNumId w:val="16"/>
  </w:num>
  <w:num w:numId="45">
    <w:abstractNumId w:val="17"/>
  </w:num>
  <w:num w:numId="46">
    <w:abstractNumId w:val="10"/>
  </w:num>
  <w:num w:numId="47">
    <w:abstractNumId w:val="15"/>
  </w:num>
  <w:num w:numId="48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5:46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8"/>
    <w:docVar w:name="LW_ANNEX_UNIQUE" w:val="0"/>
    <w:docVar w:name="LW_CORRIGENDUM" w:val="&lt;UNUSED&gt;"/>
    <w:docVar w:name="LW_COVERPAGE_EXISTS" w:val="True"/>
    <w:docVar w:name="LW_COVERPAGE_GUID" w:val="4623A5EC-63BF-4816-891B-7EE528B4B327"/>
    <w:docVar w:name="LW_COVERPAGE_TYPE" w:val="1"/>
    <w:docVar w:name="LW_CROSSREFERENCE" w:val="{SWD(2018) 347 final}_x000a_{SWD(2018) 348 final}_x000a_{SEC(2018) 315 final}"/>
    <w:docVar w:name="LW_DocType" w:val="ANNEX"/>
    <w:docVar w:name="LW_EMISSION" w:val="13.6.2018"/>
    <w:docVar w:name="LW_EMISSION_ISODATE" w:val="2018-06-13"/>
    <w:docVar w:name="LW_EMISSION_LOCATION" w:val="BRX"/>
    <w:docVar w:name="LW_EMISSION_PREFIX" w:val="Brisel\u275?,"/>
    <w:docVar w:name="LW_EMISSION_SUFFIX" w:val="&lt;EMPTY&gt;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par Iek\u353?\u275?j\u257?s dro\u353?\u299?bas fonda izveidi_x000b_"/>
    <w:docVar w:name="LW_OBJETACTEPRINCIPAL.CP" w:val="par Iek\u353?\u275?j\u257?s dro\u353?\u299?bas fonda izveidi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I"/>
    <w:docVar w:name="LW_TYPE.DOC.CP" w:val="PIELIKUMI"/>
    <w:docVar w:name="LW_TYPEACTEPRINCIPAL" w:val="Priek\u353?likums_x000b_Eiropas Parlamenta un Padomes regula"/>
    <w:docVar w:name="LW_TYPEACTEPRINCIPAL.CP" w:val="Priek\u353?likums_x000b_Eiropas Parlamenta un Padomes regula"/>
  </w:docVars>
  <w:rsids>
    <w:rsidRoot w:val="002907C1"/>
    <w:rsid w:val="002907C1"/>
    <w:rsid w:val="006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6C1C6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1C6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C1C6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C1C6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C1C6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C1C6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C1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C1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6C1C6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1C6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C1C6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C1C6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C1C6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C1C6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C1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C1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43BD-3851-4A49-ADBE-E4C05B2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13</Pages>
  <Words>2193</Words>
  <Characters>15216</Characters>
  <Application>Microsoft Office Word</Application>
  <DocSecurity>0</DocSecurity>
  <Lines>378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JANSEN Colette (SG)</cp:lastModifiedBy>
  <cp:revision>8</cp:revision>
  <cp:lastPrinted>2018-05-30T09:48:00Z</cp:lastPrinted>
  <dcterms:created xsi:type="dcterms:W3CDTF">2018-06-22T09:40:00Z</dcterms:created>
  <dcterms:modified xsi:type="dcterms:W3CDTF">2018-06-22T14:46:00Z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8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