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F48EDBEC-AC1B-4625-8E72-0AAD00706B17" style="width:450.75pt;height:384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I PIELIKUMS</w:t>
      </w:r>
    </w:p>
    <w:p>
      <w:pPr>
        <w:jc w:val="center"/>
        <w:rPr>
          <w:b/>
          <w:noProof/>
        </w:rPr>
      </w:pPr>
      <w:r>
        <w:rPr>
          <w:b/>
          <w:noProof/>
        </w:rPr>
        <w:t>Maksimālā finansiālā ieguldījuma aprēķināšana katrai dalībvalstij</w:t>
      </w:r>
    </w:p>
    <w:p>
      <w:pPr>
        <w:rPr>
          <w:noProof/>
        </w:rPr>
      </w:pPr>
    </w:p>
    <w:p>
      <w:pPr>
        <w:rPr>
          <w:noProof/>
        </w:rPr>
      </w:pPr>
      <w:r>
        <w:rPr>
          <w:noProof/>
        </w:rPr>
        <w:t>Šajā pielikumā ir izklāstīta metodika, kā aprēķina 9. pantā minēto maksimālo finansiālo ieguldījumu, kas katrai dalībvalstij ir pieejams no finansiālā atbalsta instrumenta, un 26. pantā minēto maksimālo finansiālo ieguldījumu, kas katrai dalībvalstij ir pieejams no konverģences atbalsta instrumenta finansiālā atbalsta komponenta.</w:t>
      </w:r>
    </w:p>
    <w:p>
      <w:pPr>
        <w:rPr>
          <w:b/>
          <w:i/>
          <w:noProof/>
        </w:rPr>
      </w:pPr>
      <w:r>
        <w:rPr>
          <w:b/>
          <w:i/>
          <w:noProof/>
        </w:rPr>
        <w:t>Reformu īstenošanas instruments</w:t>
      </w:r>
    </w:p>
    <w:p>
      <w:pPr>
        <w:rPr>
          <w:noProof/>
        </w:rPr>
      </w:pPr>
      <w:r>
        <w:rPr>
          <w:noProof/>
        </w:rPr>
        <w:t>Maksimālo finansiālo ieguldījumu, ko dalībvalsts var saņemt no reformu īstenošanas instrumenta, nosaka šādi:</w:t>
      </w:r>
    </w:p>
    <w:p>
      <w:pPr>
        <w:jc w:val="center"/>
        <w:rPr>
          <w:noProof/>
        </w:rPr>
      </w:pPr>
      <m:oMathPara>
        <m:oMathParaPr>
          <m:jc m:val="center"/>
        </m:oMathParaPr>
        <m:oMath>
          <m:sSub>
            <m:sSubPr>
              <m:ctrlPr>
                <w:rPr>
                  <w:rFonts w:ascii="Cambria Math" w:hAnsi="Cambria Math"/>
                  <w:i/>
                  <w:noProof/>
                </w:rPr>
              </m:ctrlPr>
            </m:sSubPr>
            <m:e>
              <m:r>
                <w:rPr>
                  <w:rFonts w:ascii="Cambria Math" w:hAnsi="Cambria Math"/>
                  <w:noProof/>
                </w:rPr>
                <m:t>α</m:t>
              </m:r>
            </m:e>
            <m:sub>
              <m:r>
                <w:rPr>
                  <w:rFonts w:ascii="Cambria Math" w:hAnsi="Cambria Math"/>
                  <w:noProof/>
                </w:rPr>
                <m:t>i</m:t>
              </m:r>
            </m:sub>
          </m:sSub>
          <m:r>
            <w:rPr>
              <w:rFonts w:ascii="Cambria Math" w:hAnsi="Cambria Math"/>
              <w:noProof/>
            </w:rPr>
            <m:t>×FS</m:t>
          </m:r>
        </m:oMath>
      </m:oMathPara>
    </w:p>
    <w:p>
      <w:pPr>
        <w:rPr>
          <w:noProof/>
        </w:rPr>
      </w:pPr>
      <w:r>
        <w:rPr>
          <w:noProof/>
        </w:rPr>
        <w:t>kur:</w:t>
      </w:r>
    </w:p>
    <w:p>
      <w:pPr>
        <w:rPr>
          <w:noProof/>
        </w:rPr>
      </w:pPr>
      <w:r>
        <w:rPr>
          <w:i/>
          <w:noProof/>
        </w:rPr>
        <w:t>FS</w:t>
      </w:r>
      <w:r>
        <w:rPr>
          <w:b/>
          <w:noProof/>
        </w:rPr>
        <w:t xml:space="preserve"> </w:t>
      </w:r>
      <w:r>
        <w:rPr>
          <w:noProof/>
        </w:rPr>
        <w:t>(finansiālais atbalsts) ir reformu īstenošanas instrumentam pieejamais kopējais finansējums, kas minēts 7. panta 2. punkta a) apakšpunktā, un</w:t>
      </w:r>
    </w:p>
    <w:p>
      <w:pPr>
        <w:rPr>
          <w:noProof/>
        </w:rPr>
      </w:pPr>
      <w:r>
        <w:rPr>
          <w:i/>
          <w:noProof/>
        </w:rPr>
        <w:t>α</w:t>
      </w:r>
      <w:r>
        <w:rPr>
          <w:i/>
          <w:noProof/>
          <w:vertAlign w:val="subscript"/>
        </w:rPr>
        <w:t>i</w:t>
      </w:r>
      <w:r>
        <w:rPr>
          <w:noProof/>
        </w:rPr>
        <w:t xml:space="preserve"> ir dalībvalsts </w:t>
      </w:r>
      <w:r>
        <w:rPr>
          <w:i/>
          <w:noProof/>
        </w:rPr>
        <w:t>i</w:t>
      </w:r>
      <w:r>
        <w:rPr>
          <w:noProof/>
        </w:rPr>
        <w:t xml:space="preserve"> piešķīruma koeficients, ko nosaka šādi:</w:t>
      </w:r>
    </w:p>
    <w:p>
      <w:pPr>
        <w:rPr>
          <w:noProof/>
        </w:rPr>
      </w:pPr>
      <m:oMathPara>
        <m:oMathParaPr>
          <m:jc m:val="center"/>
        </m:oMathParaPr>
        <m:oMath>
          <m:sSub>
            <m:sSubPr>
              <m:ctrlPr>
                <w:rPr>
                  <w:rFonts w:ascii="Cambria Math" w:hAnsi="Cambria Math"/>
                  <w:i/>
                  <w:noProof/>
                </w:rPr>
              </m:ctrlPr>
            </m:sSubPr>
            <m:e>
              <m:r>
                <w:rPr>
                  <w:rFonts w:ascii="Cambria Math" w:hAnsi="Cambria Math"/>
                  <w:noProof/>
                </w:rPr>
                <m:t>α</m:t>
              </m:r>
            </m:e>
            <m:sub>
              <m:r>
                <w:rPr>
                  <w:rFonts w:ascii="Cambria Math" w:hAnsi="Cambria Math"/>
                  <w:noProof/>
                </w:rPr>
                <m:t>i</m:t>
              </m:r>
            </m:sub>
          </m:sSub>
          <m:r>
            <w:rPr>
              <w:rFonts w:ascii="Cambria Math" w:hAnsi="Cambria Math"/>
              <w:noProof/>
            </w:rPr>
            <m:t>=</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pop</m:t>
                  </m:r>
                </m:e>
                <m:sub>
                  <m:r>
                    <w:rPr>
                      <w:rFonts w:ascii="Cambria Math" w:hAnsi="Cambria Math"/>
                      <w:noProof/>
                    </w:rPr>
                    <m:t>i</m:t>
                  </m:r>
                </m:sub>
              </m:sSub>
            </m:num>
            <m:den>
              <m:sSub>
                <m:sSubPr>
                  <m:ctrlPr>
                    <w:rPr>
                      <w:rFonts w:ascii="Cambria Math" w:hAnsi="Cambria Math"/>
                      <w:i/>
                      <w:noProof/>
                    </w:rPr>
                  </m:ctrlPr>
                </m:sSubPr>
                <m:e>
                  <m:r>
                    <w:rPr>
                      <w:rFonts w:ascii="Cambria Math" w:hAnsi="Cambria Math"/>
                      <w:noProof/>
                    </w:rPr>
                    <m:t>pop</m:t>
                  </m:r>
                </m:e>
                <m:sub>
                  <m:r>
                    <w:rPr>
                      <w:rFonts w:ascii="Cambria Math" w:hAnsi="Cambria Math"/>
                      <w:noProof/>
                    </w:rPr>
                    <m:t>EU</m:t>
                  </m:r>
                </m:sub>
              </m:sSub>
            </m:den>
          </m:f>
        </m:oMath>
      </m:oMathPara>
    </w:p>
    <w:p>
      <w:pPr>
        <w:rPr>
          <w:noProof/>
        </w:rPr>
      </w:pPr>
    </w:p>
    <w:p>
      <w:pPr>
        <w:rPr>
          <w:rFonts w:eastAsiaTheme="minorEastAsia"/>
          <w:noProof/>
        </w:rPr>
      </w:pPr>
      <m:oMath>
        <m:sSub>
          <m:sSubPr>
            <m:ctrlPr>
              <w:rPr>
                <w:rFonts w:ascii="Cambria Math" w:hAnsi="Cambria Math"/>
                <w:i/>
                <w:noProof/>
              </w:rPr>
            </m:ctrlPr>
          </m:sSubPr>
          <m:e>
            <m:r>
              <w:rPr>
                <w:rFonts w:ascii="Cambria Math" w:hAnsi="Cambria Math"/>
                <w:noProof/>
              </w:rPr>
              <m:t>pop</m:t>
            </m:r>
          </m:e>
          <m:sub>
            <m:r>
              <w:rPr>
                <w:rFonts w:ascii="Cambria Math" w:hAnsi="Cambria Math"/>
                <w:noProof/>
              </w:rPr>
              <m:t>i</m:t>
            </m:r>
          </m:sub>
        </m:sSub>
      </m:oMath>
      <w:r>
        <w:rPr>
          <w:noProof/>
        </w:rPr>
        <w:t xml:space="preserve"> ir kopējais iedzīvotāju skaits valstī </w:t>
      </w:r>
      <w:r>
        <w:rPr>
          <w:rFonts w:eastAsiaTheme="minorEastAsia"/>
          <w:i/>
          <w:noProof/>
        </w:rPr>
        <w:t>i</w:t>
      </w:r>
      <w:r>
        <w:rPr>
          <w:noProof/>
        </w:rPr>
        <w:t>,</w:t>
      </w:r>
    </w:p>
    <w:p>
      <w:pPr>
        <w:rPr>
          <w:noProof/>
        </w:rPr>
      </w:pPr>
      <m:oMath>
        <m:sSub>
          <m:sSubPr>
            <m:ctrlPr>
              <w:rPr>
                <w:rFonts w:ascii="Cambria Math" w:hAnsi="Cambria Math"/>
                <w:i/>
                <w:noProof/>
              </w:rPr>
            </m:ctrlPr>
          </m:sSubPr>
          <m:e>
            <m:r>
              <w:rPr>
                <w:rFonts w:ascii="Cambria Math" w:hAnsi="Cambria Math"/>
                <w:noProof/>
              </w:rPr>
              <m:t>pop</m:t>
            </m:r>
          </m:e>
          <m:sub>
            <m:r>
              <w:rPr>
                <w:rFonts w:ascii="Cambria Math" w:hAnsi="Cambria Math"/>
                <w:noProof/>
              </w:rPr>
              <m:t>EU</m:t>
            </m:r>
          </m:sub>
        </m:sSub>
      </m:oMath>
      <w:r>
        <w:rPr>
          <w:noProof/>
        </w:rPr>
        <w:t xml:space="preserve"> ir kopējais iedzīvotāju skaits visās 27 ES dalībvalstīs.</w:t>
      </w:r>
    </w:p>
    <w:p>
      <w:pPr>
        <w:rPr>
          <w:noProof/>
        </w:rPr>
      </w:pPr>
    </w:p>
    <w:p>
      <w:pPr>
        <w:rPr>
          <w:noProof/>
        </w:rPr>
      </w:pPr>
      <w:r>
        <w:rPr>
          <w:noProof/>
        </w:rPr>
        <w:t>Piemērojot šo formulu, iegūst šādu reformu īstenošanas instrumenta maksimālā finansiālā ieguldījuma īpatsvaru un summu, kas katrai dalībvalstij būs pieejama katrā 10. pantā aprakstītā līdzekļu piešķiršanas procesa posmā un uzaicinājumā iesniegt priekšlikumus:</w:t>
      </w:r>
    </w:p>
    <w:p>
      <w:pPr>
        <w:rPr>
          <w:noProof/>
        </w:rPr>
      </w:pPr>
      <w:r>
        <w:rPr>
          <w:noProof/>
        </w:rPr>
        <w:br w:type="page"/>
      </w:r>
    </w:p>
    <w:p>
      <w:pPr>
        <w:rPr>
          <w:noProof/>
        </w:rPr>
      </w:pPr>
    </w:p>
    <w:tbl>
      <w:tblPr>
        <w:tblW w:w="2488" w:type="dxa"/>
        <w:jc w:val="center"/>
        <w:tblInd w:w="93" w:type="dxa"/>
        <w:tblLayout w:type="fixed"/>
        <w:tblLook w:val="04A0" w:firstRow="1" w:lastRow="0" w:firstColumn="1" w:lastColumn="0" w:noHBand="0" w:noVBand="1"/>
      </w:tblPr>
      <w:tblGrid>
        <w:gridCol w:w="829"/>
        <w:gridCol w:w="829"/>
        <w:gridCol w:w="830"/>
      </w:tblGrid>
      <w:tr>
        <w:trPr>
          <w:trHeight w:val="20"/>
          <w:jc w:val="center"/>
        </w:trPr>
        <w:tc>
          <w:tcPr>
            <w:tcW w:w="829" w:type="dxa"/>
            <w:tcBorders>
              <w:top w:val="single" w:sz="8" w:space="0" w:color="auto"/>
              <w:left w:val="single" w:sz="8" w:space="0" w:color="auto"/>
              <w:bottom w:val="single" w:sz="8" w:space="0" w:color="auto"/>
              <w:right w:val="single" w:sz="8" w:space="0" w:color="auto"/>
            </w:tcBorders>
            <w:shd w:val="clear" w:color="000000" w:fill="DDD9C4"/>
            <w:noWrap/>
            <w:vAlign w:val="center"/>
            <w:hideMark/>
          </w:tcPr>
          <w:p>
            <w:pPr>
              <w:spacing w:before="0" w:after="0"/>
              <w:jc w:val="left"/>
              <w:rPr>
                <w:rFonts w:eastAsia="Times New Roman"/>
                <w:noProof/>
                <w:color w:val="000000"/>
                <w:sz w:val="16"/>
                <w:lang w:eastAsia="en-GB"/>
              </w:rPr>
            </w:pPr>
          </w:p>
        </w:tc>
        <w:tc>
          <w:tcPr>
            <w:tcW w:w="829" w:type="dxa"/>
            <w:tcBorders>
              <w:top w:val="single" w:sz="8" w:space="0" w:color="auto"/>
              <w:left w:val="nil"/>
              <w:bottom w:val="single" w:sz="8" w:space="0" w:color="auto"/>
              <w:right w:val="single" w:sz="8" w:space="0" w:color="auto"/>
            </w:tcBorders>
            <w:shd w:val="clear" w:color="000000" w:fill="DDD9C4"/>
            <w:vAlign w:val="center"/>
            <w:hideMark/>
          </w:tcPr>
          <w:p>
            <w:pPr>
              <w:spacing w:before="0" w:after="0"/>
              <w:ind w:left="-43" w:right="4"/>
              <w:jc w:val="center"/>
              <w:rPr>
                <w:rFonts w:eastAsia="Times New Roman"/>
                <w:noProof/>
                <w:color w:val="000000"/>
                <w:sz w:val="16"/>
                <w:szCs w:val="20"/>
                <w:lang w:eastAsia="en-GB"/>
              </w:rPr>
            </w:pPr>
            <w:r>
              <w:rPr>
                <w:rFonts w:eastAsia="Times New Roman"/>
                <w:noProof/>
                <w:color w:val="000000"/>
                <w:sz w:val="16"/>
                <w:szCs w:val="20"/>
                <w:lang w:eastAsia="en-GB"/>
              </w:rPr>
              <w:t>Īpatsvars, %</w:t>
            </w:r>
          </w:p>
        </w:tc>
        <w:tc>
          <w:tcPr>
            <w:tcW w:w="830" w:type="dxa"/>
            <w:tcBorders>
              <w:top w:val="single" w:sz="8" w:space="0" w:color="auto"/>
              <w:left w:val="nil"/>
              <w:bottom w:val="single" w:sz="8" w:space="0" w:color="auto"/>
              <w:right w:val="single" w:sz="8" w:space="0" w:color="auto"/>
            </w:tcBorders>
            <w:shd w:val="clear" w:color="000000" w:fill="DDD9C4"/>
            <w:vAlign w:val="center"/>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Miljoni (EUR)</w:t>
            </w:r>
          </w:p>
        </w:tc>
      </w:tr>
      <w:tr>
        <w:trPr>
          <w:trHeight w:val="20"/>
          <w:jc w:val="center"/>
        </w:trPr>
        <w:tc>
          <w:tcPr>
            <w:tcW w:w="829"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BE</w:t>
            </w:r>
          </w:p>
        </w:tc>
        <w:tc>
          <w:tcPr>
            <w:tcW w:w="829"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2,55</w:t>
            </w:r>
          </w:p>
        </w:tc>
        <w:tc>
          <w:tcPr>
            <w:tcW w:w="830"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281</w:t>
            </w:r>
          </w:p>
        </w:tc>
      </w:tr>
      <w:tr>
        <w:trPr>
          <w:trHeight w:val="20"/>
          <w:jc w:val="center"/>
        </w:trPr>
        <w:tc>
          <w:tcPr>
            <w:tcW w:w="829"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BG</w:t>
            </w:r>
          </w:p>
        </w:tc>
        <w:tc>
          <w:tcPr>
            <w:tcW w:w="829"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1,58</w:t>
            </w:r>
          </w:p>
        </w:tc>
        <w:tc>
          <w:tcPr>
            <w:tcW w:w="830"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174</w:t>
            </w:r>
          </w:p>
        </w:tc>
      </w:tr>
      <w:tr>
        <w:trPr>
          <w:trHeight w:val="20"/>
          <w:jc w:val="center"/>
        </w:trPr>
        <w:tc>
          <w:tcPr>
            <w:tcW w:w="829"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CZ</w:t>
            </w:r>
          </w:p>
        </w:tc>
        <w:tc>
          <w:tcPr>
            <w:tcW w:w="829"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2,37</w:t>
            </w:r>
          </w:p>
        </w:tc>
        <w:tc>
          <w:tcPr>
            <w:tcW w:w="830"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261</w:t>
            </w:r>
          </w:p>
        </w:tc>
      </w:tr>
      <w:tr>
        <w:trPr>
          <w:trHeight w:val="20"/>
          <w:jc w:val="center"/>
        </w:trPr>
        <w:tc>
          <w:tcPr>
            <w:tcW w:w="829"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DK</w:t>
            </w:r>
          </w:p>
        </w:tc>
        <w:tc>
          <w:tcPr>
            <w:tcW w:w="829"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1,30</w:t>
            </w:r>
          </w:p>
        </w:tc>
        <w:tc>
          <w:tcPr>
            <w:tcW w:w="830"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143</w:t>
            </w:r>
          </w:p>
        </w:tc>
      </w:tr>
      <w:tr>
        <w:trPr>
          <w:trHeight w:val="20"/>
          <w:jc w:val="center"/>
        </w:trPr>
        <w:tc>
          <w:tcPr>
            <w:tcW w:w="829"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DE</w:t>
            </w:r>
          </w:p>
        </w:tc>
        <w:tc>
          <w:tcPr>
            <w:tcW w:w="829"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18,58</w:t>
            </w:r>
          </w:p>
        </w:tc>
        <w:tc>
          <w:tcPr>
            <w:tcW w:w="830"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2044</w:t>
            </w:r>
          </w:p>
        </w:tc>
      </w:tr>
      <w:tr>
        <w:trPr>
          <w:trHeight w:val="20"/>
          <w:jc w:val="center"/>
        </w:trPr>
        <w:tc>
          <w:tcPr>
            <w:tcW w:w="829"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EE</w:t>
            </w:r>
          </w:p>
        </w:tc>
        <w:tc>
          <w:tcPr>
            <w:tcW w:w="829"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0,29</w:t>
            </w:r>
          </w:p>
        </w:tc>
        <w:tc>
          <w:tcPr>
            <w:tcW w:w="830"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32</w:t>
            </w:r>
          </w:p>
        </w:tc>
      </w:tr>
      <w:tr>
        <w:trPr>
          <w:trHeight w:val="20"/>
          <w:jc w:val="center"/>
        </w:trPr>
        <w:tc>
          <w:tcPr>
            <w:tcW w:w="829"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IE</w:t>
            </w:r>
          </w:p>
        </w:tc>
        <w:tc>
          <w:tcPr>
            <w:tcW w:w="829"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1,07</w:t>
            </w:r>
          </w:p>
        </w:tc>
        <w:tc>
          <w:tcPr>
            <w:tcW w:w="830"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118</w:t>
            </w:r>
          </w:p>
        </w:tc>
      </w:tr>
      <w:tr>
        <w:trPr>
          <w:trHeight w:val="20"/>
          <w:jc w:val="center"/>
        </w:trPr>
        <w:tc>
          <w:tcPr>
            <w:tcW w:w="829"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EL</w:t>
            </w:r>
          </w:p>
        </w:tc>
        <w:tc>
          <w:tcPr>
            <w:tcW w:w="829"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2,38</w:t>
            </w:r>
          </w:p>
        </w:tc>
        <w:tc>
          <w:tcPr>
            <w:tcW w:w="830"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262</w:t>
            </w:r>
          </w:p>
        </w:tc>
      </w:tr>
      <w:tr>
        <w:trPr>
          <w:trHeight w:val="20"/>
          <w:jc w:val="center"/>
        </w:trPr>
        <w:tc>
          <w:tcPr>
            <w:tcW w:w="829"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ES</w:t>
            </w:r>
          </w:p>
        </w:tc>
        <w:tc>
          <w:tcPr>
            <w:tcW w:w="829"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10,42</w:t>
            </w:r>
          </w:p>
        </w:tc>
        <w:tc>
          <w:tcPr>
            <w:tcW w:w="830"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1146</w:t>
            </w:r>
          </w:p>
        </w:tc>
      </w:tr>
      <w:tr>
        <w:trPr>
          <w:trHeight w:val="20"/>
          <w:jc w:val="center"/>
        </w:trPr>
        <w:tc>
          <w:tcPr>
            <w:tcW w:w="829"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FR</w:t>
            </w:r>
          </w:p>
        </w:tc>
        <w:tc>
          <w:tcPr>
            <w:tcW w:w="829"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15,09</w:t>
            </w:r>
          </w:p>
        </w:tc>
        <w:tc>
          <w:tcPr>
            <w:tcW w:w="830"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1660</w:t>
            </w:r>
          </w:p>
        </w:tc>
      </w:tr>
      <w:tr>
        <w:trPr>
          <w:trHeight w:val="20"/>
          <w:jc w:val="center"/>
        </w:trPr>
        <w:tc>
          <w:tcPr>
            <w:tcW w:w="829"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HR</w:t>
            </w:r>
          </w:p>
        </w:tc>
        <w:tc>
          <w:tcPr>
            <w:tcW w:w="829"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0,92</w:t>
            </w:r>
          </w:p>
        </w:tc>
        <w:tc>
          <w:tcPr>
            <w:tcW w:w="830"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101</w:t>
            </w:r>
          </w:p>
        </w:tc>
      </w:tr>
      <w:tr>
        <w:trPr>
          <w:trHeight w:val="20"/>
          <w:jc w:val="center"/>
        </w:trPr>
        <w:tc>
          <w:tcPr>
            <w:tcW w:w="829"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IT</w:t>
            </w:r>
          </w:p>
        </w:tc>
        <w:tc>
          <w:tcPr>
            <w:tcW w:w="829"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13,53</w:t>
            </w:r>
          </w:p>
        </w:tc>
        <w:tc>
          <w:tcPr>
            <w:tcW w:w="830"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1489</w:t>
            </w:r>
          </w:p>
        </w:tc>
      </w:tr>
      <w:tr>
        <w:trPr>
          <w:trHeight w:val="20"/>
          <w:jc w:val="center"/>
        </w:trPr>
        <w:tc>
          <w:tcPr>
            <w:tcW w:w="829"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CY</w:t>
            </w:r>
          </w:p>
        </w:tc>
        <w:tc>
          <w:tcPr>
            <w:tcW w:w="829"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0,19</w:t>
            </w:r>
          </w:p>
        </w:tc>
        <w:tc>
          <w:tcPr>
            <w:tcW w:w="830"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21</w:t>
            </w:r>
          </w:p>
        </w:tc>
      </w:tr>
      <w:tr>
        <w:trPr>
          <w:trHeight w:val="20"/>
          <w:jc w:val="center"/>
        </w:trPr>
        <w:tc>
          <w:tcPr>
            <w:tcW w:w="829" w:type="dxa"/>
            <w:tcBorders>
              <w:top w:val="nil"/>
              <w:left w:val="single" w:sz="8" w:space="0" w:color="auto"/>
              <w:bottom w:val="single" w:sz="8" w:space="0" w:color="auto"/>
              <w:right w:val="single" w:sz="8" w:space="0" w:color="auto"/>
            </w:tcBorders>
            <w:shd w:val="clear" w:color="000000" w:fill="FFFFFF"/>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LV</w:t>
            </w:r>
          </w:p>
        </w:tc>
        <w:tc>
          <w:tcPr>
            <w:tcW w:w="829" w:type="dxa"/>
            <w:tcBorders>
              <w:top w:val="nil"/>
              <w:left w:val="nil"/>
              <w:bottom w:val="single" w:sz="8" w:space="0" w:color="auto"/>
              <w:right w:val="single" w:sz="8" w:space="0" w:color="auto"/>
            </w:tcBorders>
            <w:shd w:val="clear" w:color="000000" w:fill="FFFFFF"/>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0,43</w:t>
            </w:r>
          </w:p>
        </w:tc>
        <w:tc>
          <w:tcPr>
            <w:tcW w:w="830" w:type="dxa"/>
            <w:tcBorders>
              <w:top w:val="nil"/>
              <w:left w:val="nil"/>
              <w:bottom w:val="single" w:sz="8" w:space="0" w:color="auto"/>
              <w:right w:val="single" w:sz="8" w:space="0" w:color="auto"/>
            </w:tcBorders>
            <w:shd w:val="clear" w:color="000000" w:fill="FFFFFF"/>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47</w:t>
            </w:r>
          </w:p>
        </w:tc>
      </w:tr>
      <w:tr>
        <w:trPr>
          <w:trHeight w:val="20"/>
          <w:jc w:val="center"/>
        </w:trPr>
        <w:tc>
          <w:tcPr>
            <w:tcW w:w="829"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LT</w:t>
            </w:r>
          </w:p>
        </w:tc>
        <w:tc>
          <w:tcPr>
            <w:tcW w:w="829"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0,62</w:t>
            </w:r>
          </w:p>
        </w:tc>
        <w:tc>
          <w:tcPr>
            <w:tcW w:w="830"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68</w:t>
            </w:r>
          </w:p>
        </w:tc>
      </w:tr>
      <w:tr>
        <w:trPr>
          <w:trHeight w:val="20"/>
          <w:jc w:val="center"/>
        </w:trPr>
        <w:tc>
          <w:tcPr>
            <w:tcW w:w="829"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LU</w:t>
            </w:r>
          </w:p>
        </w:tc>
        <w:tc>
          <w:tcPr>
            <w:tcW w:w="829"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0,14</w:t>
            </w:r>
          </w:p>
        </w:tc>
        <w:tc>
          <w:tcPr>
            <w:tcW w:w="830"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15</w:t>
            </w:r>
          </w:p>
        </w:tc>
      </w:tr>
      <w:tr>
        <w:trPr>
          <w:trHeight w:val="20"/>
          <w:jc w:val="center"/>
        </w:trPr>
        <w:tc>
          <w:tcPr>
            <w:tcW w:w="829"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HU</w:t>
            </w:r>
          </w:p>
        </w:tc>
        <w:tc>
          <w:tcPr>
            <w:tcW w:w="829"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2,18</w:t>
            </w:r>
          </w:p>
        </w:tc>
        <w:tc>
          <w:tcPr>
            <w:tcW w:w="830"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240</w:t>
            </w:r>
          </w:p>
        </w:tc>
      </w:tr>
      <w:tr>
        <w:trPr>
          <w:trHeight w:val="20"/>
          <w:jc w:val="center"/>
        </w:trPr>
        <w:tc>
          <w:tcPr>
            <w:tcW w:w="829"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MT</w:t>
            </w:r>
          </w:p>
        </w:tc>
        <w:tc>
          <w:tcPr>
            <w:tcW w:w="829"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0,10</w:t>
            </w:r>
          </w:p>
        </w:tc>
        <w:tc>
          <w:tcPr>
            <w:tcW w:w="830"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11</w:t>
            </w:r>
          </w:p>
        </w:tc>
      </w:tr>
      <w:tr>
        <w:trPr>
          <w:trHeight w:val="20"/>
          <w:jc w:val="center"/>
        </w:trPr>
        <w:tc>
          <w:tcPr>
            <w:tcW w:w="829"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NL</w:t>
            </w:r>
          </w:p>
        </w:tc>
        <w:tc>
          <w:tcPr>
            <w:tcW w:w="829"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3,85</w:t>
            </w:r>
          </w:p>
        </w:tc>
        <w:tc>
          <w:tcPr>
            <w:tcW w:w="830"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423</w:t>
            </w:r>
          </w:p>
        </w:tc>
      </w:tr>
      <w:tr>
        <w:trPr>
          <w:trHeight w:val="20"/>
          <w:jc w:val="center"/>
        </w:trPr>
        <w:tc>
          <w:tcPr>
            <w:tcW w:w="829"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AT</w:t>
            </w:r>
          </w:p>
        </w:tc>
        <w:tc>
          <w:tcPr>
            <w:tcW w:w="829"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1,98</w:t>
            </w:r>
          </w:p>
        </w:tc>
        <w:tc>
          <w:tcPr>
            <w:tcW w:w="830"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218</w:t>
            </w:r>
          </w:p>
        </w:tc>
      </w:tr>
      <w:tr>
        <w:trPr>
          <w:trHeight w:val="20"/>
          <w:jc w:val="center"/>
        </w:trPr>
        <w:tc>
          <w:tcPr>
            <w:tcW w:w="829"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PL</w:t>
            </w:r>
          </w:p>
        </w:tc>
        <w:tc>
          <w:tcPr>
            <w:tcW w:w="829"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8,59</w:t>
            </w:r>
          </w:p>
        </w:tc>
        <w:tc>
          <w:tcPr>
            <w:tcW w:w="830"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945</w:t>
            </w:r>
          </w:p>
        </w:tc>
      </w:tr>
      <w:tr>
        <w:trPr>
          <w:trHeight w:val="20"/>
          <w:jc w:val="center"/>
        </w:trPr>
        <w:tc>
          <w:tcPr>
            <w:tcW w:w="829"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PT</w:t>
            </w:r>
          </w:p>
        </w:tc>
        <w:tc>
          <w:tcPr>
            <w:tcW w:w="829"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2,30</w:t>
            </w:r>
          </w:p>
        </w:tc>
        <w:tc>
          <w:tcPr>
            <w:tcW w:w="830"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253</w:t>
            </w:r>
          </w:p>
        </w:tc>
      </w:tr>
      <w:tr>
        <w:trPr>
          <w:trHeight w:val="20"/>
          <w:jc w:val="center"/>
        </w:trPr>
        <w:tc>
          <w:tcPr>
            <w:tcW w:w="829"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RO</w:t>
            </w:r>
          </w:p>
        </w:tc>
        <w:tc>
          <w:tcPr>
            <w:tcW w:w="829"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4,33</w:t>
            </w:r>
          </w:p>
        </w:tc>
        <w:tc>
          <w:tcPr>
            <w:tcW w:w="830"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477</w:t>
            </w:r>
          </w:p>
        </w:tc>
      </w:tr>
      <w:tr>
        <w:trPr>
          <w:trHeight w:val="20"/>
          <w:jc w:val="center"/>
        </w:trPr>
        <w:tc>
          <w:tcPr>
            <w:tcW w:w="829"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SI</w:t>
            </w:r>
          </w:p>
        </w:tc>
        <w:tc>
          <w:tcPr>
            <w:tcW w:w="829"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0,46</w:t>
            </w:r>
          </w:p>
        </w:tc>
        <w:tc>
          <w:tcPr>
            <w:tcW w:w="830"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51</w:t>
            </w:r>
          </w:p>
        </w:tc>
      </w:tr>
      <w:tr>
        <w:trPr>
          <w:trHeight w:val="20"/>
          <w:jc w:val="center"/>
        </w:trPr>
        <w:tc>
          <w:tcPr>
            <w:tcW w:w="829"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SK</w:t>
            </w:r>
          </w:p>
        </w:tc>
        <w:tc>
          <w:tcPr>
            <w:tcW w:w="829"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1,22</w:t>
            </w:r>
          </w:p>
        </w:tc>
        <w:tc>
          <w:tcPr>
            <w:tcW w:w="830"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134</w:t>
            </w:r>
          </w:p>
        </w:tc>
      </w:tr>
      <w:tr>
        <w:trPr>
          <w:trHeight w:val="20"/>
          <w:jc w:val="center"/>
        </w:trPr>
        <w:tc>
          <w:tcPr>
            <w:tcW w:w="829"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FI</w:t>
            </w:r>
          </w:p>
        </w:tc>
        <w:tc>
          <w:tcPr>
            <w:tcW w:w="829"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1,24</w:t>
            </w:r>
          </w:p>
        </w:tc>
        <w:tc>
          <w:tcPr>
            <w:tcW w:w="830"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136</w:t>
            </w:r>
          </w:p>
        </w:tc>
      </w:tr>
      <w:tr>
        <w:trPr>
          <w:trHeight w:val="20"/>
          <w:jc w:val="center"/>
        </w:trPr>
        <w:tc>
          <w:tcPr>
            <w:tcW w:w="829"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SE</w:t>
            </w:r>
          </w:p>
        </w:tc>
        <w:tc>
          <w:tcPr>
            <w:tcW w:w="829"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2,28</w:t>
            </w:r>
          </w:p>
        </w:tc>
        <w:tc>
          <w:tcPr>
            <w:tcW w:w="830"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251</w:t>
            </w:r>
          </w:p>
        </w:tc>
      </w:tr>
      <w:tr>
        <w:trPr>
          <w:trHeight w:val="20"/>
          <w:jc w:val="center"/>
        </w:trPr>
        <w:tc>
          <w:tcPr>
            <w:tcW w:w="829"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Kopā</w:t>
            </w:r>
          </w:p>
        </w:tc>
        <w:tc>
          <w:tcPr>
            <w:tcW w:w="829"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100,00</w:t>
            </w:r>
          </w:p>
        </w:tc>
        <w:tc>
          <w:tcPr>
            <w:tcW w:w="830"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11 000</w:t>
            </w:r>
          </w:p>
        </w:tc>
      </w:tr>
    </w:tbl>
    <w:p>
      <w:pPr>
        <w:jc w:val="center"/>
        <w:rPr>
          <w:noProof/>
        </w:rPr>
      </w:pPr>
    </w:p>
    <w:p>
      <w:pPr>
        <w:spacing w:before="240" w:after="240"/>
        <w:rPr>
          <w:b/>
          <w:i/>
          <w:noProof/>
        </w:rPr>
      </w:pPr>
      <w:r>
        <w:rPr>
          <w:b/>
          <w:i/>
          <w:noProof/>
        </w:rPr>
        <w:t xml:space="preserve">Konverģences mehānisma finansiālā atbalsta komponents </w:t>
      </w:r>
    </w:p>
    <w:p>
      <w:pPr>
        <w:rPr>
          <w:noProof/>
        </w:rPr>
      </w:pPr>
      <w:r>
        <w:rPr>
          <w:noProof/>
        </w:rPr>
        <w:t>Maksimālo finansiālo ieguldījumu no konverģences mehānisma finansiālā atbalsta komponenta, kas minēts 26. pantā, aprēķina, reizinot ar daļu, ko veido katras potenciālās eurozonas dalībvalsts reformu īstenošanas instrumenta piešķīruma koeficients pret visu potenciālo eurozonas dalībvalstu reformu īstenošanas instrumenta piešķīruma koeficientu kopsummu, proti:</w:t>
      </w:r>
    </w:p>
    <w:p>
      <w:pPr>
        <w:rPr>
          <w:noProof/>
        </w:rPr>
      </w:pPr>
      <w:r>
        <w:rPr>
          <w:noProof/>
        </w:rPr>
        <w:t xml:space="preserve">Maksimālais finansiālais ieguldījums no konverģences mehānisma finansiālā atbalsta komponenta dalībvalstij </w:t>
      </w:r>
      <w:r>
        <w:rPr>
          <w:i/>
          <w:noProof/>
        </w:rPr>
        <w:t>i</w:t>
      </w:r>
      <w:r>
        <w:rPr>
          <w:noProof/>
        </w:rPr>
        <w:t xml:space="preserve"> ir:</w:t>
      </w:r>
    </w:p>
    <w:p>
      <w:pPr>
        <w:jc w:val="center"/>
        <w:rPr>
          <w:noProof/>
        </w:rPr>
      </w:pPr>
      <m:oMathPara>
        <m:oMath>
          <m:sSub>
            <m:sSubPr>
              <m:ctrlPr>
                <w:rPr>
                  <w:rFonts w:ascii="Cambria Math" w:hAnsi="Cambria Math"/>
                  <w:i/>
                  <w:noProof/>
                </w:rPr>
              </m:ctrlPr>
            </m:sSubPr>
            <m:e>
              <m:r>
                <w:rPr>
                  <w:rFonts w:ascii="Cambria Math" w:hAnsi="Cambria Math"/>
                  <w:noProof/>
                </w:rPr>
                <m:t>β</m:t>
              </m:r>
            </m:e>
            <m:sub>
              <m:r>
                <w:rPr>
                  <w:rFonts w:ascii="Cambria Math" w:hAnsi="Cambria Math"/>
                  <w:noProof/>
                </w:rPr>
                <m:t>i</m:t>
              </m:r>
            </m:sub>
          </m:sSub>
          <m:r>
            <w:rPr>
              <w:rFonts w:ascii="Cambria Math" w:hAnsi="Cambria Math"/>
              <w:noProof/>
            </w:rPr>
            <m:t>×CF</m:t>
          </m:r>
        </m:oMath>
      </m:oMathPara>
    </w:p>
    <w:p>
      <w:pPr>
        <w:rPr>
          <w:noProof/>
        </w:rPr>
      </w:pPr>
      <w:r>
        <w:rPr>
          <w:noProof/>
        </w:rPr>
        <w:t xml:space="preserve">kur </w:t>
      </w:r>
      <w:r>
        <w:rPr>
          <w:i/>
          <w:noProof/>
        </w:rPr>
        <w:t>CF</w:t>
      </w:r>
      <w:r>
        <w:rPr>
          <w:noProof/>
        </w:rPr>
        <w:t xml:space="preserve"> (konverģences mehānisma finansiālā atbalsta komponents) ir konverģences mehānisma finansiālā atbalsta komponentam pieejamais finansējums, kas minēts 7. panta 2. punkta c) apakšpunkta i) punktā,</w:t>
      </w:r>
    </w:p>
    <w:p>
      <w:pPr>
        <w:rPr>
          <w:noProof/>
        </w:rPr>
      </w:pPr>
      <w:r>
        <w:rPr>
          <w:noProof/>
        </w:rPr>
        <w:t>un</w:t>
      </w:r>
    </w:p>
    <w:p>
      <w:pPr>
        <w:jc w:val="center"/>
        <w:rPr>
          <w:rFonts w:eastAsiaTheme="minorEastAsia"/>
          <w:noProof/>
        </w:rPr>
      </w:pPr>
      <m:oMathPara>
        <m:oMath>
          <m:sSub>
            <m:sSubPr>
              <m:ctrlPr>
                <w:rPr>
                  <w:rFonts w:ascii="Cambria Math" w:hAnsi="Cambria Math"/>
                  <w:i/>
                  <w:noProof/>
                </w:rPr>
              </m:ctrlPr>
            </m:sSubPr>
            <m:e>
              <m:r>
                <w:rPr>
                  <w:rFonts w:ascii="Cambria Math" w:hAnsi="Cambria Math"/>
                  <w:noProof/>
                </w:rPr>
                <m:t>β</m:t>
              </m:r>
            </m:e>
            <m:sub>
              <m:r>
                <w:rPr>
                  <w:rFonts w:ascii="Cambria Math" w:hAnsi="Cambria Math"/>
                  <w:noProof/>
                </w:rPr>
                <m:t>i</m:t>
              </m:r>
            </m:sub>
          </m:sSub>
          <m:r>
            <w:rPr>
              <w:rFonts w:ascii="Cambria Math" w:hAnsi="Cambria Math"/>
              <w:noProof/>
            </w:rPr>
            <m:t>=</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α</m:t>
                  </m:r>
                </m:e>
                <m:sub>
                  <m:r>
                    <w:rPr>
                      <w:rFonts w:ascii="Cambria Math" w:hAnsi="Cambria Math"/>
                      <w:noProof/>
                    </w:rPr>
                    <m:t>i</m:t>
                  </m:r>
                </m:sub>
              </m:sSub>
            </m:num>
            <m:den>
              <m:sSub>
                <m:sSubPr>
                  <m:ctrlPr>
                    <w:rPr>
                      <w:rFonts w:ascii="Cambria Math" w:hAnsi="Cambria Math"/>
                      <w:i/>
                      <w:noProof/>
                    </w:rPr>
                  </m:ctrlPr>
                </m:sSubPr>
                <m:e>
                  <m:r>
                    <w:rPr>
                      <w:rFonts w:ascii="Cambria Math" w:hAnsi="Cambria Math"/>
                      <w:noProof/>
                    </w:rPr>
                    <m:t>α</m:t>
                  </m:r>
                </m:e>
                <m:sub>
                  <m:r>
                    <w:rPr>
                      <w:rFonts w:ascii="Cambria Math" w:hAnsi="Cambria Math"/>
                      <w:noProof/>
                    </w:rPr>
                    <m:t>BG</m:t>
                  </m:r>
                </m:sub>
              </m:sSub>
              <m:r>
                <w:rPr>
                  <w:rFonts w:ascii="Cambria Math" w:hAnsi="Cambria Math"/>
                  <w:noProof/>
                </w:rPr>
                <m:t>+</m:t>
              </m:r>
              <m:sSub>
                <m:sSubPr>
                  <m:ctrlPr>
                    <w:rPr>
                      <w:rFonts w:ascii="Cambria Math" w:hAnsi="Cambria Math"/>
                      <w:i/>
                      <w:noProof/>
                    </w:rPr>
                  </m:ctrlPr>
                </m:sSubPr>
                <m:e>
                  <m:r>
                    <w:rPr>
                      <w:rFonts w:ascii="Cambria Math" w:hAnsi="Cambria Math"/>
                      <w:noProof/>
                    </w:rPr>
                    <m:t>α</m:t>
                  </m:r>
                </m:e>
                <m:sub>
                  <m:r>
                    <w:rPr>
                      <w:rFonts w:ascii="Cambria Math" w:hAnsi="Cambria Math"/>
                      <w:noProof/>
                    </w:rPr>
                    <m:t>CZ</m:t>
                  </m:r>
                </m:sub>
              </m:sSub>
              <m:r>
                <w:rPr>
                  <w:rFonts w:ascii="Cambria Math" w:hAnsi="Cambria Math"/>
                  <w:noProof/>
                </w:rPr>
                <m:t>+</m:t>
              </m:r>
              <m:sSub>
                <m:sSubPr>
                  <m:ctrlPr>
                    <w:rPr>
                      <w:rFonts w:ascii="Cambria Math" w:hAnsi="Cambria Math"/>
                      <w:i/>
                      <w:noProof/>
                    </w:rPr>
                  </m:ctrlPr>
                </m:sSubPr>
                <m:e>
                  <m:r>
                    <w:rPr>
                      <w:rFonts w:ascii="Cambria Math" w:hAnsi="Cambria Math"/>
                      <w:noProof/>
                    </w:rPr>
                    <m:t>α</m:t>
                  </m:r>
                </m:e>
                <m:sub>
                  <m:r>
                    <w:rPr>
                      <w:rFonts w:ascii="Cambria Math" w:hAnsi="Cambria Math"/>
                      <w:noProof/>
                    </w:rPr>
                    <m:t>HR</m:t>
                  </m:r>
                </m:sub>
              </m:sSub>
              <m:r>
                <w:rPr>
                  <w:rFonts w:ascii="Cambria Math" w:hAnsi="Cambria Math"/>
                  <w:noProof/>
                </w:rPr>
                <m:t>+</m:t>
              </m:r>
              <m:sSub>
                <m:sSubPr>
                  <m:ctrlPr>
                    <w:rPr>
                      <w:rFonts w:ascii="Cambria Math" w:hAnsi="Cambria Math"/>
                      <w:i/>
                      <w:noProof/>
                    </w:rPr>
                  </m:ctrlPr>
                </m:sSubPr>
                <m:e>
                  <m:r>
                    <w:rPr>
                      <w:rFonts w:ascii="Cambria Math" w:hAnsi="Cambria Math"/>
                      <w:noProof/>
                    </w:rPr>
                    <m:t>α</m:t>
                  </m:r>
                </m:e>
                <m:sub>
                  <m:r>
                    <w:rPr>
                      <w:rFonts w:ascii="Cambria Math" w:hAnsi="Cambria Math"/>
                      <w:noProof/>
                    </w:rPr>
                    <m:t>HU</m:t>
                  </m:r>
                </m:sub>
              </m:sSub>
              <m:r>
                <w:rPr>
                  <w:rFonts w:ascii="Cambria Math" w:hAnsi="Cambria Math"/>
                  <w:noProof/>
                </w:rPr>
                <m:t>+</m:t>
              </m:r>
              <m:sSub>
                <m:sSubPr>
                  <m:ctrlPr>
                    <w:rPr>
                      <w:rFonts w:ascii="Cambria Math" w:hAnsi="Cambria Math"/>
                      <w:i/>
                      <w:noProof/>
                    </w:rPr>
                  </m:ctrlPr>
                </m:sSubPr>
                <m:e>
                  <m:r>
                    <w:rPr>
                      <w:rFonts w:ascii="Cambria Math" w:hAnsi="Cambria Math"/>
                      <w:noProof/>
                    </w:rPr>
                    <m:t>α</m:t>
                  </m:r>
                </m:e>
                <m:sub>
                  <m:r>
                    <w:rPr>
                      <w:rFonts w:ascii="Cambria Math" w:hAnsi="Cambria Math"/>
                      <w:noProof/>
                    </w:rPr>
                    <m:t>PL</m:t>
                  </m:r>
                </m:sub>
              </m:sSub>
              <m:r>
                <w:rPr>
                  <w:rFonts w:ascii="Cambria Math" w:hAnsi="Cambria Math"/>
                  <w:noProof/>
                </w:rPr>
                <m:t>+</m:t>
              </m:r>
              <m:sSub>
                <m:sSubPr>
                  <m:ctrlPr>
                    <w:rPr>
                      <w:rFonts w:ascii="Cambria Math" w:hAnsi="Cambria Math"/>
                      <w:i/>
                      <w:noProof/>
                    </w:rPr>
                  </m:ctrlPr>
                </m:sSubPr>
                <m:e>
                  <m:r>
                    <w:rPr>
                      <w:rFonts w:ascii="Cambria Math" w:hAnsi="Cambria Math"/>
                      <w:noProof/>
                    </w:rPr>
                    <m:t>α</m:t>
                  </m:r>
                </m:e>
                <m:sub>
                  <m:r>
                    <w:rPr>
                      <w:rFonts w:ascii="Cambria Math" w:hAnsi="Cambria Math"/>
                      <w:noProof/>
                    </w:rPr>
                    <m:t>RO</m:t>
                  </m:r>
                </m:sub>
              </m:sSub>
              <m:r>
                <w:rPr>
                  <w:rFonts w:ascii="Cambria Math" w:hAnsi="Cambria Math"/>
                  <w:noProof/>
                </w:rPr>
                <m:t>+</m:t>
              </m:r>
              <m:sSub>
                <m:sSubPr>
                  <m:ctrlPr>
                    <w:rPr>
                      <w:rFonts w:ascii="Cambria Math" w:hAnsi="Cambria Math"/>
                      <w:i/>
                      <w:noProof/>
                    </w:rPr>
                  </m:ctrlPr>
                </m:sSubPr>
                <m:e>
                  <m:r>
                    <w:rPr>
                      <w:rFonts w:ascii="Cambria Math" w:hAnsi="Cambria Math"/>
                      <w:noProof/>
                    </w:rPr>
                    <m:t>α</m:t>
                  </m:r>
                </m:e>
                <m:sub>
                  <m:r>
                    <w:rPr>
                      <w:rFonts w:ascii="Cambria Math" w:hAnsi="Cambria Math"/>
                      <w:noProof/>
                    </w:rPr>
                    <m:t>SE</m:t>
                  </m:r>
                </m:sub>
              </m:sSub>
            </m:den>
          </m:f>
        </m:oMath>
      </m:oMathPara>
    </w:p>
    <w:p>
      <w:pPr>
        <w:rPr>
          <w:noProof/>
        </w:rPr>
      </w:pPr>
    </w:p>
    <w:p>
      <w:pPr>
        <w:rPr>
          <w:noProof/>
        </w:rPr>
      </w:pPr>
      <w:r>
        <w:rPr>
          <w:noProof/>
        </w:rPr>
        <w:t>Rezultātā attiecībā uz konverģences mehānisma finansiālā atbalsta komponentu iegūst šādas maksimālā finansiālā ieguldījuma summas un īpatsvarus:</w:t>
      </w:r>
    </w:p>
    <w:p>
      <w:pPr>
        <w:rPr>
          <w:noProof/>
        </w:rPr>
      </w:pPr>
    </w:p>
    <w:tbl>
      <w:tblPr>
        <w:tblW w:w="2117" w:type="dxa"/>
        <w:jc w:val="center"/>
        <w:tblInd w:w="93" w:type="dxa"/>
        <w:tblLook w:val="04A0" w:firstRow="1" w:lastRow="0" w:firstColumn="1" w:lastColumn="0" w:noHBand="0" w:noVBand="1"/>
      </w:tblPr>
      <w:tblGrid>
        <w:gridCol w:w="604"/>
        <w:gridCol w:w="782"/>
        <w:gridCol w:w="731"/>
      </w:tblGrid>
      <w:tr>
        <w:trPr>
          <w:trHeight w:val="20"/>
          <w:jc w:val="center"/>
        </w:trPr>
        <w:tc>
          <w:tcPr>
            <w:tcW w:w="604" w:type="dxa"/>
            <w:tcBorders>
              <w:top w:val="single" w:sz="8" w:space="0" w:color="auto"/>
              <w:left w:val="single" w:sz="8" w:space="0" w:color="auto"/>
              <w:bottom w:val="single" w:sz="8" w:space="0" w:color="auto"/>
              <w:right w:val="single" w:sz="8" w:space="0" w:color="auto"/>
            </w:tcBorders>
            <w:shd w:val="clear" w:color="000000" w:fill="DDD9C4"/>
            <w:noWrap/>
            <w:vAlign w:val="center"/>
            <w:hideMark/>
          </w:tcPr>
          <w:p>
            <w:pPr>
              <w:spacing w:before="0" w:after="0"/>
              <w:jc w:val="center"/>
              <w:rPr>
                <w:rFonts w:eastAsia="Times New Roman"/>
                <w:noProof/>
                <w:color w:val="000000"/>
                <w:sz w:val="16"/>
                <w:lang w:eastAsia="en-GB"/>
              </w:rPr>
            </w:pPr>
          </w:p>
        </w:tc>
        <w:tc>
          <w:tcPr>
            <w:tcW w:w="782" w:type="dxa"/>
            <w:tcBorders>
              <w:top w:val="single" w:sz="8" w:space="0" w:color="auto"/>
              <w:left w:val="nil"/>
              <w:bottom w:val="single" w:sz="8" w:space="0" w:color="auto"/>
              <w:right w:val="single" w:sz="8" w:space="0" w:color="auto"/>
            </w:tcBorders>
            <w:shd w:val="clear" w:color="000000" w:fill="DDD9C4"/>
            <w:vAlign w:val="center"/>
            <w:hideMark/>
          </w:tcPr>
          <w:p>
            <w:pPr>
              <w:spacing w:before="0" w:after="0"/>
              <w:ind w:left="-35" w:right="-119"/>
              <w:jc w:val="center"/>
              <w:rPr>
                <w:rFonts w:eastAsia="Times New Roman"/>
                <w:noProof/>
                <w:color w:val="000000"/>
                <w:sz w:val="16"/>
                <w:szCs w:val="20"/>
                <w:lang w:eastAsia="en-GB"/>
              </w:rPr>
            </w:pPr>
            <w:r>
              <w:rPr>
                <w:rFonts w:eastAsia="Times New Roman"/>
                <w:noProof/>
                <w:color w:val="000000"/>
                <w:sz w:val="16"/>
                <w:szCs w:val="20"/>
                <w:lang w:eastAsia="en-GB"/>
              </w:rPr>
              <w:t>Īpatsvars, %</w:t>
            </w:r>
          </w:p>
        </w:tc>
        <w:tc>
          <w:tcPr>
            <w:tcW w:w="731" w:type="dxa"/>
            <w:tcBorders>
              <w:top w:val="single" w:sz="8" w:space="0" w:color="auto"/>
              <w:left w:val="nil"/>
              <w:bottom w:val="single" w:sz="8" w:space="0" w:color="auto"/>
              <w:right w:val="single" w:sz="8" w:space="0" w:color="auto"/>
            </w:tcBorders>
            <w:shd w:val="clear" w:color="000000" w:fill="DDD9C4"/>
            <w:vAlign w:val="center"/>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Miljoni (EUR)</w:t>
            </w:r>
          </w:p>
        </w:tc>
      </w:tr>
      <w:tr>
        <w:trPr>
          <w:trHeight w:val="20"/>
          <w:jc w:val="center"/>
        </w:trPr>
        <w:tc>
          <w:tcPr>
            <w:tcW w:w="604"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BG</w:t>
            </w:r>
          </w:p>
        </w:tc>
        <w:tc>
          <w:tcPr>
            <w:tcW w:w="782"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7,09</w:t>
            </w:r>
          </w:p>
        </w:tc>
        <w:tc>
          <w:tcPr>
            <w:tcW w:w="731"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71</w:t>
            </w:r>
          </w:p>
        </w:tc>
      </w:tr>
      <w:tr>
        <w:trPr>
          <w:trHeight w:val="20"/>
          <w:jc w:val="center"/>
        </w:trPr>
        <w:tc>
          <w:tcPr>
            <w:tcW w:w="604"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CZ</w:t>
            </w:r>
          </w:p>
        </w:tc>
        <w:tc>
          <w:tcPr>
            <w:tcW w:w="782"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10,66</w:t>
            </w:r>
          </w:p>
        </w:tc>
        <w:tc>
          <w:tcPr>
            <w:tcW w:w="731"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107</w:t>
            </w:r>
          </w:p>
        </w:tc>
      </w:tr>
      <w:tr>
        <w:trPr>
          <w:trHeight w:val="20"/>
          <w:jc w:val="center"/>
        </w:trPr>
        <w:tc>
          <w:tcPr>
            <w:tcW w:w="604"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HR</w:t>
            </w:r>
          </w:p>
        </w:tc>
        <w:tc>
          <w:tcPr>
            <w:tcW w:w="782"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4,13</w:t>
            </w:r>
          </w:p>
        </w:tc>
        <w:tc>
          <w:tcPr>
            <w:tcW w:w="731"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41</w:t>
            </w:r>
          </w:p>
        </w:tc>
      </w:tr>
      <w:tr>
        <w:trPr>
          <w:trHeight w:val="20"/>
          <w:jc w:val="center"/>
        </w:trPr>
        <w:tc>
          <w:tcPr>
            <w:tcW w:w="604"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HU</w:t>
            </w:r>
          </w:p>
        </w:tc>
        <w:tc>
          <w:tcPr>
            <w:tcW w:w="782"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9,80</w:t>
            </w:r>
          </w:p>
        </w:tc>
        <w:tc>
          <w:tcPr>
            <w:tcW w:w="731"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98</w:t>
            </w:r>
          </w:p>
        </w:tc>
      </w:tr>
      <w:tr>
        <w:trPr>
          <w:trHeight w:val="20"/>
          <w:jc w:val="center"/>
        </w:trPr>
        <w:tc>
          <w:tcPr>
            <w:tcW w:w="604"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PL</w:t>
            </w:r>
          </w:p>
        </w:tc>
        <w:tc>
          <w:tcPr>
            <w:tcW w:w="782"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38,59</w:t>
            </w:r>
          </w:p>
        </w:tc>
        <w:tc>
          <w:tcPr>
            <w:tcW w:w="731"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386</w:t>
            </w:r>
          </w:p>
        </w:tc>
      </w:tr>
      <w:tr>
        <w:trPr>
          <w:trHeight w:val="20"/>
          <w:jc w:val="center"/>
        </w:trPr>
        <w:tc>
          <w:tcPr>
            <w:tcW w:w="604"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RO</w:t>
            </w:r>
          </w:p>
        </w:tc>
        <w:tc>
          <w:tcPr>
            <w:tcW w:w="782"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19,47</w:t>
            </w:r>
          </w:p>
        </w:tc>
        <w:tc>
          <w:tcPr>
            <w:tcW w:w="731"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195</w:t>
            </w:r>
          </w:p>
        </w:tc>
      </w:tr>
      <w:tr>
        <w:trPr>
          <w:trHeight w:val="20"/>
          <w:jc w:val="center"/>
        </w:trPr>
        <w:tc>
          <w:tcPr>
            <w:tcW w:w="604"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SE</w:t>
            </w:r>
          </w:p>
        </w:tc>
        <w:tc>
          <w:tcPr>
            <w:tcW w:w="782"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10,26</w:t>
            </w:r>
          </w:p>
        </w:tc>
        <w:tc>
          <w:tcPr>
            <w:tcW w:w="731"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103</w:t>
            </w:r>
          </w:p>
        </w:tc>
      </w:tr>
      <w:tr>
        <w:trPr>
          <w:trHeight w:val="20"/>
          <w:jc w:val="center"/>
        </w:trPr>
        <w:tc>
          <w:tcPr>
            <w:tcW w:w="604" w:type="dxa"/>
            <w:tcBorders>
              <w:top w:val="nil"/>
              <w:left w:val="single" w:sz="8" w:space="0" w:color="auto"/>
              <w:bottom w:val="single" w:sz="8" w:space="0" w:color="auto"/>
              <w:right w:val="single" w:sz="8" w:space="0" w:color="auto"/>
            </w:tcBorders>
            <w:shd w:val="clear" w:color="auto" w:fill="auto"/>
            <w:noWrap/>
            <w:vAlign w:val="bottom"/>
            <w:hideMark/>
          </w:tcPr>
          <w:p>
            <w:pPr>
              <w:spacing w:before="0" w:after="0"/>
              <w:jc w:val="left"/>
              <w:rPr>
                <w:rFonts w:eastAsia="Times New Roman"/>
                <w:noProof/>
                <w:color w:val="000000"/>
                <w:sz w:val="16"/>
                <w:szCs w:val="20"/>
                <w:lang w:eastAsia="en-GB"/>
              </w:rPr>
            </w:pPr>
            <w:r>
              <w:rPr>
                <w:rFonts w:eastAsia="Times New Roman"/>
                <w:noProof/>
                <w:color w:val="000000"/>
                <w:sz w:val="16"/>
                <w:szCs w:val="20"/>
                <w:lang w:eastAsia="en-GB"/>
              </w:rPr>
              <w:t>Kopā</w:t>
            </w:r>
          </w:p>
        </w:tc>
        <w:tc>
          <w:tcPr>
            <w:tcW w:w="782"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100,00</w:t>
            </w:r>
          </w:p>
        </w:tc>
        <w:tc>
          <w:tcPr>
            <w:tcW w:w="731" w:type="dxa"/>
            <w:tcBorders>
              <w:top w:val="nil"/>
              <w:left w:val="nil"/>
              <w:bottom w:val="single" w:sz="8" w:space="0" w:color="auto"/>
              <w:right w:val="single" w:sz="8" w:space="0" w:color="auto"/>
            </w:tcBorders>
            <w:shd w:val="clear" w:color="auto" w:fill="auto"/>
            <w:noWrap/>
            <w:vAlign w:val="bottom"/>
            <w:hideMark/>
          </w:tcPr>
          <w:p>
            <w:pPr>
              <w:spacing w:before="0" w:after="0"/>
              <w:jc w:val="center"/>
              <w:rPr>
                <w:rFonts w:eastAsia="Times New Roman"/>
                <w:noProof/>
                <w:color w:val="000000"/>
                <w:sz w:val="16"/>
                <w:szCs w:val="20"/>
                <w:lang w:eastAsia="en-GB"/>
              </w:rPr>
            </w:pPr>
            <w:r>
              <w:rPr>
                <w:rFonts w:eastAsia="Times New Roman"/>
                <w:noProof/>
                <w:color w:val="000000"/>
                <w:sz w:val="16"/>
                <w:szCs w:val="20"/>
                <w:lang w:eastAsia="en-GB"/>
              </w:rPr>
              <w:t>1000</w:t>
            </w:r>
          </w:p>
        </w:tc>
      </w:tr>
    </w:tbl>
    <w:p>
      <w:pPr>
        <w:jc w:val="center"/>
        <w:rPr>
          <w:noProof/>
        </w:rPr>
      </w:pPr>
    </w:p>
    <w:p>
      <w:pPr>
        <w:rPr>
          <w:noProof/>
        </w:rPr>
      </w:pPr>
      <w:r>
        <w:rPr>
          <w:noProof/>
        </w:rPr>
        <w:br w:type="page"/>
      </w:r>
      <w:r>
        <w:rPr>
          <w:b/>
          <w:noProof/>
        </w:rPr>
        <w:t>Papildinājums:</w:t>
      </w:r>
      <w:r>
        <w:rPr>
          <w:noProof/>
        </w:rPr>
        <w:t xml:space="preserve"> </w:t>
      </w:r>
      <w:r>
        <w:rPr>
          <w:b/>
          <w:noProof/>
        </w:rPr>
        <w:t>finansiālā ieguldījuma proporcionāla korekcija</w:t>
      </w:r>
      <w:r>
        <w:rPr>
          <w:noProof/>
        </w:rPr>
        <w:t xml:space="preserve"> (10. panta 5. punkts)</w:t>
      </w:r>
    </w:p>
    <w:p>
      <w:pPr>
        <w:rPr>
          <w:noProof/>
        </w:rPr>
      </w:pPr>
      <w:r>
        <w:rPr>
          <w:noProof/>
        </w:rPr>
        <w:t>Šajā papildinājumā ir izklāstīta metode, pēc kuras nosaka dalībvalstīm piešķiramo finansiālo ieguldījumu, ja ar summu, kas atlikusi no kopējā finansējuma, uzaicinājumā iesniegt priekšlikumus, kas organizēts vēlāk nekā divdesmit mēnešus pēc programmas darbības sākuma, nepietiek, lai segtu finansiālo ieguldījumu dalībvalstīm, kuras iesniegušas priekšlikumu saskaņā ar uzaicinājumu iesniegt priekšlikumus (vai nu attiecībā uz reformu īstenošanas instrumentu, vai attiecībā uz konverģences mehānisma finansiālā atbalsta komponentu).</w:t>
      </w:r>
    </w:p>
    <w:p>
      <w:pPr>
        <w:rPr>
          <w:noProof/>
        </w:rPr>
      </w:pPr>
      <w:r>
        <w:rPr>
          <w:noProof/>
        </w:rPr>
        <w:t xml:space="preserve">Tādā gadījumā finansiālo ieguldījumu, ko piešķir dalībvalstij </w:t>
      </w:r>
      <w:r>
        <w:rPr>
          <w:i/>
          <w:noProof/>
        </w:rPr>
        <w:t>i</w:t>
      </w:r>
      <w:r>
        <w:rPr>
          <w:noProof/>
        </w:rPr>
        <w:t>, aprēķina šādi:</w:t>
      </w:r>
    </w:p>
    <w:p>
      <w:pPr>
        <w:jc w:val="center"/>
        <w:rPr>
          <w:rFonts w:eastAsiaTheme="minorEastAsia"/>
          <w:noProof/>
        </w:rPr>
      </w:pPr>
      <m:oMathPara>
        <m:oMathParaPr>
          <m:jc m:val="center"/>
        </m:oMathParaPr>
        <m:oMath>
          <m:sSub>
            <m:sSubPr>
              <m:ctrlPr>
                <w:rPr>
                  <w:rFonts w:ascii="Cambria Math" w:hAnsi="Cambria Math"/>
                  <w:i/>
                  <w:noProof/>
                </w:rPr>
              </m:ctrlPr>
            </m:sSubPr>
            <m:e>
              <m:r>
                <w:rPr>
                  <w:rFonts w:ascii="Cambria Math" w:hAnsi="Cambria Math"/>
                  <w:noProof/>
                </w:rPr>
                <m:t>FC</m:t>
              </m:r>
            </m:e>
            <m:sub>
              <m:r>
                <w:rPr>
                  <w:rFonts w:ascii="Cambria Math" w:hAnsi="Cambria Math"/>
                  <w:noProof/>
                </w:rPr>
                <m:t>i</m:t>
              </m:r>
            </m:sub>
          </m:sSub>
          <m:r>
            <w:rPr>
              <w:rFonts w:ascii="Cambria Math" w:hAnsi="Cambria Math"/>
              <w:noProof/>
            </w:rPr>
            <m:t>×γ</m:t>
          </m:r>
        </m:oMath>
      </m:oMathPara>
    </w:p>
    <w:p>
      <w:pPr>
        <w:rPr>
          <w:rFonts w:eastAsiaTheme="minorEastAsia"/>
          <w:noProof/>
        </w:rPr>
      </w:pPr>
      <w:r>
        <w:rPr>
          <w:noProof/>
        </w:rPr>
        <w:t xml:space="preserve">kur </w:t>
      </w:r>
      <w:r>
        <w:rPr>
          <w:rFonts w:eastAsiaTheme="minorEastAsia"/>
          <w:i/>
          <w:noProof/>
        </w:rPr>
        <w:t>FC</w:t>
      </w:r>
      <w:r>
        <w:rPr>
          <w:noProof/>
          <w:vertAlign w:val="subscript"/>
        </w:rPr>
        <w:t>i</w:t>
      </w:r>
      <w:r>
        <w:rPr>
          <w:noProof/>
        </w:rPr>
        <w:t xml:space="preserve"> ir finansiālais piešķīrums dalībvalstij </w:t>
      </w:r>
      <w:r>
        <w:rPr>
          <w:rFonts w:eastAsiaTheme="minorEastAsia"/>
          <w:i/>
          <w:noProof/>
        </w:rPr>
        <w:t>i</w:t>
      </w:r>
      <w:r>
        <w:rPr>
          <w:noProof/>
        </w:rPr>
        <w:t>, ko nosaka saskaņā ar 12. panta 2. punktā minētajiem kritērijiem pēc formulas:</w:t>
      </w:r>
    </w:p>
    <w:p>
      <w:pPr>
        <w:jc w:val="center"/>
        <w:rPr>
          <w:noProof/>
        </w:rPr>
      </w:pPr>
      <m:oMathPara>
        <m:oMath>
          <m:sSub>
            <m:sSubPr>
              <m:ctrlPr>
                <w:rPr>
                  <w:rFonts w:ascii="Cambria Math" w:eastAsiaTheme="minorEastAsia" w:hAnsi="Cambria Math"/>
                  <w:i/>
                  <w:noProof/>
                </w:rPr>
              </m:ctrlPr>
            </m:sSubPr>
            <m:e>
              <m:r>
                <w:rPr>
                  <w:rFonts w:ascii="Cambria Math" w:eastAsiaTheme="minorEastAsia" w:hAnsi="Cambria Math"/>
                  <w:noProof/>
                </w:rPr>
                <m:t>FC</m:t>
              </m:r>
            </m:e>
            <m:sub>
              <m:r>
                <w:rPr>
                  <w:rFonts w:ascii="Cambria Math" w:eastAsiaTheme="minorEastAsia" w:hAnsi="Cambria Math"/>
                  <w:noProof/>
                </w:rPr>
                <m:t>i</m:t>
              </m:r>
            </m:sub>
          </m:sSub>
          <m:r>
            <w:rPr>
              <w:rFonts w:ascii="Cambria Math" w:eastAsiaTheme="minorEastAsia" w:hAnsi="Cambria Math"/>
              <w:noProof/>
            </w:rPr>
            <m:t>=</m:t>
          </m:r>
          <m:sSub>
            <m:sSubPr>
              <m:ctrlPr>
                <w:rPr>
                  <w:rFonts w:ascii="Cambria Math" w:eastAsiaTheme="minorEastAsia" w:hAnsi="Cambria Math"/>
                  <w:i/>
                  <w:noProof/>
                </w:rPr>
              </m:ctrlPr>
            </m:sSubPr>
            <m:e>
              <m:r>
                <w:rPr>
                  <w:rFonts w:ascii="Cambria Math" w:eastAsiaTheme="minorEastAsia" w:hAnsi="Cambria Math"/>
                  <w:noProof/>
                </w:rPr>
                <m:t>(α</m:t>
              </m:r>
            </m:e>
            <m:sub>
              <m:r>
                <w:rPr>
                  <w:rFonts w:ascii="Cambria Math" w:eastAsiaTheme="minorEastAsia" w:hAnsi="Cambria Math"/>
                  <w:noProof/>
                </w:rPr>
                <m:t>i</m:t>
              </m:r>
            </m:sub>
          </m:sSub>
          <m:r>
            <w:rPr>
              <w:rFonts w:ascii="Cambria Math" w:eastAsiaTheme="minorEastAsia" w:hAnsi="Cambria Math"/>
              <w:noProof/>
            </w:rPr>
            <m:t xml:space="preserve"> </m:t>
          </m:r>
          <m:sSub>
            <m:sSubPr>
              <m:ctrlPr>
                <w:rPr>
                  <w:rFonts w:ascii="Cambria Math" w:hAnsi="Cambria Math"/>
                  <w:i/>
                  <w:noProof/>
                </w:rPr>
              </m:ctrlPr>
            </m:sSubPr>
            <m:e>
              <m:r>
                <w:rPr>
                  <w:rFonts w:ascii="Cambria Math" w:hAnsi="Cambria Math"/>
                  <w:noProof/>
                </w:rPr>
                <m:t xml:space="preserve">×FS), or </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α</m:t>
                      </m:r>
                    </m:e>
                    <m:sub>
                      <m:r>
                        <w:rPr>
                          <w:rFonts w:ascii="Cambria Math" w:hAnsi="Cambria Math"/>
                          <w:noProof/>
                        </w:rPr>
                        <m:t>i</m:t>
                      </m:r>
                    </m:sub>
                  </m:sSub>
                  <m:r>
                    <w:rPr>
                      <w:rFonts w:ascii="Cambria Math" w:hAnsi="Cambria Math"/>
                      <w:noProof/>
                    </w:rPr>
                    <m:t>×FS</m:t>
                  </m:r>
                </m:num>
                <m:den>
                  <m:r>
                    <w:rPr>
                      <w:rFonts w:ascii="Cambria Math" w:hAnsi="Cambria Math"/>
                      <w:noProof/>
                    </w:rPr>
                    <m:t>2</m:t>
                  </m:r>
                </m:den>
              </m:f>
              <m:r>
                <w:rPr>
                  <w:rFonts w:ascii="Cambria Math" w:hAnsi="Cambria Math"/>
                  <w:noProof/>
                </w:rPr>
                <m:t>, or(β</m:t>
              </m:r>
            </m:e>
            <m:sub>
              <m:r>
                <w:rPr>
                  <w:rFonts w:ascii="Cambria Math" w:hAnsi="Cambria Math"/>
                  <w:noProof/>
                </w:rPr>
                <m:t>i</m:t>
              </m:r>
            </m:sub>
          </m:sSub>
          <m:r>
            <w:rPr>
              <w:rFonts w:ascii="Cambria Math" w:hAnsi="Cambria Math"/>
              <w:noProof/>
            </w:rPr>
            <m:t xml:space="preserve">×CF), or </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β</m:t>
                  </m:r>
                </m:e>
                <m:sub>
                  <m:r>
                    <w:rPr>
                      <w:rFonts w:ascii="Cambria Math" w:hAnsi="Cambria Math"/>
                      <w:noProof/>
                    </w:rPr>
                    <m:t>i</m:t>
                  </m:r>
                </m:sub>
              </m:sSub>
              <m:r>
                <w:rPr>
                  <w:rFonts w:ascii="Cambria Math" w:hAnsi="Cambria Math"/>
                  <w:noProof/>
                </w:rPr>
                <m:t>×CF</m:t>
              </m:r>
            </m:num>
            <m:den>
              <m:r>
                <w:rPr>
                  <w:rFonts w:ascii="Cambria Math" w:hAnsi="Cambria Math"/>
                  <w:noProof/>
                </w:rPr>
                <m:t>2</m:t>
              </m:r>
            </m:den>
          </m:f>
        </m:oMath>
      </m:oMathPara>
    </w:p>
    <w:p>
      <w:pPr>
        <w:rPr>
          <w:noProof/>
        </w:rPr>
      </w:pPr>
      <w:r>
        <w:rPr>
          <w:noProof/>
        </w:rPr>
        <w:t xml:space="preserve">un </w:t>
      </w:r>
      <w:r>
        <w:rPr>
          <w:rFonts w:eastAsiaTheme="minorEastAsia"/>
          <w:i/>
          <w:noProof/>
        </w:rPr>
        <w:t>γ</w:t>
      </w:r>
      <w:r>
        <w:rPr>
          <w:noProof/>
        </w:rPr>
        <w:t xml:space="preserve"> ir korekcijas koeficients, ko aprēķina pēc formulas:</w:t>
      </w:r>
    </w:p>
    <w:p>
      <w:pPr>
        <w:rPr>
          <w:rFonts w:eastAsiaTheme="minorEastAsia"/>
          <w:noProof/>
        </w:rPr>
      </w:pPr>
    </w:p>
    <w:p>
      <w:pPr>
        <w:jc w:val="center"/>
        <w:rPr>
          <w:noProof/>
        </w:rPr>
      </w:pPr>
      <w:r>
        <w:rPr>
          <w:noProof/>
          <w:lang w:val="en-US" w:eastAsia="en-US" w:bidi="ar-SA"/>
        </w:rPr>
        <w:drawing>
          <wp:inline distT="0" distB="0" distL="0" distR="0">
            <wp:extent cx="4058402" cy="43159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064266" cy="432221"/>
                    </a:xfrm>
                    <a:prstGeom prst="rect">
                      <a:avLst/>
                    </a:prstGeom>
                  </pic:spPr>
                </pic:pic>
              </a:graphicData>
            </a:graphic>
          </wp:inline>
        </w:drawing>
      </w:r>
    </w:p>
    <w:p>
      <w:pPr>
        <w:rPr>
          <w:noProof/>
        </w:rPr>
      </w:pPr>
    </w:p>
    <w:p>
      <w:pPr>
        <w:rPr>
          <w:noProof/>
        </w:rPr>
      </w:pPr>
      <w:r>
        <w:rPr>
          <w:noProof/>
        </w:rPr>
        <w:t xml:space="preserve">kur </w:t>
      </w:r>
      <w:r>
        <w:rPr>
          <w:i/>
          <w:noProof/>
        </w:rPr>
        <w:t>i</w:t>
      </w:r>
      <w:r>
        <w:rPr>
          <w:noProof/>
        </w:rPr>
        <w:t xml:space="preserve"> ir jebkura dalībvalsts, kas iesniegusi priekšlikumu, atsaucoties uz uzaicinājumu.</w:t>
      </w:r>
    </w:p>
    <w:p>
      <w:pPr>
        <w:rPr>
          <w:rFonts w:eastAsiaTheme="minorEastAsia"/>
          <w:noProof/>
        </w:rPr>
      </w:pPr>
      <w:r>
        <w:rPr>
          <w:noProof/>
        </w:rPr>
        <w:t xml:space="preserve">Finansiālais ieguldījums </w:t>
      </w:r>
      <w:r>
        <w:rPr>
          <w:rFonts w:eastAsiaTheme="minorEastAsia"/>
          <w:i/>
          <w:noProof/>
        </w:rPr>
        <w:t>FC</w:t>
      </w:r>
      <w:r>
        <w:rPr>
          <w:noProof/>
          <w:vertAlign w:val="subscript"/>
        </w:rPr>
        <w:t>i</w:t>
      </w:r>
      <w:r>
        <w:rPr>
          <w:noProof/>
        </w:rPr>
        <w:t xml:space="preserve"> atbildīs formulai:</w:t>
      </w:r>
    </w:p>
    <w:bookmarkStart w:id="1" w:name="DQPStarAt1DQPStarAt01D7843705574FDEA7B49"/>
    <w:p>
      <w:pPr>
        <w:pStyle w:val="Bullet0"/>
        <w:numPr>
          <w:ilvl w:val="0"/>
          <w:numId w:val="12"/>
        </w:numPr>
        <w:rPr>
          <w:noProof/>
        </w:rPr>
      </w:pPr>
      <m:oMath>
        <m:sSub>
          <m:sSubPr>
            <m:ctrlPr>
              <w:rPr>
                <w:rFonts w:ascii="Cambria Math" w:hAnsi="Cambria Math"/>
                <w:i/>
                <w:noProof/>
              </w:rPr>
            </m:ctrlPr>
          </m:sSubPr>
          <m:e>
            <m:r>
              <w:rPr>
                <w:rFonts w:ascii="Cambria Math" w:hAnsi="Cambria Math"/>
                <w:noProof/>
              </w:rPr>
              <m:t>(α</m:t>
            </m:r>
          </m:e>
          <m:sub>
            <m:r>
              <w:rPr>
                <w:rFonts w:ascii="Cambria Math" w:hAnsi="Cambria Math"/>
                <w:noProof/>
              </w:rPr>
              <m:t>i</m:t>
            </m:r>
          </m:sub>
        </m:sSub>
        <m:r>
          <w:rPr>
            <w:rFonts w:ascii="Cambria Math" w:hAnsi="Cambria Math"/>
            <w:noProof/>
          </w:rPr>
          <m:t xml:space="preserve"> ×FS)</m:t>
        </m:r>
      </m:oMath>
      <w:r>
        <w:rPr>
          <w:noProof/>
        </w:rPr>
        <w:t xml:space="preserve">, ja dalībvalsts reformu priekšlikums, ko tā iesniegusi saskaņā ar reformu īstenošanas instrumentu, ir novērtēts kā pilnīgi atbilstīgs 11. panta 7. punktā noteiktajiem kritērijiem, tāpēc tā var saņemt maksimālo finansiālo ieguldījumu; </w:t>
      </w:r>
    </w:p>
    <w:bookmarkEnd w:id="1"/>
    <w:p>
      <w:pPr>
        <w:pStyle w:val="Bullet0"/>
        <w:rPr>
          <w:noProof/>
        </w:rPr>
      </w:pPr>
      <m:oMath>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α</m:t>
                </m:r>
              </m:e>
              <m:sub>
                <m:r>
                  <w:rPr>
                    <w:rFonts w:ascii="Cambria Math" w:hAnsi="Cambria Math"/>
                    <w:noProof/>
                  </w:rPr>
                  <m:t>i</m:t>
                </m:r>
              </m:sub>
            </m:sSub>
            <m:r>
              <w:rPr>
                <w:rFonts w:ascii="Cambria Math" w:hAnsi="Cambria Math"/>
                <w:noProof/>
              </w:rPr>
              <m:t>×FS</m:t>
            </m:r>
          </m:num>
          <m:den>
            <m:r>
              <w:rPr>
                <w:rFonts w:ascii="Cambria Math" w:hAnsi="Cambria Math"/>
                <w:noProof/>
              </w:rPr>
              <m:t>2</m:t>
            </m:r>
          </m:den>
        </m:f>
        <m:r>
          <w:rPr>
            <w:rFonts w:ascii="Cambria Math" w:hAnsi="Cambria Math"/>
            <w:noProof/>
          </w:rPr>
          <m:t xml:space="preserve"> </m:t>
        </m:r>
      </m:oMath>
      <w:r>
        <w:rPr>
          <w:noProof/>
        </w:rPr>
        <w:t xml:space="preserve">, ja dalībvalsts reformu priekšlikums, ko tā iesniegusi saskaņā ar reformu īstenošanas instrumentu, ir novērtēts kā apmierinošs, salīdzinot ar 11. panta 7. punktā noteiktajiem kritērijiem, tāpēc tā var saņemt pusi no maksimālā finansiālā ieguldījuma; </w:t>
      </w:r>
    </w:p>
    <w:p>
      <w:pPr>
        <w:pStyle w:val="Bullet0"/>
        <w:rPr>
          <w:noProof/>
        </w:rPr>
      </w:pPr>
      <m:oMath>
        <m:sSub>
          <m:sSubPr>
            <m:ctrlPr>
              <w:rPr>
                <w:rFonts w:ascii="Cambria Math" w:hAnsi="Cambria Math"/>
                <w:i/>
                <w:noProof/>
              </w:rPr>
            </m:ctrlPr>
          </m:sSubPr>
          <m:e>
            <m:r>
              <w:rPr>
                <w:rFonts w:ascii="Cambria Math" w:hAnsi="Cambria Math"/>
                <w:noProof/>
              </w:rPr>
              <m:t>(β</m:t>
            </m:r>
          </m:e>
          <m:sub>
            <m:r>
              <w:rPr>
                <w:rFonts w:ascii="Cambria Math" w:hAnsi="Cambria Math"/>
                <w:noProof/>
              </w:rPr>
              <m:t>i</m:t>
            </m:r>
          </m:sub>
        </m:sSub>
        <m:r>
          <w:rPr>
            <w:rFonts w:ascii="Cambria Math" w:hAnsi="Cambria Math"/>
            <w:noProof/>
          </w:rPr>
          <m:t xml:space="preserve">×CF) </m:t>
        </m:r>
      </m:oMath>
      <w:r>
        <w:rPr>
          <w:noProof/>
        </w:rPr>
        <w:t>, ja dalībvalsts reformu priekšlikums, ko tā iesniegusi saskaņā ar konverģences mehānisma finansiālā atbalsta komponentu, ir novērtēts kā pilnīgi atbilstīgs 11. panta 7. punktā un 27. panta 3. punktā noteiktajiem kritērijiem, tāpēc tā var saņemt maksimālo finansiālo ieguldījumu vai</w:t>
      </w:r>
    </w:p>
    <w:p>
      <w:pPr>
        <w:pStyle w:val="Bullet0"/>
        <w:rPr>
          <w:noProof/>
        </w:rPr>
      </w:pPr>
      <m:oMath>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β</m:t>
                </m:r>
              </m:e>
              <m:sub>
                <m:r>
                  <w:rPr>
                    <w:rFonts w:ascii="Cambria Math" w:hAnsi="Cambria Math"/>
                    <w:noProof/>
                  </w:rPr>
                  <m:t>i</m:t>
                </m:r>
              </m:sub>
            </m:sSub>
            <m:r>
              <w:rPr>
                <w:rFonts w:ascii="Cambria Math" w:hAnsi="Cambria Math"/>
                <w:noProof/>
              </w:rPr>
              <m:t>×CF</m:t>
            </m:r>
          </m:num>
          <m:den>
            <m:r>
              <w:rPr>
                <w:rFonts w:ascii="Cambria Math" w:hAnsi="Cambria Math"/>
                <w:noProof/>
              </w:rPr>
              <m:t>2</m:t>
            </m:r>
          </m:den>
        </m:f>
        <m:r>
          <w:rPr>
            <w:rFonts w:ascii="Cambria Math" w:hAnsi="Cambria Math"/>
            <w:noProof/>
          </w:rPr>
          <m:t xml:space="preserve"> </m:t>
        </m:r>
      </m:oMath>
      <w:r>
        <w:rPr>
          <w:noProof/>
        </w:rPr>
        <w:t>, ja dalībvalsts reformu priekšlikums, ko tā iesniegusi saskaņā ar konverģences mehānisma finansiālā atbalsta komponentu, ir novērtēts kā apmierinošs, salīdzinot ar 11. panta 7. punktā un 27. panta 3. punktā noteiktajiem kritērijiem, tāpēc tā var saņemt pusi no maksimālā finansiālā ieguldījuma.</w:t>
      </w:r>
    </w:p>
    <w:p>
      <w:pPr>
        <w:rPr>
          <w:noProof/>
        </w:rPr>
      </w:pPr>
    </w:p>
    <w:p>
      <w:pPr>
        <w:spacing w:before="0" w:after="200" w:line="276" w:lineRule="auto"/>
        <w:jc w:val="left"/>
        <w:rPr>
          <w:noProof/>
        </w:rPr>
      </w:pPr>
      <w:r>
        <w:rPr>
          <w:noProof/>
        </w:rPr>
        <w:br w:type="page"/>
      </w:r>
    </w:p>
    <w:p>
      <w:pPr>
        <w:pStyle w:val="Annexetitre"/>
        <w:rPr>
          <w:noProof/>
        </w:rPr>
      </w:pPr>
      <w:r>
        <w:rPr>
          <w:noProof/>
        </w:rPr>
        <w:t>II PIELIKUMS</w:t>
      </w:r>
    </w:p>
    <w:p>
      <w:pPr>
        <w:jc w:val="center"/>
        <w:rPr>
          <w:noProof/>
        </w:rPr>
      </w:pPr>
      <w:r>
        <w:rPr>
          <w:b/>
          <w:noProof/>
        </w:rPr>
        <w:t>Novērtēšanas vadlīnijas</w:t>
      </w:r>
    </w:p>
    <w:p>
      <w:pPr>
        <w:rPr>
          <w:noProof/>
        </w:rPr>
      </w:pPr>
    </w:p>
    <w:p>
      <w:pPr>
        <w:rPr>
          <w:b/>
          <w:noProof/>
        </w:rPr>
      </w:pPr>
      <w:r>
        <w:rPr>
          <w:b/>
          <w:noProof/>
        </w:rPr>
        <w:t xml:space="preserve">1. Darbības joma </w:t>
      </w:r>
    </w:p>
    <w:p>
      <w:pPr>
        <w:rPr>
          <w:noProof/>
        </w:rPr>
      </w:pPr>
      <w:r>
        <w:rPr>
          <w:noProof/>
        </w:rPr>
        <w:t xml:space="preserve">Novērtēšanas vadlīnijas kopā ar šo regulu jāizmanto par pamatu, lai Komisija, īstenodama reformu īstenošanas instrumentu un konverģences mehānisma finansiālā atbalsta komponentu, varētu pārredzamā un taisnīgā veidā novērtēt dalībvalstu izvirzītos reformu saistību priekšlikumus un noteikt finansiālā ieguldījuma apjomu saskaņā ar šajā regulā izklāstītajiem mērķiem un visām pārējām attiecīgajām prasībām. Šīs vadlīnijas it īpaši ir pamats, uz kura piemērot novērtēšanas kritērijus un noteikt finansiālo ieguldījumu, kā minēts attiecīgi 11. panta 7. punktā, 12. panta 2. punktā un 28. pantā. </w:t>
      </w:r>
    </w:p>
    <w:p>
      <w:pPr>
        <w:rPr>
          <w:noProof/>
        </w:rPr>
      </w:pPr>
      <w:r>
        <w:rPr>
          <w:noProof/>
        </w:rPr>
        <w:t>Līdz ar to šīs vadlīnijas neattiecas uz tehniskā atbalsta instrumentu un uz konverģences mehānisma tehniskā atbalsta komponentu. Tāpēc tās nepiemēro, izvērtējot tehniskā atbalsta pieprasījumus, kas minēti 19. un 31. pantā.</w:t>
      </w:r>
    </w:p>
    <w:p>
      <w:pPr>
        <w:rPr>
          <w:noProof/>
        </w:rPr>
      </w:pPr>
      <w:r>
        <w:rPr>
          <w:noProof/>
        </w:rPr>
        <w:t xml:space="preserve">Novērtēšanas vadlīnijas ir izstrādātas, lai: </w:t>
      </w:r>
    </w:p>
    <w:p>
      <w:pPr>
        <w:rPr>
          <w:noProof/>
        </w:rPr>
      </w:pPr>
      <w:r>
        <w:rPr>
          <w:noProof/>
        </w:rPr>
        <w:t xml:space="preserve">a) sniegtu papildu norādījumus par dalībvalstu iesniegto reformu saistību priekšlikumu novērtēšanas procesu; </w:t>
      </w:r>
    </w:p>
    <w:p>
      <w:pPr>
        <w:rPr>
          <w:noProof/>
        </w:rPr>
      </w:pPr>
      <w:r>
        <w:rPr>
          <w:noProof/>
        </w:rPr>
        <w:t>b) sniegtu sīkāku informāciju par novērtēšanas kritērijiem un izveidotu atzīmju sistēmu, kas nodrošinās taisnīgu un pārredzamu procesu, un</w:t>
      </w:r>
    </w:p>
    <w:p>
      <w:pPr>
        <w:rPr>
          <w:noProof/>
        </w:rPr>
      </w:pPr>
      <w:r>
        <w:rPr>
          <w:noProof/>
        </w:rPr>
        <w:t xml:space="preserve">c) definētu saikni starp novērtējumu, kas Komisijai jāveic saskaņā ar novērtēšanas kritērijiem, un finansiālo ieguldījumu, kura apjomu Komisija nosaka lēmumā, kas attiecas uz izraudzītajām reformu saistībām. </w:t>
      </w:r>
    </w:p>
    <w:p>
      <w:pPr>
        <w:rPr>
          <w:noProof/>
        </w:rPr>
      </w:pPr>
      <w:r>
        <w:rPr>
          <w:noProof/>
        </w:rPr>
        <w:t xml:space="preserve">Vadlīnijas ir instruments, kas Komisijai atvieglo dalībvalstu iesniegto saistību priekšlikumu novērtēšanu un nodrošina, ka reformu īstenošanas instruments un konverģences mehānisma finansiālā atbalsta komponents sniedz finansiālus stimulus tādu reformu īstenošanai, kuras ir būtiskas un izceļas ar augstu pievienoto vērtību, vienlaikus nodrošinot vienādu attieksmi pret visām dalībvalstīm. </w:t>
      </w:r>
    </w:p>
    <w:p>
      <w:pPr>
        <w:rPr>
          <w:b/>
          <w:noProof/>
        </w:rPr>
      </w:pPr>
    </w:p>
    <w:p>
      <w:pPr>
        <w:rPr>
          <w:b/>
          <w:noProof/>
        </w:rPr>
      </w:pPr>
      <w:r>
        <w:rPr>
          <w:b/>
          <w:noProof/>
        </w:rPr>
        <w:t xml:space="preserve">2. Process </w:t>
      </w:r>
    </w:p>
    <w:p>
      <w:pPr>
        <w:rPr>
          <w:noProof/>
        </w:rPr>
      </w:pPr>
      <w:r>
        <w:rPr>
          <w:noProof/>
        </w:rPr>
        <w:t xml:space="preserve">Saskaņā ar 11. pantu dalībvalsts, kura vēlas saņemt atbalstu no reformu īstenošanas instrumenta, iesniedz Komisijai reformu saistību priekšlikumu. Priekšlikumam jābūt pienācīgi pamatotam un argumentētam un jāietver visi 11. panta 3. punktā minētie elementi. Lai reformu saistību priekšlikumi būtu kvalitatīvi sagatavoti, Komisija var organizēt līdzbiedru konsultācijas, kas attiecīgajai dalībvalstij dos iespēju iepazīties ar citu dalībvalstu pieredzi pirms sava priekšlikuma iesniegšanas. </w:t>
      </w:r>
    </w:p>
    <w:p>
      <w:pPr>
        <w:rPr>
          <w:noProof/>
        </w:rPr>
      </w:pPr>
      <w:r>
        <w:rPr>
          <w:noProof/>
        </w:rPr>
        <w:t>Novērtēšanas procesā Komisija cieši sadarbojas ar attiecīgo dalībvalsti. Komisija var paust savus apsvērumus vai pieprasīt papildu informāciju. Attiecīgā dalībvalsts sniedz pieprasīto papildu informāciju un vajadzības gadījumā var pārstrādāt savu priekšlikumu pirms tā oficiālās iesniegšanas. Komisija ņem vērā pamatojumu un citus elementus, ko iesniegusi attiecīgā dalībvalsts, un visu pārējo attiecīgo informāciju.</w:t>
      </w:r>
    </w:p>
    <w:p>
      <w:pPr>
        <w:rPr>
          <w:noProof/>
        </w:rPr>
      </w:pPr>
      <w:r>
        <w:rPr>
          <w:noProof/>
        </w:rPr>
        <w:t xml:space="preserve">Saskaņā ar 12. panta 1. punktu Komisija veic novērtēšanu un četru mēnešu laikā pēc tam, kad attiecīgā dalībvalsts oficiāli iesniegusi reformu saistību priekšlikumu, ar īstenošanas aktu pieņem lēmumu. </w:t>
      </w:r>
    </w:p>
    <w:p>
      <w:pPr>
        <w:rPr>
          <w:noProof/>
        </w:rPr>
      </w:pPr>
      <w:r>
        <w:rPr>
          <w:noProof/>
        </w:rPr>
        <w:t xml:space="preserve">Lai novērtētu dalībvalstu iesniegtos reformu saistību priekšlikumus, Komisijai var palīdzēt eksperti. </w:t>
      </w:r>
    </w:p>
    <w:p>
      <w:pPr>
        <w:tabs>
          <w:tab w:val="num" w:pos="850"/>
        </w:tabs>
        <w:rPr>
          <w:noProof/>
        </w:rPr>
      </w:pPr>
      <w:r>
        <w:rPr>
          <w:noProof/>
        </w:rPr>
        <w:t>Neatkarīgi no novērtēšanas, kas jāveic Komisijai, Ekonomikas politikas komiteja, kas izveidota ar Padomes Lēmumu 2000/604/EK</w:t>
      </w:r>
      <w:r>
        <w:rPr>
          <w:rStyle w:val="FootnoteReference"/>
          <w:noProof/>
        </w:rPr>
        <w:footnoteReference w:id="2"/>
      </w:r>
      <w:r>
        <w:rPr>
          <w:noProof/>
        </w:rPr>
        <w:t xml:space="preserve">, arī var sniegt atzinumu par dalībvalstu iesniegtajiem reformu saistību priekšlikumiem. </w:t>
      </w:r>
    </w:p>
    <w:p>
      <w:pPr>
        <w:rPr>
          <w:noProof/>
        </w:rPr>
      </w:pPr>
      <w:r>
        <w:rPr>
          <w:noProof/>
        </w:rPr>
        <w:t>Komisijas lēmumā nosaka dalībvalstij īstenojamās reformu saistības, tostarp vidusposma un galīgos mērķrādītājus. Tajā nosaka reformu saistību īstenošanas periodu, kas nedrīkst pārsniegt trīs gadus kopš lēmuma pieņemšanas. Tajā arī nosaka sīki izstrādātu kārtību un laika grafiku, saskaņā ar kuru attiecīgā dalībvalsts sniedz ziņojumus Eiropas pusgada procesā, un attiecīgos rādītājus, kas raksturo starpposma un galīgo mērķrādītāju izpildi, kā arī kārtību, kā Komisija nodrošina piekļuvi attiecīgajiem datiem, kas ir lēmuma pamatā. Visbeidzot, Komisijas lēmumā saskaņā ar 12. panta 2. punktu nosaka finansiālo ieguldījumu, ko piešķir izraudzītajām reformu saistībām.</w:t>
      </w:r>
    </w:p>
    <w:p>
      <w:pPr>
        <w:rPr>
          <w:noProof/>
        </w:rPr>
      </w:pPr>
    </w:p>
    <w:p>
      <w:pPr>
        <w:rPr>
          <w:b/>
          <w:noProof/>
        </w:rPr>
      </w:pPr>
      <w:r>
        <w:rPr>
          <w:b/>
          <w:noProof/>
        </w:rPr>
        <w:t>3. Novērtēšanas kritēriji</w:t>
      </w:r>
    </w:p>
    <w:p>
      <w:pPr>
        <w:rPr>
          <w:noProof/>
        </w:rPr>
      </w:pPr>
      <w:r>
        <w:rPr>
          <w:noProof/>
        </w:rPr>
        <w:t xml:space="preserve">Komisija saskaņā ar 11. panta 7. punktu novērtē reformu saistību priekšlikumu reformu veidu un nozīmi, šajā nolūkā ņemdama vērā šādus kritērijus: </w:t>
      </w:r>
    </w:p>
    <w:p>
      <w:pPr>
        <w:pStyle w:val="Point1letter"/>
        <w:numPr>
          <w:ilvl w:val="3"/>
          <w:numId w:val="13"/>
        </w:numPr>
        <w:rPr>
          <w:noProof/>
        </w:rPr>
      </w:pPr>
      <w:r>
        <w:rPr>
          <w:noProof/>
        </w:rPr>
        <w:t xml:space="preserve">vai reformu saistības: </w:t>
      </w:r>
    </w:p>
    <w:p>
      <w:pPr>
        <w:pStyle w:val="Point2number"/>
        <w:numPr>
          <w:ilvl w:val="4"/>
          <w:numId w:val="5"/>
        </w:numPr>
        <w:rPr>
          <w:noProof/>
          <w:szCs w:val="24"/>
        </w:rPr>
      </w:pPr>
      <w:r>
        <w:rPr>
          <w:noProof/>
        </w:rPr>
        <w:t xml:space="preserve">spēs efektīvi risināt problēmas, kas konstatētas Eiropas pusgada gaitā, proti: </w:t>
      </w:r>
    </w:p>
    <w:p>
      <w:pPr>
        <w:pStyle w:val="Tiret3"/>
        <w:numPr>
          <w:ilvl w:val="0"/>
          <w:numId w:val="14"/>
        </w:numPr>
        <w:rPr>
          <w:noProof/>
        </w:rPr>
      </w:pPr>
      <w:r>
        <w:rPr>
          <w:noProof/>
        </w:rPr>
        <w:t xml:space="preserve">konkrētai valstij adresētajos ieteikumos un citos attiecīgajos Eiropas pusgada dokumentos, ko oficiāli pieņēmusi Komisija, vai </w:t>
      </w:r>
    </w:p>
    <w:p>
      <w:pPr>
        <w:pStyle w:val="Tiret3"/>
        <w:rPr>
          <w:noProof/>
        </w:rPr>
      </w:pPr>
      <w:r>
        <w:rPr>
          <w:noProof/>
        </w:rPr>
        <w:t>attiecīgā gadījumā makroekonomikas nelīdzsvarotības novēršanas procedūrā;</w:t>
      </w:r>
    </w:p>
    <w:p>
      <w:pPr>
        <w:pStyle w:val="Point2number"/>
        <w:numPr>
          <w:ilvl w:val="4"/>
          <w:numId w:val="5"/>
        </w:numPr>
        <w:rPr>
          <w:noProof/>
        </w:rPr>
      </w:pPr>
      <w:r>
        <w:rPr>
          <w:noProof/>
        </w:rPr>
        <w:t xml:space="preserve">veido visaptverošu reformu kopumu; </w:t>
      </w:r>
    </w:p>
    <w:p>
      <w:pPr>
        <w:pStyle w:val="Point2number"/>
        <w:numPr>
          <w:ilvl w:val="4"/>
          <w:numId w:val="5"/>
        </w:numPr>
        <w:rPr>
          <w:noProof/>
          <w:szCs w:val="24"/>
        </w:rPr>
      </w:pPr>
      <w:r>
        <w:rPr>
          <w:noProof/>
        </w:rPr>
        <w:t>spēs stiprināt attiecīgās dalībvalsts ekonomikas sniegumu un noturību;</w:t>
      </w:r>
    </w:p>
    <w:p>
      <w:pPr>
        <w:pStyle w:val="Point2number"/>
        <w:numPr>
          <w:ilvl w:val="4"/>
          <w:numId w:val="5"/>
        </w:numPr>
        <w:rPr>
          <w:noProof/>
        </w:rPr>
      </w:pPr>
      <w:r>
        <w:rPr>
          <w:noProof/>
        </w:rPr>
        <w:t xml:space="preserve">spēs nodrošināt, ka to īstenošanai būs paliekoša ietekme, attiecīgā gadījumā nostiprinot konkrētās dalībvalsts institucionālo un administratīvo spēju, </w:t>
      </w:r>
    </w:p>
    <w:p>
      <w:pPr>
        <w:tabs>
          <w:tab w:val="left" w:pos="567"/>
          <w:tab w:val="left" w:pos="851"/>
        </w:tabs>
        <w:ind w:left="851"/>
        <w:rPr>
          <w:noProof/>
        </w:rPr>
      </w:pPr>
      <w:r>
        <w:rPr>
          <w:noProof/>
        </w:rPr>
        <w:tab/>
        <w:t>un</w:t>
      </w:r>
    </w:p>
    <w:p>
      <w:pPr>
        <w:pStyle w:val="Point1letter"/>
        <w:rPr>
          <w:noProof/>
        </w:rPr>
      </w:pPr>
      <w:r>
        <w:rPr>
          <w:noProof/>
        </w:rPr>
        <w:t xml:space="preserve">vai ir gaidāms, ka attiecīgo dalībvalstu ierosinātā iekšējā kārtība nodrošinās reformu saistību efektīvu īstenošanu ne ilgāk kā triju gadu laikā, tostarp izpildot ierosinātos starpposma un galīgos mērķrādītājus un saistītos rādītājus. </w:t>
      </w:r>
    </w:p>
    <w:p>
      <w:pPr>
        <w:rPr>
          <w:noProof/>
        </w:rPr>
      </w:pPr>
      <w:r>
        <w:rPr>
          <w:noProof/>
        </w:rPr>
        <w:t>Novērtēšanas procesa rezultātā Komisija dalībvalstu iesniegtajiem reformu saistību priekšlikumiem piešķir atzīmi par katru no 11. panta 7. punktā minētajiem vērtēšanas kritērijiem, lai novērtētu priekšlikumu veidu un nozīmi saskaņā ar finanšu atbalsta instrumentu un lai noteiktu finanšu piešķīrumu saskaņā ar 12. panta 2. punktu.</w:t>
      </w:r>
    </w:p>
    <w:p>
      <w:pPr>
        <w:rPr>
          <w:noProof/>
        </w:rPr>
      </w:pPr>
      <w:r>
        <w:rPr>
          <w:noProof/>
        </w:rPr>
        <w:t>Vienkāršības un efektivitātes labad par katru kritēriju piešķir atzīmi diapazonā no A līdz C, kā noteikts turpmāk:</w:t>
      </w:r>
    </w:p>
    <w:p>
      <w:pPr>
        <w:rPr>
          <w:b/>
          <w:noProof/>
          <w:u w:val="single"/>
        </w:rPr>
      </w:pPr>
    </w:p>
    <w:p>
      <w:pPr>
        <w:ind w:left="426"/>
        <w:rPr>
          <w:b/>
          <w:i/>
          <w:noProof/>
          <w:u w:val="single"/>
        </w:rPr>
      </w:pPr>
      <w:r>
        <w:rPr>
          <w:b/>
          <w:i/>
          <w:noProof/>
          <w:u w:val="single"/>
        </w:rPr>
        <w:t>3.1. Reformu saistības spēs efektīvi risināt problēmas, kas konstatētas Eiropas pusgada gaitā</w:t>
      </w:r>
    </w:p>
    <w:p>
      <w:pPr>
        <w:spacing w:after="0"/>
        <w:jc w:val="left"/>
        <w:rPr>
          <w:noProof/>
          <w:szCs w:val="24"/>
        </w:rPr>
      </w:pPr>
      <w:r>
        <w:rPr>
          <w:noProof/>
        </w:rPr>
        <w:t xml:space="preserve">Vērtējot atbilstību šim kritērijam, Komisija ņem vērā šādus elementus: </w:t>
      </w:r>
    </w:p>
    <w:p>
      <w:pPr>
        <w:spacing w:after="0"/>
        <w:jc w:val="left"/>
        <w:rPr>
          <w:b/>
          <w:i/>
          <w:noProof/>
          <w:szCs w:val="24"/>
        </w:rPr>
      </w:pPr>
    </w:p>
    <w:p>
      <w:pPr>
        <w:spacing w:after="0"/>
        <w:jc w:val="left"/>
        <w:rPr>
          <w:b/>
          <w:i/>
          <w:noProof/>
          <w:szCs w:val="24"/>
        </w:rPr>
      </w:pPr>
      <w:r>
        <w:rPr>
          <w:b/>
          <w:i/>
          <w:noProof/>
        </w:rPr>
        <w:t xml:space="preserve">Darbības joma </w:t>
      </w:r>
    </w:p>
    <w:p>
      <w:pPr>
        <w:pBdr>
          <w:top w:val="single" w:sz="4" w:space="1" w:color="auto"/>
          <w:left w:val="single" w:sz="4" w:space="4" w:color="auto"/>
          <w:bottom w:val="single" w:sz="4" w:space="1" w:color="auto"/>
          <w:right w:val="single" w:sz="4" w:space="4" w:color="auto"/>
        </w:pBdr>
        <w:spacing w:after="0"/>
        <w:rPr>
          <w:noProof/>
          <w:szCs w:val="24"/>
        </w:rPr>
      </w:pPr>
      <w:r>
        <w:rPr>
          <w:noProof/>
        </w:rPr>
        <w:t xml:space="preserve">- reformu saistību priekšlikuma mērķis ir risināt problēmas, kas konstatētas konkrētai valstij adresētajos ieteikumos, </w:t>
      </w:r>
    </w:p>
    <w:p>
      <w:pPr>
        <w:pBdr>
          <w:top w:val="single" w:sz="4" w:space="1" w:color="auto"/>
          <w:left w:val="single" w:sz="4" w:space="4" w:color="auto"/>
          <w:bottom w:val="single" w:sz="4" w:space="1" w:color="auto"/>
          <w:right w:val="single" w:sz="4" w:space="4" w:color="auto"/>
        </w:pBdr>
        <w:spacing w:after="0"/>
        <w:rPr>
          <w:noProof/>
          <w:szCs w:val="24"/>
        </w:rPr>
      </w:pPr>
      <w:r>
        <w:rPr>
          <w:noProof/>
        </w:rPr>
        <w:t>vai</w:t>
      </w:r>
    </w:p>
    <w:p>
      <w:pPr>
        <w:pBdr>
          <w:top w:val="single" w:sz="4" w:space="1" w:color="auto"/>
          <w:left w:val="single" w:sz="4" w:space="4" w:color="auto"/>
          <w:bottom w:val="single" w:sz="4" w:space="1" w:color="auto"/>
          <w:right w:val="single" w:sz="4" w:space="4" w:color="auto"/>
        </w:pBdr>
        <w:spacing w:after="0"/>
        <w:rPr>
          <w:noProof/>
          <w:szCs w:val="24"/>
        </w:rPr>
      </w:pPr>
      <w:r>
        <w:rPr>
          <w:noProof/>
        </w:rPr>
        <w:t xml:space="preserve">- reformu saistību priekšlikuma mērķis ir risināt problēmas, kas konstatētas citos attiecīgajos Eiropas pusgada dokumentos, kurus ir oficiāli pieņēmusi Komisija, </w:t>
      </w:r>
    </w:p>
    <w:p>
      <w:pPr>
        <w:pBdr>
          <w:top w:val="single" w:sz="4" w:space="1" w:color="auto"/>
          <w:left w:val="single" w:sz="4" w:space="4" w:color="auto"/>
          <w:bottom w:val="single" w:sz="4" w:space="1" w:color="auto"/>
          <w:right w:val="single" w:sz="4" w:space="4" w:color="auto"/>
        </w:pBdr>
        <w:spacing w:after="0"/>
        <w:rPr>
          <w:noProof/>
          <w:szCs w:val="24"/>
        </w:rPr>
      </w:pPr>
      <w:r>
        <w:rPr>
          <w:noProof/>
        </w:rPr>
        <w:t>vai</w:t>
      </w:r>
    </w:p>
    <w:p>
      <w:pPr>
        <w:pBdr>
          <w:top w:val="single" w:sz="4" w:space="1" w:color="auto"/>
          <w:left w:val="single" w:sz="4" w:space="4" w:color="auto"/>
          <w:bottom w:val="single" w:sz="4" w:space="1" w:color="auto"/>
          <w:right w:val="single" w:sz="4" w:space="4" w:color="auto"/>
        </w:pBdr>
        <w:spacing w:after="0"/>
        <w:rPr>
          <w:noProof/>
          <w:szCs w:val="24"/>
        </w:rPr>
      </w:pPr>
      <w:r>
        <w:rPr>
          <w:noProof/>
        </w:rPr>
        <w:t>- reformu saistību priekšlikuma mērķis ir risināt problēmas, kas konstatētas makroekonomikas nelīdzsvarotības novēršanas procedūrā,</w:t>
      </w:r>
    </w:p>
    <w:p>
      <w:pPr>
        <w:pBdr>
          <w:top w:val="single" w:sz="4" w:space="1" w:color="auto"/>
          <w:left w:val="single" w:sz="4" w:space="4" w:color="auto"/>
          <w:bottom w:val="single" w:sz="4" w:space="1" w:color="auto"/>
          <w:right w:val="single" w:sz="4" w:space="4" w:color="auto"/>
        </w:pBdr>
        <w:spacing w:after="0"/>
        <w:rPr>
          <w:noProof/>
          <w:szCs w:val="24"/>
        </w:rPr>
      </w:pPr>
      <w:r>
        <w:rPr>
          <w:noProof/>
        </w:rPr>
        <w:t>un</w:t>
      </w:r>
    </w:p>
    <w:p>
      <w:pPr>
        <w:pBdr>
          <w:top w:val="single" w:sz="4" w:space="1" w:color="auto"/>
          <w:left w:val="single" w:sz="4" w:space="4" w:color="auto"/>
          <w:bottom w:val="single" w:sz="4" w:space="1" w:color="auto"/>
          <w:right w:val="single" w:sz="4" w:space="4" w:color="auto"/>
        </w:pBdr>
        <w:spacing w:after="0"/>
        <w:rPr>
          <w:noProof/>
          <w:szCs w:val="24"/>
        </w:rPr>
      </w:pPr>
      <w:r>
        <w:rPr>
          <w:noProof/>
        </w:rPr>
        <w:t>- reformu saistību priekšlikumā paredzētās reformas spēs efektīvi risināt konstatētās problēmas, jo pēc ierosinātās(-o) reformas(-u) pabeigšanas šīs problēmas Eiropas pusgada kontekstā tiks uzskatītas par atrisinātām.</w:t>
      </w:r>
    </w:p>
    <w:p>
      <w:pPr>
        <w:spacing w:after="0"/>
        <w:jc w:val="left"/>
        <w:rPr>
          <w:b/>
          <w:i/>
          <w:noProof/>
          <w:szCs w:val="24"/>
        </w:rPr>
      </w:pPr>
    </w:p>
    <w:p>
      <w:pPr>
        <w:spacing w:after="0"/>
        <w:jc w:val="left"/>
        <w:rPr>
          <w:b/>
          <w:i/>
          <w:noProof/>
          <w:szCs w:val="24"/>
        </w:rPr>
      </w:pPr>
      <w:r>
        <w:rPr>
          <w:b/>
          <w:i/>
          <w:noProof/>
        </w:rPr>
        <w:t>Atzīme</w:t>
      </w:r>
    </w:p>
    <w:p>
      <w:pPr>
        <w:pBdr>
          <w:top w:val="single" w:sz="4" w:space="1" w:color="auto"/>
          <w:left w:val="single" w:sz="4" w:space="4" w:color="auto"/>
          <w:bottom w:val="single" w:sz="4" w:space="1" w:color="auto"/>
          <w:right w:val="single" w:sz="4" w:space="4" w:color="auto"/>
        </w:pBdr>
        <w:rPr>
          <w:noProof/>
        </w:rPr>
      </w:pPr>
      <w:r>
        <w:rPr>
          <w:noProof/>
        </w:rPr>
        <w:t>A – lielā mērā un ar augstu efektivitāti</w:t>
      </w:r>
    </w:p>
    <w:p>
      <w:pPr>
        <w:pBdr>
          <w:top w:val="single" w:sz="4" w:space="1" w:color="auto"/>
          <w:left w:val="single" w:sz="4" w:space="4" w:color="auto"/>
          <w:bottom w:val="single" w:sz="4" w:space="1" w:color="auto"/>
          <w:right w:val="single" w:sz="4" w:space="4" w:color="auto"/>
        </w:pBdr>
        <w:rPr>
          <w:noProof/>
        </w:rPr>
      </w:pPr>
      <w:r>
        <w:rPr>
          <w:noProof/>
        </w:rPr>
        <w:t>B – vidējā mērā un ar vidēju efektivitāti</w:t>
      </w:r>
    </w:p>
    <w:p>
      <w:pPr>
        <w:pBdr>
          <w:top w:val="single" w:sz="4" w:space="1" w:color="auto"/>
          <w:left w:val="single" w:sz="4" w:space="4" w:color="auto"/>
          <w:bottom w:val="single" w:sz="4" w:space="1" w:color="auto"/>
          <w:right w:val="single" w:sz="4" w:space="4" w:color="auto"/>
        </w:pBdr>
        <w:rPr>
          <w:noProof/>
        </w:rPr>
      </w:pPr>
      <w:r>
        <w:rPr>
          <w:noProof/>
        </w:rPr>
        <w:t>C – nelielā mērā un ar zemu efektivitāti</w:t>
      </w:r>
    </w:p>
    <w:p>
      <w:pPr>
        <w:rPr>
          <w:noProof/>
        </w:rPr>
      </w:pPr>
    </w:p>
    <w:p>
      <w:pPr>
        <w:ind w:left="426"/>
        <w:rPr>
          <w:b/>
          <w:i/>
          <w:noProof/>
          <w:u w:val="single"/>
        </w:rPr>
      </w:pPr>
      <w:r>
        <w:rPr>
          <w:b/>
          <w:i/>
          <w:noProof/>
          <w:u w:val="single"/>
        </w:rPr>
        <w:t>3.2. Reformu saistības ir visaptverošs reformu kopums</w:t>
      </w:r>
    </w:p>
    <w:p>
      <w:pPr>
        <w:rPr>
          <w:noProof/>
        </w:rPr>
      </w:pPr>
      <w:r>
        <w:rPr>
          <w:noProof/>
        </w:rPr>
        <w:t xml:space="preserve">Vērtējot atbilstību šim kritērijam, Komisija ņem vērā šādus elementus: </w:t>
      </w:r>
    </w:p>
    <w:p>
      <w:pPr>
        <w:spacing w:after="0"/>
        <w:jc w:val="left"/>
        <w:rPr>
          <w:b/>
          <w:i/>
          <w:noProof/>
        </w:rPr>
      </w:pPr>
    </w:p>
    <w:p>
      <w:pPr>
        <w:spacing w:after="0"/>
        <w:jc w:val="left"/>
        <w:rPr>
          <w:b/>
          <w:i/>
          <w:noProof/>
        </w:rPr>
      </w:pPr>
      <w:r>
        <w:rPr>
          <w:b/>
          <w:i/>
          <w:noProof/>
        </w:rPr>
        <w:t>Darbības joma</w:t>
      </w:r>
    </w:p>
    <w:p>
      <w:pPr>
        <w:pBdr>
          <w:top w:val="single" w:sz="4" w:space="1" w:color="auto"/>
          <w:left w:val="single" w:sz="4" w:space="4" w:color="auto"/>
          <w:bottom w:val="single" w:sz="4" w:space="1" w:color="auto"/>
          <w:right w:val="single" w:sz="4" w:space="4" w:color="auto"/>
        </w:pBdr>
        <w:spacing w:after="0"/>
        <w:rPr>
          <w:noProof/>
          <w:szCs w:val="24"/>
        </w:rPr>
      </w:pPr>
      <w:r>
        <w:rPr>
          <w:noProof/>
        </w:rPr>
        <w:t xml:space="preserve">- reformu saistību priekšlikums dalībvalstī tiecas risināt savstarpēji saistītu problēmu kopumu (tvērums) </w:t>
      </w:r>
    </w:p>
    <w:p>
      <w:pPr>
        <w:pBdr>
          <w:top w:val="single" w:sz="4" w:space="1" w:color="auto"/>
          <w:left w:val="single" w:sz="4" w:space="4" w:color="auto"/>
          <w:bottom w:val="single" w:sz="4" w:space="1" w:color="auto"/>
          <w:right w:val="single" w:sz="4" w:space="4" w:color="auto"/>
        </w:pBdr>
        <w:spacing w:after="0"/>
        <w:rPr>
          <w:noProof/>
          <w:szCs w:val="24"/>
        </w:rPr>
      </w:pPr>
      <w:r>
        <w:rPr>
          <w:noProof/>
        </w:rPr>
        <w:t>un</w:t>
      </w:r>
    </w:p>
    <w:p>
      <w:pPr>
        <w:pBdr>
          <w:top w:val="single" w:sz="4" w:space="1" w:color="auto"/>
          <w:left w:val="single" w:sz="4" w:space="4" w:color="auto"/>
          <w:bottom w:val="single" w:sz="4" w:space="1" w:color="auto"/>
          <w:right w:val="single" w:sz="4" w:space="4" w:color="auto"/>
        </w:pBdr>
        <w:spacing w:after="0"/>
        <w:rPr>
          <w:noProof/>
        </w:rPr>
      </w:pPr>
      <w:r>
        <w:rPr>
          <w:noProof/>
        </w:rPr>
        <w:t>- reformu saistību priekšlikums tiecas risināt problēmas, kas būtiski ietekmē dalībvalsts ekonomikas darbību (nozīme).</w:t>
      </w:r>
    </w:p>
    <w:p>
      <w:pPr>
        <w:rPr>
          <w:b/>
          <w:i/>
          <w:noProof/>
        </w:rPr>
      </w:pPr>
    </w:p>
    <w:p>
      <w:pPr>
        <w:rPr>
          <w:b/>
          <w:i/>
          <w:noProof/>
        </w:rPr>
      </w:pPr>
      <w:r>
        <w:rPr>
          <w:b/>
          <w:i/>
          <w:noProof/>
        </w:rPr>
        <w:t xml:space="preserve">Atzīme </w:t>
      </w:r>
    </w:p>
    <w:p>
      <w:pPr>
        <w:pBdr>
          <w:top w:val="single" w:sz="4" w:space="1" w:color="auto"/>
          <w:left w:val="single" w:sz="4" w:space="4" w:color="auto"/>
          <w:bottom w:val="single" w:sz="4" w:space="1" w:color="auto"/>
          <w:right w:val="single" w:sz="4" w:space="4" w:color="auto"/>
        </w:pBdr>
        <w:rPr>
          <w:noProof/>
        </w:rPr>
      </w:pPr>
      <w:r>
        <w:rPr>
          <w:noProof/>
        </w:rPr>
        <w:t xml:space="preserve">A – plašs tvērums un liela nozīme: reformu saistības tiecas risināt vairākas problēmas, kas minētas konkrētai valstij adresētajos ieteikumos vai makroekonomikas nelīdzsvarotības novēršanas procedūrā;  </w:t>
      </w:r>
    </w:p>
    <w:p>
      <w:pPr>
        <w:pBdr>
          <w:top w:val="single" w:sz="4" w:space="1" w:color="auto"/>
          <w:left w:val="single" w:sz="4" w:space="4" w:color="auto"/>
          <w:bottom w:val="single" w:sz="4" w:space="1" w:color="auto"/>
          <w:right w:val="single" w:sz="4" w:space="4" w:color="auto"/>
        </w:pBdr>
        <w:rPr>
          <w:noProof/>
        </w:rPr>
      </w:pPr>
      <w:r>
        <w:rPr>
          <w:noProof/>
        </w:rPr>
        <w:t xml:space="preserve">B – vidējs tvērums un vidēja nozīme: reformu saistības tiecas risināt problēmas, kas konstatētas citos attiecīgajos Eiropas pusgada dokumentos, kurus ir oficiāli pieņēmusi Komisija; </w:t>
      </w:r>
    </w:p>
    <w:p>
      <w:pPr>
        <w:pBdr>
          <w:top w:val="single" w:sz="4" w:space="1" w:color="auto"/>
          <w:left w:val="single" w:sz="4" w:space="4" w:color="auto"/>
          <w:bottom w:val="single" w:sz="4" w:space="1" w:color="auto"/>
          <w:right w:val="single" w:sz="4" w:space="4" w:color="auto"/>
        </w:pBdr>
        <w:rPr>
          <w:noProof/>
        </w:rPr>
      </w:pPr>
      <w:r>
        <w:rPr>
          <w:noProof/>
        </w:rPr>
        <w:t>C – šaurs tvērums un neliela nozīme: nekas no iepriekš minētā.</w:t>
      </w:r>
    </w:p>
    <w:p>
      <w:pPr>
        <w:rPr>
          <w:noProof/>
        </w:rPr>
      </w:pPr>
    </w:p>
    <w:p>
      <w:pPr>
        <w:ind w:left="720"/>
        <w:rPr>
          <w:b/>
          <w:i/>
          <w:noProof/>
          <w:u w:val="single"/>
        </w:rPr>
      </w:pPr>
      <w:r>
        <w:rPr>
          <w:b/>
          <w:i/>
          <w:noProof/>
          <w:u w:val="single"/>
        </w:rPr>
        <w:t>3.3. Reformu saistības spēs stiprināt attiecīgās dalībvalsts ekonomikas sniegumu un noturību</w:t>
      </w:r>
    </w:p>
    <w:p>
      <w:pPr>
        <w:rPr>
          <w:noProof/>
        </w:rPr>
      </w:pPr>
      <w:r>
        <w:rPr>
          <w:noProof/>
        </w:rPr>
        <w:t xml:space="preserve">Vērtējot atbilstību šim kritērijam, Komisija ņem vērā šādus elementus: </w:t>
      </w:r>
    </w:p>
    <w:p>
      <w:pPr>
        <w:spacing w:after="0"/>
        <w:jc w:val="left"/>
        <w:rPr>
          <w:noProof/>
          <w:szCs w:val="24"/>
        </w:rPr>
      </w:pPr>
    </w:p>
    <w:p>
      <w:pPr>
        <w:spacing w:after="0"/>
        <w:jc w:val="left"/>
        <w:rPr>
          <w:b/>
          <w:i/>
          <w:noProof/>
        </w:rPr>
      </w:pPr>
      <w:r>
        <w:rPr>
          <w:b/>
          <w:i/>
          <w:noProof/>
        </w:rPr>
        <w:t>Darbības joma</w:t>
      </w:r>
    </w:p>
    <w:p>
      <w:pPr>
        <w:pBdr>
          <w:top w:val="single" w:sz="4" w:space="1" w:color="auto"/>
          <w:left w:val="single" w:sz="4" w:space="4" w:color="auto"/>
          <w:bottom w:val="single" w:sz="4" w:space="1" w:color="auto"/>
          <w:right w:val="single" w:sz="4" w:space="4" w:color="auto"/>
        </w:pBdr>
        <w:spacing w:after="0"/>
        <w:rPr>
          <w:noProof/>
          <w:szCs w:val="24"/>
        </w:rPr>
      </w:pPr>
      <w:r>
        <w:rPr>
          <w:noProof/>
        </w:rPr>
        <w:t>- reformu saistību priekšlikums tiecas strukturāli uzlabot dalībvalsts ekonomikas sniegumu</w:t>
      </w:r>
    </w:p>
    <w:p>
      <w:pPr>
        <w:pBdr>
          <w:top w:val="single" w:sz="4" w:space="1" w:color="auto"/>
          <w:left w:val="single" w:sz="4" w:space="4" w:color="auto"/>
          <w:bottom w:val="single" w:sz="4" w:space="1" w:color="auto"/>
          <w:right w:val="single" w:sz="4" w:space="4" w:color="auto"/>
        </w:pBdr>
        <w:spacing w:after="0"/>
        <w:rPr>
          <w:noProof/>
          <w:szCs w:val="24"/>
        </w:rPr>
      </w:pPr>
      <w:r>
        <w:rPr>
          <w:noProof/>
        </w:rPr>
        <w:t>un</w:t>
      </w:r>
    </w:p>
    <w:p>
      <w:pPr>
        <w:pBdr>
          <w:top w:val="single" w:sz="4" w:space="1" w:color="auto"/>
          <w:left w:val="single" w:sz="4" w:space="4" w:color="auto"/>
          <w:bottom w:val="single" w:sz="4" w:space="1" w:color="auto"/>
          <w:right w:val="single" w:sz="4" w:space="4" w:color="auto"/>
        </w:pBdr>
        <w:spacing w:after="0"/>
        <w:rPr>
          <w:noProof/>
          <w:szCs w:val="24"/>
        </w:rPr>
      </w:pPr>
      <w:r>
        <w:rPr>
          <w:noProof/>
        </w:rPr>
        <w:t xml:space="preserve">- reformu saistību priekšlikums tiecas samazināt dalībvalsts ekonomikas neaizsargātību pret satricinājumiem </w:t>
      </w:r>
    </w:p>
    <w:p>
      <w:pPr>
        <w:pBdr>
          <w:top w:val="single" w:sz="4" w:space="1" w:color="auto"/>
          <w:left w:val="single" w:sz="4" w:space="4" w:color="auto"/>
          <w:bottom w:val="single" w:sz="4" w:space="1" w:color="auto"/>
          <w:right w:val="single" w:sz="4" w:space="4" w:color="auto"/>
        </w:pBdr>
        <w:spacing w:after="0"/>
        <w:rPr>
          <w:noProof/>
          <w:szCs w:val="24"/>
        </w:rPr>
      </w:pPr>
      <w:r>
        <w:rPr>
          <w:noProof/>
        </w:rPr>
        <w:t>vai</w:t>
      </w:r>
    </w:p>
    <w:p>
      <w:pPr>
        <w:pBdr>
          <w:top w:val="single" w:sz="4" w:space="1" w:color="auto"/>
          <w:left w:val="single" w:sz="4" w:space="4" w:color="auto"/>
          <w:bottom w:val="single" w:sz="4" w:space="1" w:color="auto"/>
          <w:right w:val="single" w:sz="4" w:space="4" w:color="auto"/>
        </w:pBdr>
        <w:spacing w:after="0"/>
        <w:rPr>
          <w:noProof/>
        </w:rPr>
      </w:pPr>
      <w:r>
        <w:rPr>
          <w:noProof/>
        </w:rPr>
        <w:t>- reformu saistību priekšlikums tiecas uzlabot dalībvalsts ekonomikas un/vai sociālās struktūras spēju pielāgoties satricinājumiem un izturēt tos.</w:t>
      </w:r>
    </w:p>
    <w:p>
      <w:pPr>
        <w:rPr>
          <w:noProof/>
        </w:rPr>
      </w:pPr>
    </w:p>
    <w:p>
      <w:pPr>
        <w:rPr>
          <w:noProof/>
        </w:rPr>
      </w:pPr>
      <w:r>
        <w:rPr>
          <w:b/>
          <w:i/>
          <w:noProof/>
        </w:rPr>
        <w:t>Atzīme</w:t>
      </w:r>
    </w:p>
    <w:p>
      <w:pPr>
        <w:pBdr>
          <w:top w:val="single" w:sz="4" w:space="1" w:color="auto"/>
          <w:left w:val="single" w:sz="4" w:space="4" w:color="auto"/>
          <w:bottom w:val="single" w:sz="4" w:space="1" w:color="auto"/>
          <w:right w:val="single" w:sz="4" w:space="4" w:color="auto"/>
        </w:pBdr>
        <w:rPr>
          <w:noProof/>
        </w:rPr>
      </w:pPr>
      <w:r>
        <w:rPr>
          <w:noProof/>
        </w:rPr>
        <w:t>A – paredzama liela ietekme uz ekonomikas sniegumu un noturību</w:t>
      </w:r>
    </w:p>
    <w:p>
      <w:pPr>
        <w:pBdr>
          <w:top w:val="single" w:sz="4" w:space="1" w:color="auto"/>
          <w:left w:val="single" w:sz="4" w:space="4" w:color="auto"/>
          <w:bottom w:val="single" w:sz="4" w:space="1" w:color="auto"/>
          <w:right w:val="single" w:sz="4" w:space="4" w:color="auto"/>
        </w:pBdr>
        <w:rPr>
          <w:noProof/>
        </w:rPr>
      </w:pPr>
      <w:r>
        <w:rPr>
          <w:noProof/>
        </w:rPr>
        <w:t xml:space="preserve">B – paredzama vidēja ietekme uz ekonomikas sniegumu un noturību </w:t>
      </w:r>
    </w:p>
    <w:p>
      <w:pPr>
        <w:pBdr>
          <w:top w:val="single" w:sz="4" w:space="1" w:color="auto"/>
          <w:left w:val="single" w:sz="4" w:space="4" w:color="auto"/>
          <w:bottom w:val="single" w:sz="4" w:space="1" w:color="auto"/>
          <w:right w:val="single" w:sz="4" w:space="4" w:color="auto"/>
        </w:pBdr>
        <w:rPr>
          <w:noProof/>
        </w:rPr>
      </w:pPr>
      <w:r>
        <w:rPr>
          <w:noProof/>
        </w:rPr>
        <w:t>C – paredzama maza ietekme uz ekonomikas sniegumu un noturību</w:t>
      </w:r>
    </w:p>
    <w:p>
      <w:pPr>
        <w:rPr>
          <w:b/>
          <w:noProof/>
        </w:rPr>
      </w:pPr>
    </w:p>
    <w:p>
      <w:pPr>
        <w:ind w:left="720"/>
        <w:rPr>
          <w:b/>
          <w:i/>
          <w:noProof/>
          <w:u w:val="single"/>
        </w:rPr>
      </w:pPr>
      <w:r>
        <w:rPr>
          <w:b/>
          <w:i/>
          <w:noProof/>
          <w:u w:val="single"/>
        </w:rPr>
        <w:t>3.4. Reformu īstenošana spēs nodrošināt paliekošu ietekmi, attiecīgā gadījumā nostiprinot institucionālo un administratīvo spēju</w:t>
      </w:r>
    </w:p>
    <w:p>
      <w:pPr>
        <w:spacing w:after="0"/>
        <w:jc w:val="left"/>
        <w:rPr>
          <w:noProof/>
          <w:szCs w:val="24"/>
        </w:rPr>
      </w:pPr>
      <w:r>
        <w:rPr>
          <w:noProof/>
        </w:rPr>
        <w:t>Vērtējot atbilstību šim kritērijam, Komisija ņem vērā šādus elementus:</w:t>
      </w:r>
    </w:p>
    <w:p>
      <w:pPr>
        <w:spacing w:after="0"/>
        <w:jc w:val="left"/>
        <w:rPr>
          <w:b/>
          <w:i/>
          <w:noProof/>
        </w:rPr>
      </w:pPr>
    </w:p>
    <w:p>
      <w:pPr>
        <w:spacing w:after="0"/>
        <w:jc w:val="left"/>
        <w:rPr>
          <w:b/>
          <w:i/>
          <w:noProof/>
        </w:rPr>
      </w:pPr>
      <w:r>
        <w:rPr>
          <w:b/>
          <w:i/>
          <w:noProof/>
        </w:rPr>
        <w:t>Darbības joma</w:t>
      </w:r>
    </w:p>
    <w:p>
      <w:pPr>
        <w:pBdr>
          <w:top w:val="single" w:sz="4" w:space="1" w:color="auto"/>
          <w:left w:val="single" w:sz="4" w:space="4" w:color="auto"/>
          <w:bottom w:val="single" w:sz="4" w:space="1" w:color="auto"/>
          <w:right w:val="single" w:sz="4" w:space="4" w:color="auto"/>
        </w:pBdr>
        <w:spacing w:line="276" w:lineRule="auto"/>
        <w:jc w:val="left"/>
        <w:rPr>
          <w:noProof/>
          <w:szCs w:val="24"/>
        </w:rPr>
      </w:pPr>
      <w:r>
        <w:rPr>
          <w:noProof/>
        </w:rPr>
        <w:t xml:space="preserve">- paredzams, ka ierosināto reformu īstenošana radīs strukturālas izmaiņas pārvaldē vai attiecīgajās iestādēs, </w:t>
      </w:r>
    </w:p>
    <w:p>
      <w:pPr>
        <w:pBdr>
          <w:top w:val="single" w:sz="4" w:space="1" w:color="auto"/>
          <w:left w:val="single" w:sz="4" w:space="4" w:color="auto"/>
          <w:bottom w:val="single" w:sz="4" w:space="1" w:color="auto"/>
          <w:right w:val="single" w:sz="4" w:space="4" w:color="auto"/>
        </w:pBdr>
        <w:spacing w:line="276" w:lineRule="auto"/>
        <w:jc w:val="left"/>
        <w:rPr>
          <w:noProof/>
          <w:szCs w:val="24"/>
        </w:rPr>
      </w:pPr>
      <w:r>
        <w:rPr>
          <w:noProof/>
        </w:rPr>
        <w:t xml:space="preserve">vai  </w:t>
      </w:r>
    </w:p>
    <w:p>
      <w:pPr>
        <w:pBdr>
          <w:top w:val="single" w:sz="4" w:space="1" w:color="auto"/>
          <w:left w:val="single" w:sz="4" w:space="4" w:color="auto"/>
          <w:bottom w:val="single" w:sz="4" w:space="1" w:color="auto"/>
          <w:right w:val="single" w:sz="4" w:space="4" w:color="auto"/>
        </w:pBdr>
        <w:spacing w:line="276" w:lineRule="auto"/>
        <w:jc w:val="left"/>
        <w:rPr>
          <w:noProof/>
          <w:szCs w:val="24"/>
        </w:rPr>
      </w:pPr>
      <w:r>
        <w:rPr>
          <w:noProof/>
        </w:rPr>
        <w:t xml:space="preserve">- paredzams, ka ierosināto reformu īstenošana radīs strukturālas izmaiņas attiecīgajās politikas jomās, </w:t>
      </w:r>
    </w:p>
    <w:p>
      <w:pPr>
        <w:pBdr>
          <w:top w:val="single" w:sz="4" w:space="1" w:color="auto"/>
          <w:left w:val="single" w:sz="4" w:space="4" w:color="auto"/>
          <w:bottom w:val="single" w:sz="4" w:space="1" w:color="auto"/>
          <w:right w:val="single" w:sz="4" w:space="4" w:color="auto"/>
        </w:pBdr>
        <w:spacing w:line="276" w:lineRule="auto"/>
        <w:jc w:val="left"/>
        <w:rPr>
          <w:noProof/>
          <w:szCs w:val="24"/>
        </w:rPr>
      </w:pPr>
      <w:r>
        <w:rPr>
          <w:noProof/>
        </w:rPr>
        <w:t>un</w:t>
      </w:r>
    </w:p>
    <w:p>
      <w:pPr>
        <w:pBdr>
          <w:top w:val="single" w:sz="4" w:space="1" w:color="auto"/>
          <w:left w:val="single" w:sz="4" w:space="4" w:color="auto"/>
          <w:bottom w:val="single" w:sz="4" w:space="1" w:color="auto"/>
          <w:right w:val="single" w:sz="4" w:space="4" w:color="auto"/>
        </w:pBdr>
        <w:spacing w:line="276" w:lineRule="auto"/>
        <w:jc w:val="left"/>
        <w:rPr>
          <w:noProof/>
          <w:szCs w:val="24"/>
        </w:rPr>
      </w:pPr>
      <w:r>
        <w:rPr>
          <w:noProof/>
        </w:rPr>
        <w:t xml:space="preserve">- administratīvās spējas nostiprināšana var nodrošināt ilgstošu ietekmi. </w:t>
      </w:r>
    </w:p>
    <w:p>
      <w:pPr>
        <w:rPr>
          <w:noProof/>
        </w:rPr>
      </w:pPr>
    </w:p>
    <w:p>
      <w:pPr>
        <w:rPr>
          <w:b/>
          <w:i/>
          <w:noProof/>
        </w:rPr>
      </w:pPr>
      <w:r>
        <w:rPr>
          <w:b/>
          <w:i/>
          <w:noProof/>
        </w:rPr>
        <w:t>Atzīme</w:t>
      </w:r>
    </w:p>
    <w:p>
      <w:pPr>
        <w:pBdr>
          <w:top w:val="single" w:sz="4" w:space="1" w:color="auto"/>
          <w:left w:val="single" w:sz="4" w:space="4" w:color="auto"/>
          <w:bottom w:val="single" w:sz="4" w:space="1" w:color="auto"/>
          <w:right w:val="single" w:sz="4" w:space="4" w:color="auto"/>
        </w:pBdr>
        <w:rPr>
          <w:noProof/>
        </w:rPr>
      </w:pPr>
      <w:r>
        <w:rPr>
          <w:noProof/>
        </w:rPr>
        <w:t xml:space="preserve">A – lielā mērā </w:t>
      </w:r>
    </w:p>
    <w:p>
      <w:pPr>
        <w:pBdr>
          <w:top w:val="single" w:sz="4" w:space="1" w:color="auto"/>
          <w:left w:val="single" w:sz="4" w:space="4" w:color="auto"/>
          <w:bottom w:val="single" w:sz="4" w:space="1" w:color="auto"/>
          <w:right w:val="single" w:sz="4" w:space="4" w:color="auto"/>
        </w:pBdr>
        <w:rPr>
          <w:noProof/>
        </w:rPr>
      </w:pPr>
      <w:r>
        <w:rPr>
          <w:noProof/>
        </w:rPr>
        <w:t xml:space="preserve">B – vidējā mērā </w:t>
      </w:r>
    </w:p>
    <w:p>
      <w:pPr>
        <w:pBdr>
          <w:top w:val="single" w:sz="4" w:space="1" w:color="auto"/>
          <w:left w:val="single" w:sz="4" w:space="4" w:color="auto"/>
          <w:bottom w:val="single" w:sz="4" w:space="1" w:color="auto"/>
          <w:right w:val="single" w:sz="4" w:space="4" w:color="auto"/>
        </w:pBdr>
        <w:rPr>
          <w:noProof/>
        </w:rPr>
      </w:pPr>
      <w:r>
        <w:rPr>
          <w:noProof/>
        </w:rPr>
        <w:t xml:space="preserve">C – nelielā mērā </w:t>
      </w:r>
    </w:p>
    <w:p>
      <w:pPr>
        <w:rPr>
          <w:noProof/>
        </w:rPr>
      </w:pPr>
    </w:p>
    <w:p>
      <w:pPr>
        <w:ind w:left="720"/>
        <w:rPr>
          <w:b/>
          <w:i/>
          <w:noProof/>
          <w:u w:val="single"/>
        </w:rPr>
      </w:pPr>
      <w:r>
        <w:rPr>
          <w:b/>
          <w:i/>
          <w:noProof/>
          <w:u w:val="single"/>
        </w:rPr>
        <w:t>3.5. Attiecīgo dalībvalstu ierosinātā iekšējā kārtība spēs nodrošināt reformu saistību efektīvu īstenošanu ne ilgāk kā triju gadu laikā, tostarp izpildot ierosinātos starpposma un galīgos mērķrādītājus un saistītos rādītājus</w:t>
      </w:r>
    </w:p>
    <w:p>
      <w:pPr>
        <w:spacing w:after="0"/>
        <w:jc w:val="left"/>
        <w:rPr>
          <w:noProof/>
          <w:szCs w:val="24"/>
        </w:rPr>
      </w:pPr>
      <w:r>
        <w:rPr>
          <w:noProof/>
        </w:rPr>
        <w:t>Vērtējot atbilstību šim kritērijam, Komisija ņem vērā šādus elementus:</w:t>
      </w:r>
    </w:p>
    <w:p>
      <w:pPr>
        <w:tabs>
          <w:tab w:val="left" w:pos="1005"/>
        </w:tabs>
        <w:spacing w:after="0"/>
        <w:jc w:val="left"/>
        <w:rPr>
          <w:b/>
          <w:i/>
          <w:noProof/>
        </w:rPr>
      </w:pPr>
    </w:p>
    <w:p>
      <w:pPr>
        <w:spacing w:after="0"/>
        <w:jc w:val="left"/>
        <w:rPr>
          <w:b/>
          <w:i/>
          <w:noProof/>
        </w:rPr>
      </w:pPr>
      <w:r>
        <w:rPr>
          <w:b/>
          <w:i/>
          <w:noProof/>
        </w:rPr>
        <w:t>Darbības joma</w:t>
      </w:r>
    </w:p>
    <w:p>
      <w:pPr>
        <w:pBdr>
          <w:top w:val="single" w:sz="4" w:space="1" w:color="auto"/>
          <w:left w:val="single" w:sz="4" w:space="4" w:color="auto"/>
          <w:bottom w:val="single" w:sz="4" w:space="1" w:color="auto"/>
          <w:right w:val="single" w:sz="4" w:space="4" w:color="auto"/>
        </w:pBdr>
        <w:spacing w:line="276" w:lineRule="auto"/>
        <w:rPr>
          <w:noProof/>
          <w:szCs w:val="24"/>
        </w:rPr>
      </w:pPr>
      <w:r>
        <w:rPr>
          <w:noProof/>
        </w:rPr>
        <w:t>- dalībvalstī kādai struktūrai ir uzticēts: i) īstenot reformu saistības, ii) uzraudzīt progresu, kā notiek starpposma un galīgo mērķrādītāju sasniegšana, un iii) sniegt ziņojumus</w:t>
      </w:r>
    </w:p>
    <w:p>
      <w:pPr>
        <w:pBdr>
          <w:top w:val="single" w:sz="4" w:space="1" w:color="auto"/>
          <w:left w:val="single" w:sz="4" w:space="4" w:color="auto"/>
          <w:bottom w:val="single" w:sz="4" w:space="1" w:color="auto"/>
          <w:right w:val="single" w:sz="4" w:space="4" w:color="auto"/>
        </w:pBdr>
        <w:spacing w:line="276" w:lineRule="auto"/>
        <w:jc w:val="left"/>
        <w:rPr>
          <w:noProof/>
          <w:szCs w:val="24"/>
        </w:rPr>
      </w:pPr>
      <w:r>
        <w:rPr>
          <w:noProof/>
        </w:rPr>
        <w:t>un</w:t>
      </w:r>
    </w:p>
    <w:p>
      <w:pPr>
        <w:pBdr>
          <w:top w:val="single" w:sz="4" w:space="1" w:color="auto"/>
          <w:left w:val="single" w:sz="4" w:space="4" w:color="auto"/>
          <w:bottom w:val="single" w:sz="4" w:space="1" w:color="auto"/>
          <w:right w:val="single" w:sz="4" w:space="4" w:color="auto"/>
        </w:pBdr>
        <w:spacing w:line="276" w:lineRule="auto"/>
        <w:rPr>
          <w:noProof/>
          <w:szCs w:val="24"/>
        </w:rPr>
      </w:pPr>
      <w:r>
        <w:rPr>
          <w:noProof/>
        </w:rPr>
        <w:t xml:space="preserve">- ierosinātie starpposma un galīgie mērķrādītāji ir skaidri un reālistiski, un ierosinātie rādītāji ir būtiski, pieņemami un stabili </w:t>
      </w:r>
    </w:p>
    <w:p>
      <w:pPr>
        <w:pBdr>
          <w:top w:val="single" w:sz="4" w:space="1" w:color="auto"/>
          <w:left w:val="single" w:sz="4" w:space="4" w:color="auto"/>
          <w:bottom w:val="single" w:sz="4" w:space="1" w:color="auto"/>
          <w:right w:val="single" w:sz="4" w:space="4" w:color="auto"/>
        </w:pBdr>
        <w:spacing w:line="276" w:lineRule="auto"/>
        <w:rPr>
          <w:noProof/>
          <w:szCs w:val="24"/>
        </w:rPr>
      </w:pPr>
      <w:r>
        <w:rPr>
          <w:noProof/>
        </w:rPr>
        <w:t>un</w:t>
      </w:r>
    </w:p>
    <w:p>
      <w:pPr>
        <w:pBdr>
          <w:top w:val="single" w:sz="4" w:space="1" w:color="auto"/>
          <w:left w:val="single" w:sz="4" w:space="4" w:color="auto"/>
          <w:bottom w:val="single" w:sz="4" w:space="1" w:color="auto"/>
          <w:right w:val="single" w:sz="4" w:space="4" w:color="auto"/>
        </w:pBdr>
        <w:spacing w:line="276" w:lineRule="auto"/>
        <w:rPr>
          <w:noProof/>
          <w:szCs w:val="24"/>
        </w:rPr>
      </w:pPr>
      <w:r>
        <w:rPr>
          <w:noProof/>
        </w:rPr>
        <w:t xml:space="preserve">- vispārējā iekšējā kārtība, kā dalībvalstis ierosina organizēt reformu saistību īstenošanu (tostarp paredzot nodrošināt pietiekamu personālu), vieš paļāvību. </w:t>
      </w:r>
    </w:p>
    <w:p>
      <w:pPr>
        <w:rPr>
          <w:noProof/>
        </w:rPr>
      </w:pPr>
    </w:p>
    <w:p>
      <w:pPr>
        <w:rPr>
          <w:b/>
          <w:i/>
          <w:noProof/>
        </w:rPr>
      </w:pPr>
      <w:r>
        <w:rPr>
          <w:b/>
          <w:i/>
          <w:noProof/>
        </w:rPr>
        <w:t>Atzīme</w:t>
      </w:r>
    </w:p>
    <w:p>
      <w:pPr>
        <w:pBdr>
          <w:top w:val="single" w:sz="4" w:space="1" w:color="auto"/>
          <w:left w:val="single" w:sz="4" w:space="4" w:color="auto"/>
          <w:bottom w:val="single" w:sz="4" w:space="1" w:color="auto"/>
          <w:right w:val="single" w:sz="4" w:space="4" w:color="auto"/>
        </w:pBdr>
        <w:rPr>
          <w:noProof/>
        </w:rPr>
      </w:pPr>
      <w:r>
        <w:rPr>
          <w:noProof/>
        </w:rPr>
        <w:t xml:space="preserve">A – pienācīga iekšējā kārtība, lai nodrošinātu efektīvu īstenošanu </w:t>
      </w:r>
    </w:p>
    <w:p>
      <w:pPr>
        <w:pBdr>
          <w:top w:val="single" w:sz="4" w:space="1" w:color="auto"/>
          <w:left w:val="single" w:sz="4" w:space="4" w:color="auto"/>
          <w:bottom w:val="single" w:sz="4" w:space="1" w:color="auto"/>
          <w:right w:val="single" w:sz="4" w:space="4" w:color="auto"/>
        </w:pBdr>
        <w:rPr>
          <w:noProof/>
        </w:rPr>
      </w:pPr>
      <w:r>
        <w:rPr>
          <w:noProof/>
        </w:rPr>
        <w:t>B – minimāla iekšējā kārtība, lai nodrošinātu efektīvu īstenošanu</w:t>
      </w:r>
    </w:p>
    <w:p>
      <w:pPr>
        <w:pBdr>
          <w:top w:val="single" w:sz="4" w:space="1" w:color="auto"/>
          <w:left w:val="single" w:sz="4" w:space="4" w:color="auto"/>
          <w:bottom w:val="single" w:sz="4" w:space="1" w:color="auto"/>
          <w:right w:val="single" w:sz="4" w:space="4" w:color="auto"/>
        </w:pBdr>
        <w:rPr>
          <w:noProof/>
        </w:rPr>
      </w:pPr>
      <w:r>
        <w:rPr>
          <w:noProof/>
        </w:rPr>
        <w:t>C – nepietiekama iekšējā kārtība, lai nodrošinātu efektīvu īstenošanu</w:t>
      </w:r>
    </w:p>
    <w:p>
      <w:pPr>
        <w:rPr>
          <w:noProof/>
        </w:rPr>
      </w:pPr>
    </w:p>
    <w:p>
      <w:pPr>
        <w:rPr>
          <w:b/>
          <w:noProof/>
        </w:rPr>
      </w:pPr>
      <w:r>
        <w:rPr>
          <w:b/>
          <w:noProof/>
        </w:rPr>
        <w:t xml:space="preserve">4. No reformu īstenošanas instrumenta piešķiramā finansiālā ieguldījuma noteikšana </w:t>
      </w:r>
    </w:p>
    <w:p>
      <w:pPr>
        <w:rPr>
          <w:noProof/>
        </w:rPr>
      </w:pPr>
      <w:r>
        <w:rPr>
          <w:noProof/>
        </w:rPr>
        <w:t>Saskaņā ar 12. panta 2. punktu Komisija nosaka finansiālo ieguldījumu atkarībā no attiecīgās dalībvalsts ierosināto reformu veida un nozīmes, tās novērtējot pēc 11. panta 7. punkta kritērijiem. Šajā nolūkā tā piemēro šādus kritērijus:</w:t>
      </w:r>
    </w:p>
    <w:p>
      <w:pPr>
        <w:pStyle w:val="Point1letter"/>
        <w:numPr>
          <w:ilvl w:val="3"/>
          <w:numId w:val="11"/>
        </w:numPr>
        <w:rPr>
          <w:noProof/>
        </w:rPr>
      </w:pPr>
      <w:r>
        <w:rPr>
          <w:noProof/>
        </w:rPr>
        <w:t>ja attiecīgās dalībvalsts iesniegtais reformu saistību priekšlikums pilnībā atbilst 11. panta 7. punktā izklāstītajiem kritērijiem, reformu saistības uzskata par “vērienīgām” un attiecīgajai dalībvalstij piešķir visu 9. pantā minēto maksimālo finansiālo ieguldījumu;</w:t>
      </w:r>
    </w:p>
    <w:p>
      <w:pPr>
        <w:pStyle w:val="Point1letter"/>
        <w:rPr>
          <w:noProof/>
        </w:rPr>
      </w:pPr>
      <w:r>
        <w:rPr>
          <w:noProof/>
        </w:rPr>
        <w:t>ja attiecīgās dalībvalsts iesniegtais reformu saistību priekšlikums apmierina 11. panta 7. punktā izklāstītos kritērijus, reformu saistības uzskata par “nozīmīgām” un attiecīgajai dalībvalstij piešķir pusi no 9. pantā minētā maksimālā finansiālā ieguldījuma;</w:t>
      </w:r>
    </w:p>
    <w:p>
      <w:pPr>
        <w:pStyle w:val="Point1letter"/>
        <w:rPr>
          <w:noProof/>
        </w:rPr>
      </w:pPr>
      <w:r>
        <w:rPr>
          <w:noProof/>
        </w:rPr>
        <w:t>ja attiecīgās dalībvalsts iesniegtais reformu saistību priekšlikums neatbilst 11. panta 7. punktā noteiktajiem kritērijiem, attiecīgajai dalībvalstij finansiālo ieguldījumu nepiešķir.</w:t>
      </w:r>
    </w:p>
    <w:p>
      <w:pPr>
        <w:rPr>
          <w:noProof/>
        </w:rPr>
      </w:pPr>
      <w:r>
        <w:rPr>
          <w:noProof/>
        </w:rPr>
        <w:t xml:space="preserve">Novērtējuma procesa rezultātā Komisija, ņemot vērā piešķirtās atzīmes, piešķir dalībvalstīm finanšu ieguldījumu šādā veidā:  </w:t>
      </w:r>
    </w:p>
    <w:p>
      <w:pPr>
        <w:rPr>
          <w:b/>
          <w:noProof/>
          <w:u w:val="single"/>
        </w:rPr>
      </w:pPr>
    </w:p>
    <w:p>
      <w:pPr>
        <w:pBdr>
          <w:top w:val="single" w:sz="4" w:space="1" w:color="auto"/>
          <w:left w:val="single" w:sz="4" w:space="4" w:color="auto"/>
          <w:bottom w:val="single" w:sz="4" w:space="1" w:color="auto"/>
          <w:right w:val="single" w:sz="4" w:space="4" w:color="auto"/>
        </w:pBdr>
        <w:rPr>
          <w:b/>
          <w:noProof/>
          <w:u w:val="single"/>
        </w:rPr>
      </w:pPr>
      <w:r>
        <w:rPr>
          <w:b/>
          <w:noProof/>
          <w:u w:val="single"/>
        </w:rPr>
        <w:t>Vērienīgas reformu saistības (priekšlikums pilnībā atbilst vērtēšanas kritērijiem)</w:t>
      </w:r>
    </w:p>
    <w:p>
      <w:pPr>
        <w:pBdr>
          <w:top w:val="single" w:sz="4" w:space="1" w:color="auto"/>
          <w:left w:val="single" w:sz="4" w:space="4" w:color="auto"/>
          <w:bottom w:val="single" w:sz="4" w:space="1" w:color="auto"/>
          <w:right w:val="single" w:sz="4" w:space="4" w:color="auto"/>
        </w:pBdr>
        <w:rPr>
          <w:noProof/>
        </w:rPr>
      </w:pPr>
      <w:r>
        <w:rPr>
          <w:noProof/>
        </w:rPr>
        <w:t>Ja galīgajā novērtējumā piešķirtās atzīmes:</w:t>
      </w:r>
    </w:p>
    <w:p>
      <w:pPr>
        <w:pBdr>
          <w:top w:val="single" w:sz="4" w:space="1" w:color="auto"/>
          <w:left w:val="single" w:sz="4" w:space="4" w:color="auto"/>
          <w:bottom w:val="single" w:sz="4" w:space="1" w:color="auto"/>
          <w:right w:val="single" w:sz="4" w:space="4" w:color="auto"/>
        </w:pBdr>
        <w:rPr>
          <w:noProof/>
        </w:rPr>
      </w:pPr>
      <w:r>
        <w:rPr>
          <w:noProof/>
        </w:rPr>
        <w:t>- visas ir A vai</w:t>
      </w:r>
    </w:p>
    <w:p>
      <w:pPr>
        <w:pBdr>
          <w:top w:val="single" w:sz="4" w:space="1" w:color="auto"/>
          <w:left w:val="single" w:sz="4" w:space="4" w:color="auto"/>
          <w:bottom w:val="single" w:sz="4" w:space="1" w:color="auto"/>
          <w:right w:val="single" w:sz="4" w:space="4" w:color="auto"/>
        </w:pBdr>
        <w:rPr>
          <w:noProof/>
        </w:rPr>
      </w:pPr>
      <w:r>
        <w:rPr>
          <w:noProof/>
        </w:rPr>
        <w:t xml:space="preserve">- galvenokārt ir A, B ir mazāk un C nav vispār, </w:t>
      </w:r>
    </w:p>
    <w:p>
      <w:pPr>
        <w:pBdr>
          <w:top w:val="single" w:sz="4" w:space="1" w:color="auto"/>
          <w:left w:val="single" w:sz="4" w:space="4" w:color="auto"/>
          <w:bottom w:val="single" w:sz="4" w:space="1" w:color="auto"/>
          <w:right w:val="single" w:sz="4" w:space="4" w:color="auto"/>
        </w:pBdr>
        <w:rPr>
          <w:noProof/>
        </w:rPr>
      </w:pPr>
      <w:r>
        <w:rPr>
          <w:noProof/>
        </w:rPr>
        <w:t>reformu priekšlikumam piešķir maksimālo finansiālo ieguldījumu.</w:t>
      </w:r>
    </w:p>
    <w:p>
      <w:pPr>
        <w:rPr>
          <w:noProof/>
        </w:rPr>
      </w:pPr>
    </w:p>
    <w:p>
      <w:pPr>
        <w:pBdr>
          <w:top w:val="single" w:sz="4" w:space="1" w:color="auto"/>
          <w:left w:val="single" w:sz="4" w:space="4" w:color="auto"/>
          <w:bottom w:val="single" w:sz="4" w:space="1" w:color="auto"/>
          <w:right w:val="single" w:sz="4" w:space="4" w:color="auto"/>
        </w:pBdr>
        <w:rPr>
          <w:b/>
          <w:noProof/>
          <w:u w:val="single"/>
        </w:rPr>
      </w:pPr>
      <w:r>
        <w:rPr>
          <w:b/>
          <w:noProof/>
          <w:u w:val="single"/>
        </w:rPr>
        <w:t>Nozīmīgas reformu saistības (priekšlikums apmierina vērtēšanas kritērijus)</w:t>
      </w:r>
    </w:p>
    <w:p>
      <w:pPr>
        <w:pBdr>
          <w:top w:val="single" w:sz="4" w:space="1" w:color="auto"/>
          <w:left w:val="single" w:sz="4" w:space="4" w:color="auto"/>
          <w:bottom w:val="single" w:sz="4" w:space="1" w:color="auto"/>
          <w:right w:val="single" w:sz="4" w:space="4" w:color="auto"/>
        </w:pBdr>
        <w:rPr>
          <w:noProof/>
        </w:rPr>
      </w:pPr>
      <w:r>
        <w:rPr>
          <w:noProof/>
        </w:rPr>
        <w:t>Ja galīgajā novērtējumā piešķirtās atzīmes:</w:t>
      </w:r>
    </w:p>
    <w:p>
      <w:pPr>
        <w:pBdr>
          <w:top w:val="single" w:sz="4" w:space="1" w:color="auto"/>
          <w:left w:val="single" w:sz="4" w:space="4" w:color="auto"/>
          <w:bottom w:val="single" w:sz="4" w:space="1" w:color="auto"/>
          <w:right w:val="single" w:sz="4" w:space="4" w:color="auto"/>
        </w:pBdr>
        <w:rPr>
          <w:noProof/>
        </w:rPr>
      </w:pPr>
      <w:r>
        <w:rPr>
          <w:noProof/>
        </w:rPr>
        <w:t>- galvenokārt ir B, A ir mazāk un C nav vispār vai</w:t>
      </w:r>
    </w:p>
    <w:p>
      <w:pPr>
        <w:pBdr>
          <w:top w:val="single" w:sz="4" w:space="1" w:color="auto"/>
          <w:left w:val="single" w:sz="4" w:space="4" w:color="auto"/>
          <w:bottom w:val="single" w:sz="4" w:space="1" w:color="auto"/>
          <w:right w:val="single" w:sz="4" w:space="4" w:color="auto"/>
        </w:pBdr>
        <w:rPr>
          <w:noProof/>
        </w:rPr>
      </w:pPr>
      <w:r>
        <w:rPr>
          <w:noProof/>
        </w:rPr>
        <w:t xml:space="preserve">- visas ir B, </w:t>
      </w:r>
    </w:p>
    <w:p>
      <w:pPr>
        <w:pBdr>
          <w:top w:val="single" w:sz="4" w:space="1" w:color="auto"/>
          <w:left w:val="single" w:sz="4" w:space="4" w:color="auto"/>
          <w:bottom w:val="single" w:sz="4" w:space="1" w:color="auto"/>
          <w:right w:val="single" w:sz="4" w:space="4" w:color="auto"/>
        </w:pBdr>
        <w:rPr>
          <w:noProof/>
        </w:rPr>
      </w:pPr>
      <w:r>
        <w:rPr>
          <w:noProof/>
        </w:rPr>
        <w:t>reformu priekšlikumam piešķir pusi no maksimālā finansiālā ieguldījuma.</w:t>
      </w:r>
    </w:p>
    <w:p>
      <w:pPr>
        <w:rPr>
          <w:noProof/>
        </w:rPr>
      </w:pPr>
    </w:p>
    <w:p>
      <w:pPr>
        <w:pBdr>
          <w:top w:val="single" w:sz="4" w:space="1" w:color="auto"/>
          <w:left w:val="single" w:sz="4" w:space="4" w:color="auto"/>
          <w:bottom w:val="single" w:sz="4" w:space="1" w:color="auto"/>
          <w:right w:val="single" w:sz="4" w:space="4" w:color="auto"/>
        </w:pBdr>
        <w:rPr>
          <w:b/>
          <w:noProof/>
          <w:u w:val="single"/>
        </w:rPr>
      </w:pPr>
      <w:r>
        <w:rPr>
          <w:b/>
          <w:noProof/>
          <w:u w:val="single"/>
        </w:rPr>
        <w:t>Nepietiekamas reformu saistības (priekšlikums neatbilst vērtēšanas kritērijiem)</w:t>
      </w:r>
    </w:p>
    <w:p>
      <w:pPr>
        <w:pBdr>
          <w:top w:val="single" w:sz="4" w:space="1" w:color="auto"/>
          <w:left w:val="single" w:sz="4" w:space="4" w:color="auto"/>
          <w:bottom w:val="single" w:sz="4" w:space="1" w:color="auto"/>
          <w:right w:val="single" w:sz="4" w:space="4" w:color="auto"/>
        </w:pBdr>
        <w:rPr>
          <w:noProof/>
        </w:rPr>
      </w:pPr>
      <w:r>
        <w:rPr>
          <w:noProof/>
        </w:rPr>
        <w:t>Ja starp galīgajā novērtējumā piešķirtajām atzīmēm:</w:t>
      </w:r>
    </w:p>
    <w:p>
      <w:pPr>
        <w:pBdr>
          <w:top w:val="single" w:sz="4" w:space="1" w:color="auto"/>
          <w:left w:val="single" w:sz="4" w:space="4" w:color="auto"/>
          <w:bottom w:val="single" w:sz="4" w:space="1" w:color="auto"/>
          <w:right w:val="single" w:sz="4" w:space="4" w:color="auto"/>
        </w:pBdr>
        <w:rPr>
          <w:noProof/>
        </w:rPr>
      </w:pPr>
      <w:r>
        <w:rPr>
          <w:noProof/>
        </w:rPr>
        <w:t>- vismaz viena ir C,</w:t>
      </w:r>
    </w:p>
    <w:p>
      <w:pPr>
        <w:pBdr>
          <w:top w:val="single" w:sz="4" w:space="1" w:color="auto"/>
          <w:left w:val="single" w:sz="4" w:space="4" w:color="auto"/>
          <w:bottom w:val="single" w:sz="4" w:space="1" w:color="auto"/>
          <w:right w:val="single" w:sz="4" w:space="4" w:color="auto"/>
        </w:pBdr>
        <w:rPr>
          <w:noProof/>
        </w:rPr>
      </w:pPr>
      <w:r>
        <w:rPr>
          <w:noProof/>
        </w:rPr>
        <w:t>reformu priekšlikumam finansiālo ieguldījumu nepiešķir.</w:t>
      </w:r>
    </w:p>
    <w:p>
      <w:pPr>
        <w:tabs>
          <w:tab w:val="left" w:pos="0"/>
        </w:tabs>
        <w:rPr>
          <w:noProof/>
        </w:rPr>
      </w:pPr>
    </w:p>
    <w:p>
      <w:pPr>
        <w:rPr>
          <w:b/>
          <w:noProof/>
        </w:rPr>
      </w:pPr>
      <w:r>
        <w:rPr>
          <w:b/>
          <w:noProof/>
        </w:rPr>
        <w:t xml:space="preserve">5. Konverģences mehānisma papildu kritērijs </w:t>
      </w:r>
    </w:p>
    <w:p>
      <w:pPr>
        <w:tabs>
          <w:tab w:val="left" w:pos="0"/>
        </w:tabs>
        <w:rPr>
          <w:noProof/>
        </w:rPr>
      </w:pPr>
      <w:r>
        <w:rPr>
          <w:noProof/>
        </w:rPr>
        <w:t xml:space="preserve">Attiecībā uz konverģences mehānismu papildus 11. panta 7. punktā izklāstītajiem kritērijiem, starp kuriem visai svarīga ir paredzamās ietekmes uz noturību novērtēšana saistībā ar gatavošanos dalībai eurozonā, Komisija saskaņā ar 27. panta 3. punktu novērtē arī to, cik būtiskas ir ierosinātās reformu saistības, lai palīdzētu attiecīgajai dalībvalstij sagatavoties dalībai eurozonā. </w:t>
      </w:r>
    </w:p>
    <w:p>
      <w:pPr>
        <w:rPr>
          <w:b/>
          <w:noProof/>
        </w:rPr>
      </w:pPr>
    </w:p>
    <w:p>
      <w:pPr>
        <w:ind w:left="426"/>
        <w:rPr>
          <w:b/>
          <w:i/>
          <w:noProof/>
          <w:u w:val="single"/>
        </w:rPr>
      </w:pPr>
      <w:r>
        <w:rPr>
          <w:b/>
          <w:i/>
          <w:noProof/>
          <w:u w:val="single"/>
        </w:rPr>
        <w:t xml:space="preserve">5.1. Reformu saistību būtiskums attiecībā uz dalību eurozonā </w:t>
      </w:r>
    </w:p>
    <w:p>
      <w:pPr>
        <w:spacing w:after="0"/>
        <w:jc w:val="left"/>
        <w:rPr>
          <w:noProof/>
          <w:szCs w:val="24"/>
        </w:rPr>
      </w:pPr>
    </w:p>
    <w:p>
      <w:pPr>
        <w:spacing w:after="0"/>
        <w:jc w:val="left"/>
        <w:rPr>
          <w:noProof/>
          <w:szCs w:val="24"/>
        </w:rPr>
      </w:pPr>
      <w:r>
        <w:rPr>
          <w:noProof/>
        </w:rPr>
        <w:t xml:space="preserve">Vērtējot atbilstību šim kritērijam, Komisija ņem vērā šādus elementus: </w:t>
      </w:r>
    </w:p>
    <w:p>
      <w:pPr>
        <w:spacing w:after="0"/>
        <w:jc w:val="left"/>
        <w:rPr>
          <w:b/>
          <w:i/>
          <w:noProof/>
          <w:szCs w:val="24"/>
        </w:rPr>
      </w:pPr>
    </w:p>
    <w:p>
      <w:pPr>
        <w:spacing w:after="0"/>
        <w:jc w:val="left"/>
        <w:rPr>
          <w:b/>
          <w:i/>
          <w:noProof/>
          <w:szCs w:val="24"/>
        </w:rPr>
      </w:pPr>
      <w:r>
        <w:rPr>
          <w:b/>
          <w:i/>
          <w:noProof/>
        </w:rPr>
        <w:t xml:space="preserve">Darbības joma </w:t>
      </w:r>
    </w:p>
    <w:p>
      <w:pPr>
        <w:pBdr>
          <w:top w:val="single" w:sz="4" w:space="1" w:color="auto"/>
          <w:left w:val="single" w:sz="4" w:space="4" w:color="auto"/>
          <w:bottom w:val="single" w:sz="4" w:space="1" w:color="auto"/>
          <w:right w:val="single" w:sz="4" w:space="4" w:color="auto"/>
        </w:pBdr>
        <w:spacing w:after="0"/>
        <w:rPr>
          <w:noProof/>
          <w:szCs w:val="24"/>
        </w:rPr>
      </w:pPr>
      <w:r>
        <w:rPr>
          <w:noProof/>
        </w:rPr>
        <w:t>- reformu saistību priekšlikums atbilst dalībvalsts ceļvedim, kas nosaka tās sagatavošanos dalībai eurozonā,</w:t>
      </w:r>
    </w:p>
    <w:p>
      <w:pPr>
        <w:pBdr>
          <w:top w:val="single" w:sz="4" w:space="1" w:color="auto"/>
          <w:left w:val="single" w:sz="4" w:space="4" w:color="auto"/>
          <w:bottom w:val="single" w:sz="4" w:space="1" w:color="auto"/>
          <w:right w:val="single" w:sz="4" w:space="4" w:color="auto"/>
        </w:pBdr>
        <w:spacing w:after="0"/>
        <w:rPr>
          <w:noProof/>
          <w:szCs w:val="24"/>
        </w:rPr>
      </w:pPr>
      <w:r>
        <w:rPr>
          <w:noProof/>
        </w:rPr>
        <w:t>un</w:t>
      </w:r>
    </w:p>
    <w:p>
      <w:pPr>
        <w:pBdr>
          <w:top w:val="single" w:sz="4" w:space="1" w:color="auto"/>
          <w:left w:val="single" w:sz="4" w:space="4" w:color="auto"/>
          <w:bottom w:val="single" w:sz="4" w:space="1" w:color="auto"/>
          <w:right w:val="single" w:sz="4" w:space="4" w:color="auto"/>
        </w:pBdr>
        <w:spacing w:after="0"/>
        <w:rPr>
          <w:noProof/>
          <w:szCs w:val="24"/>
        </w:rPr>
      </w:pPr>
      <w:r>
        <w:rPr>
          <w:noProof/>
        </w:rPr>
        <w:t>- reformu saistību priekšlikums spēs palīdzēt sekmīgi īstenot dalībvalsts ceļvedi, kas nosaka tās sagatavošanos dalībai eurozonā</w:t>
      </w:r>
    </w:p>
    <w:p>
      <w:pPr>
        <w:spacing w:after="0"/>
        <w:jc w:val="left"/>
        <w:rPr>
          <w:b/>
          <w:i/>
          <w:noProof/>
          <w:szCs w:val="24"/>
        </w:rPr>
      </w:pPr>
    </w:p>
    <w:p>
      <w:pPr>
        <w:spacing w:after="0"/>
        <w:jc w:val="left"/>
        <w:rPr>
          <w:b/>
          <w:i/>
          <w:noProof/>
          <w:szCs w:val="24"/>
        </w:rPr>
      </w:pPr>
      <w:r>
        <w:rPr>
          <w:b/>
          <w:i/>
          <w:noProof/>
        </w:rPr>
        <w:t>Atzīme</w:t>
      </w:r>
    </w:p>
    <w:p>
      <w:pPr>
        <w:pBdr>
          <w:top w:val="single" w:sz="4" w:space="1" w:color="auto"/>
          <w:left w:val="single" w:sz="4" w:space="4" w:color="auto"/>
          <w:bottom w:val="single" w:sz="4" w:space="1" w:color="auto"/>
          <w:right w:val="single" w:sz="4" w:space="4" w:color="auto"/>
        </w:pBdr>
        <w:rPr>
          <w:noProof/>
        </w:rPr>
      </w:pPr>
      <w:r>
        <w:rPr>
          <w:noProof/>
        </w:rPr>
        <w:t>A – augsts būtiskums un paredzams ievērojams ieguldījums</w:t>
      </w:r>
    </w:p>
    <w:p>
      <w:pPr>
        <w:pBdr>
          <w:top w:val="single" w:sz="4" w:space="1" w:color="auto"/>
          <w:left w:val="single" w:sz="4" w:space="4" w:color="auto"/>
          <w:bottom w:val="single" w:sz="4" w:space="1" w:color="auto"/>
          <w:right w:val="single" w:sz="4" w:space="4" w:color="auto"/>
        </w:pBdr>
        <w:rPr>
          <w:noProof/>
        </w:rPr>
      </w:pPr>
      <w:r>
        <w:rPr>
          <w:noProof/>
        </w:rPr>
        <w:t xml:space="preserve">B – vidējs būtiskums un paredzams vidējs ieguldījums </w:t>
      </w:r>
    </w:p>
    <w:p>
      <w:pPr>
        <w:pBdr>
          <w:top w:val="single" w:sz="4" w:space="1" w:color="auto"/>
          <w:left w:val="single" w:sz="4" w:space="4" w:color="auto"/>
          <w:bottom w:val="single" w:sz="4" w:space="1" w:color="auto"/>
          <w:right w:val="single" w:sz="4" w:space="4" w:color="auto"/>
        </w:pBdr>
        <w:rPr>
          <w:noProof/>
        </w:rPr>
      </w:pPr>
      <w:r>
        <w:rPr>
          <w:noProof/>
        </w:rPr>
        <w:t xml:space="preserve">C – neliels būtiskums un paredzams ierobežots ieguldījums </w:t>
      </w:r>
    </w:p>
    <w:p>
      <w:pPr>
        <w:rPr>
          <w:b/>
          <w:noProof/>
        </w:rPr>
      </w:pPr>
    </w:p>
    <w:p>
      <w:pPr>
        <w:ind w:left="426"/>
        <w:rPr>
          <w:b/>
          <w:i/>
          <w:noProof/>
          <w:u w:val="single"/>
        </w:rPr>
      </w:pPr>
      <w:r>
        <w:rPr>
          <w:b/>
          <w:i/>
          <w:noProof/>
          <w:u w:val="single"/>
        </w:rPr>
        <w:t>5.2. No konverģences mehānisma piešķiramā finansiālā ieguldījuma noteikšana</w:t>
      </w:r>
    </w:p>
    <w:p>
      <w:pPr>
        <w:rPr>
          <w:noProof/>
        </w:rPr>
      </w:pPr>
    </w:p>
    <w:p>
      <w:pPr>
        <w:rPr>
          <w:noProof/>
        </w:rPr>
      </w:pPr>
      <w:r>
        <w:rPr>
          <w:noProof/>
        </w:rPr>
        <w:t>No konverģences mehānisma finansiālā atbalsta komponenta piešķiramo finansiālo ieguldījumu nosaka saskaņā ar 26. un 28. pantu, ievērojot tos pašus kritērijus, kas minēti 12. panta 2. punktā, un tas ir atsevišķs papildu ieguldījums, kuru piešķir apmaiņā pret papildu reformām, ko veic attiecīgā dalībvalsts un kas ir svarīgas, lai sagatavotos dalībai eurozonā.</w:t>
      </w:r>
    </w:p>
    <w:p>
      <w:pPr>
        <w:rPr>
          <w:noProof/>
        </w:rPr>
      </w:pPr>
      <w:r>
        <w:rPr>
          <w:noProof/>
        </w:rPr>
        <w:t>Novērtējuma procesa rezultātā Komisija, ņemot vērā piešķirtās atzīmes, piešķir dalībvalstīm finanšu ieguldījumu šādā veidā:</w:t>
      </w:r>
    </w:p>
    <w:p>
      <w:pPr>
        <w:rPr>
          <w:noProof/>
        </w:rPr>
      </w:pPr>
    </w:p>
    <w:p>
      <w:pPr>
        <w:pBdr>
          <w:top w:val="single" w:sz="4" w:space="1" w:color="auto"/>
          <w:left w:val="single" w:sz="4" w:space="4" w:color="auto"/>
          <w:bottom w:val="single" w:sz="4" w:space="1" w:color="auto"/>
          <w:right w:val="single" w:sz="4" w:space="4" w:color="auto"/>
        </w:pBdr>
        <w:rPr>
          <w:b/>
          <w:noProof/>
          <w:u w:val="single"/>
        </w:rPr>
      </w:pPr>
      <w:r>
        <w:rPr>
          <w:b/>
          <w:noProof/>
          <w:u w:val="single"/>
        </w:rPr>
        <w:t xml:space="preserve">Augsts būtiskums attiecībā uz dalību eurozonā  </w:t>
      </w:r>
    </w:p>
    <w:p>
      <w:pPr>
        <w:pBdr>
          <w:top w:val="single" w:sz="4" w:space="1" w:color="auto"/>
          <w:left w:val="single" w:sz="4" w:space="4" w:color="auto"/>
          <w:bottom w:val="single" w:sz="4" w:space="1" w:color="auto"/>
          <w:right w:val="single" w:sz="4" w:space="4" w:color="auto"/>
        </w:pBdr>
        <w:rPr>
          <w:noProof/>
        </w:rPr>
      </w:pPr>
      <w:r>
        <w:rPr>
          <w:noProof/>
        </w:rPr>
        <w:t>Ja galīgajā novērtējumā atzīmes par visiem kritērijiem:</w:t>
      </w:r>
    </w:p>
    <w:p>
      <w:pPr>
        <w:pBdr>
          <w:top w:val="single" w:sz="4" w:space="1" w:color="auto"/>
          <w:left w:val="single" w:sz="4" w:space="4" w:color="auto"/>
          <w:bottom w:val="single" w:sz="4" w:space="1" w:color="auto"/>
          <w:right w:val="single" w:sz="4" w:space="4" w:color="auto"/>
        </w:pBdr>
        <w:rPr>
          <w:noProof/>
        </w:rPr>
      </w:pPr>
      <w:r>
        <w:rPr>
          <w:noProof/>
        </w:rPr>
        <w:t xml:space="preserve">- visas ir A vai </w:t>
      </w:r>
    </w:p>
    <w:p>
      <w:pPr>
        <w:pBdr>
          <w:top w:val="single" w:sz="4" w:space="1" w:color="auto"/>
          <w:left w:val="single" w:sz="4" w:space="4" w:color="auto"/>
          <w:bottom w:val="single" w:sz="4" w:space="1" w:color="auto"/>
          <w:right w:val="single" w:sz="4" w:space="4" w:color="auto"/>
        </w:pBdr>
        <w:rPr>
          <w:noProof/>
        </w:rPr>
      </w:pPr>
      <w:r>
        <w:rPr>
          <w:noProof/>
        </w:rPr>
        <w:t xml:space="preserve">- lielākā daļa ir A, B ir mazāk un C nav vispār </w:t>
      </w:r>
    </w:p>
    <w:p>
      <w:pPr>
        <w:pBdr>
          <w:top w:val="single" w:sz="4" w:space="1" w:color="auto"/>
          <w:left w:val="single" w:sz="4" w:space="4" w:color="auto"/>
          <w:bottom w:val="single" w:sz="4" w:space="1" w:color="auto"/>
          <w:right w:val="single" w:sz="4" w:space="4" w:color="auto"/>
        </w:pBdr>
        <w:rPr>
          <w:noProof/>
        </w:rPr>
      </w:pPr>
      <w:r>
        <w:rPr>
          <w:noProof/>
        </w:rPr>
        <w:t xml:space="preserve">un </w:t>
      </w:r>
    </w:p>
    <w:p>
      <w:pPr>
        <w:pBdr>
          <w:top w:val="single" w:sz="4" w:space="1" w:color="auto"/>
          <w:left w:val="single" w:sz="4" w:space="4" w:color="auto"/>
          <w:bottom w:val="single" w:sz="4" w:space="1" w:color="auto"/>
          <w:right w:val="single" w:sz="4" w:space="4" w:color="auto"/>
        </w:pBdr>
        <w:rPr>
          <w:noProof/>
        </w:rPr>
      </w:pPr>
      <w:r>
        <w:rPr>
          <w:noProof/>
        </w:rPr>
        <w:t xml:space="preserve">3.3. punktā minētais snieguma un noturības kritērijs un 5.1. punktā minētais kritērijs par būtiskumu attiecībā uz dalību eurozonā abi ir novērtēti ar A, </w:t>
      </w:r>
    </w:p>
    <w:p>
      <w:pPr>
        <w:pBdr>
          <w:top w:val="single" w:sz="4" w:space="1" w:color="auto"/>
          <w:left w:val="single" w:sz="4" w:space="4" w:color="auto"/>
          <w:bottom w:val="single" w:sz="4" w:space="1" w:color="auto"/>
          <w:right w:val="single" w:sz="4" w:space="4" w:color="auto"/>
        </w:pBdr>
        <w:rPr>
          <w:noProof/>
        </w:rPr>
      </w:pPr>
      <w:r>
        <w:rPr>
          <w:noProof/>
        </w:rPr>
        <w:t>reformu priekšlikumam piešķir maksimālo finansiālo ieguldījumu.</w:t>
      </w:r>
    </w:p>
    <w:p>
      <w:pPr>
        <w:rPr>
          <w:noProof/>
        </w:rPr>
      </w:pPr>
    </w:p>
    <w:p>
      <w:pPr>
        <w:pBdr>
          <w:top w:val="single" w:sz="4" w:space="1" w:color="auto"/>
          <w:left w:val="single" w:sz="4" w:space="4" w:color="auto"/>
          <w:bottom w:val="single" w:sz="4" w:space="1" w:color="auto"/>
          <w:right w:val="single" w:sz="4" w:space="4" w:color="auto"/>
        </w:pBdr>
        <w:rPr>
          <w:noProof/>
        </w:rPr>
      </w:pPr>
      <w:r>
        <w:rPr>
          <w:b/>
          <w:noProof/>
          <w:u w:val="single"/>
        </w:rPr>
        <w:t>Vidējs būtiskums attiecībā uz dalību eurozonā</w:t>
      </w:r>
    </w:p>
    <w:p>
      <w:pPr>
        <w:pBdr>
          <w:top w:val="single" w:sz="4" w:space="1" w:color="auto"/>
          <w:left w:val="single" w:sz="4" w:space="4" w:color="auto"/>
          <w:bottom w:val="single" w:sz="4" w:space="1" w:color="auto"/>
          <w:right w:val="single" w:sz="4" w:space="4" w:color="auto"/>
        </w:pBdr>
        <w:rPr>
          <w:noProof/>
        </w:rPr>
      </w:pPr>
      <w:r>
        <w:rPr>
          <w:noProof/>
        </w:rPr>
        <w:t>Ja galīgajā novērtējumā atzīmes par visiem kritērijiem:</w:t>
      </w:r>
    </w:p>
    <w:p>
      <w:pPr>
        <w:pBdr>
          <w:top w:val="single" w:sz="4" w:space="1" w:color="auto"/>
          <w:left w:val="single" w:sz="4" w:space="4" w:color="auto"/>
          <w:bottom w:val="single" w:sz="4" w:space="1" w:color="auto"/>
          <w:right w:val="single" w:sz="4" w:space="4" w:color="auto"/>
        </w:pBdr>
        <w:rPr>
          <w:noProof/>
        </w:rPr>
      </w:pPr>
      <w:r>
        <w:rPr>
          <w:noProof/>
        </w:rPr>
        <w:t xml:space="preserve">- galvenokārt ir B, A ir mazāk un C nav vispār </w:t>
      </w:r>
    </w:p>
    <w:p>
      <w:pPr>
        <w:pBdr>
          <w:top w:val="single" w:sz="4" w:space="1" w:color="auto"/>
          <w:left w:val="single" w:sz="4" w:space="4" w:color="auto"/>
          <w:bottom w:val="single" w:sz="4" w:space="1" w:color="auto"/>
          <w:right w:val="single" w:sz="4" w:space="4" w:color="auto"/>
        </w:pBdr>
        <w:rPr>
          <w:noProof/>
        </w:rPr>
      </w:pPr>
      <w:r>
        <w:rPr>
          <w:noProof/>
        </w:rPr>
        <w:t>un</w:t>
      </w:r>
    </w:p>
    <w:p>
      <w:pPr>
        <w:pBdr>
          <w:top w:val="single" w:sz="4" w:space="1" w:color="auto"/>
          <w:left w:val="single" w:sz="4" w:space="4" w:color="auto"/>
          <w:bottom w:val="single" w:sz="4" w:space="1" w:color="auto"/>
          <w:right w:val="single" w:sz="4" w:space="4" w:color="auto"/>
        </w:pBdr>
        <w:rPr>
          <w:noProof/>
        </w:rPr>
      </w:pPr>
      <w:r>
        <w:rPr>
          <w:noProof/>
        </w:rPr>
        <w:t>3.3. punktā minētais snieguma un noturības kritērijs ir novērtēts ar A un 5.1. punktā minētais kritērijs par būtiskumu attiecībā uz dalību eurozonā ir novērtēts ar B,</w:t>
      </w:r>
    </w:p>
    <w:p>
      <w:pPr>
        <w:pBdr>
          <w:top w:val="single" w:sz="4" w:space="1" w:color="auto"/>
          <w:left w:val="single" w:sz="4" w:space="4" w:color="auto"/>
          <w:bottom w:val="single" w:sz="4" w:space="1" w:color="auto"/>
          <w:right w:val="single" w:sz="4" w:space="4" w:color="auto"/>
        </w:pBdr>
        <w:rPr>
          <w:noProof/>
        </w:rPr>
      </w:pPr>
      <w:r>
        <w:rPr>
          <w:noProof/>
        </w:rPr>
        <w:t>reformu priekšlikumam piešķir pusi no maksimālā finansiālā ieguldījuma.</w:t>
      </w:r>
    </w:p>
    <w:p>
      <w:pPr>
        <w:rPr>
          <w:noProof/>
        </w:rPr>
      </w:pPr>
    </w:p>
    <w:p>
      <w:pPr>
        <w:pBdr>
          <w:top w:val="single" w:sz="4" w:space="1" w:color="auto"/>
          <w:left w:val="single" w:sz="4" w:space="4" w:color="auto"/>
          <w:bottom w:val="single" w:sz="4" w:space="1" w:color="auto"/>
          <w:right w:val="single" w:sz="4" w:space="4" w:color="auto"/>
        </w:pBdr>
        <w:rPr>
          <w:b/>
          <w:noProof/>
          <w:u w:val="single"/>
        </w:rPr>
      </w:pPr>
      <w:r>
        <w:rPr>
          <w:b/>
          <w:noProof/>
          <w:u w:val="single"/>
        </w:rPr>
        <w:t>Neliels būtiskums attiecībā uz dalību eurozonā</w:t>
      </w:r>
    </w:p>
    <w:p>
      <w:pPr>
        <w:pBdr>
          <w:top w:val="single" w:sz="4" w:space="1" w:color="auto"/>
          <w:left w:val="single" w:sz="4" w:space="4" w:color="auto"/>
          <w:bottom w:val="single" w:sz="4" w:space="1" w:color="auto"/>
          <w:right w:val="single" w:sz="4" w:space="4" w:color="auto"/>
        </w:pBdr>
        <w:rPr>
          <w:noProof/>
        </w:rPr>
      </w:pPr>
      <w:r>
        <w:rPr>
          <w:noProof/>
        </w:rPr>
        <w:t xml:space="preserve">Neatkarīgi no pārējiem vērtējumiem, ja 3.3. punktā minētais snieguma un noturības kritērijs ir novērtēts ar B vai C,  </w:t>
      </w:r>
    </w:p>
    <w:p>
      <w:pPr>
        <w:pBdr>
          <w:top w:val="single" w:sz="4" w:space="1" w:color="auto"/>
          <w:left w:val="single" w:sz="4" w:space="4" w:color="auto"/>
          <w:bottom w:val="single" w:sz="4" w:space="1" w:color="auto"/>
          <w:right w:val="single" w:sz="4" w:space="4" w:color="auto"/>
        </w:pBdr>
        <w:rPr>
          <w:noProof/>
        </w:rPr>
      </w:pPr>
      <w:r>
        <w:rPr>
          <w:noProof/>
        </w:rPr>
        <w:t>reformu priekšlikumam finansiālo ieguldījumu nepiešķir.</w:t>
      </w:r>
    </w:p>
    <w:p>
      <w:pPr>
        <w:spacing w:before="0" w:after="200" w:line="276" w:lineRule="auto"/>
        <w:jc w:val="left"/>
        <w:rPr>
          <w:noProof/>
        </w:rPr>
      </w:pPr>
      <w:r>
        <w:rPr>
          <w:noProof/>
        </w:rPr>
        <w:br w:type="page"/>
      </w:r>
    </w:p>
    <w:p>
      <w:pPr>
        <w:pStyle w:val="Annexetitre"/>
        <w:rPr>
          <w:rStyle w:val="Marker"/>
          <w:noProof/>
        </w:rPr>
      </w:pPr>
      <w:r>
        <w:rPr>
          <w:noProof/>
        </w:rPr>
        <w:t>III PIELIKUMS</w:t>
      </w:r>
    </w:p>
    <w:p>
      <w:pPr>
        <w:jc w:val="center"/>
        <w:rPr>
          <w:b/>
          <w:noProof/>
          <w:sz w:val="22"/>
        </w:rPr>
      </w:pPr>
      <w:r>
        <w:rPr>
          <w:b/>
          <w:noProof/>
          <w:sz w:val="22"/>
        </w:rPr>
        <w:t>Rādītāji</w:t>
      </w:r>
    </w:p>
    <w:p>
      <w:pPr>
        <w:rPr>
          <w:noProof/>
          <w:sz w:val="22"/>
        </w:rPr>
      </w:pPr>
      <w:r>
        <w:rPr>
          <w:noProof/>
          <w:sz w:val="22"/>
        </w:rPr>
        <w:t>Regulas 4. un 5. pantā minēto mērķu sasniegšanu mēra, balstoties uz šādiem rādītājiem, kas sadalīti pa dalībvalstīm un intervences jomām.</w:t>
      </w:r>
    </w:p>
    <w:p>
      <w:pPr>
        <w:spacing w:before="0"/>
        <w:rPr>
          <w:noProof/>
          <w:sz w:val="22"/>
        </w:rPr>
      </w:pPr>
      <w:r>
        <w:rPr>
          <w:noProof/>
          <w:sz w:val="22"/>
        </w:rPr>
        <w:t xml:space="preserve">Rādītājus izmanto saskaņā ar pieejamajiem datiem un informāciju, tai skaitā kvantitatīviem un/vai kvalitatīviem datiem. </w:t>
      </w:r>
    </w:p>
    <w:p>
      <w:pPr>
        <w:spacing w:before="0"/>
        <w:rPr>
          <w:b/>
          <w:noProof/>
          <w:sz w:val="22"/>
        </w:rPr>
      </w:pPr>
    </w:p>
    <w:p>
      <w:pPr>
        <w:spacing w:before="0"/>
        <w:rPr>
          <w:b/>
          <w:noProof/>
          <w:sz w:val="22"/>
        </w:rPr>
      </w:pPr>
      <w:r>
        <w:rPr>
          <w:b/>
          <w:noProof/>
          <w:sz w:val="22"/>
        </w:rPr>
        <w:t>Reformu īstenošanas instruments</w:t>
      </w:r>
    </w:p>
    <w:p>
      <w:pPr>
        <w:pStyle w:val="Bullet0"/>
        <w:rPr>
          <w:b/>
          <w:noProof/>
          <w:color w:val="000000" w:themeColor="text1"/>
        </w:rPr>
      </w:pPr>
      <w:r>
        <w:rPr>
          <w:b/>
          <w:noProof/>
        </w:rPr>
        <w:t>iznākuma rādītāji:</w:t>
      </w:r>
    </w:p>
    <w:p>
      <w:pPr>
        <w:pStyle w:val="Point1letter"/>
        <w:numPr>
          <w:ilvl w:val="3"/>
          <w:numId w:val="10"/>
        </w:numPr>
        <w:rPr>
          <w:noProof/>
        </w:rPr>
      </w:pPr>
      <w:r>
        <w:rPr>
          <w:noProof/>
        </w:rPr>
        <w:t>noslēgto reformu saistību skaits;</w:t>
      </w:r>
    </w:p>
    <w:p>
      <w:pPr>
        <w:pStyle w:val="Point1letter"/>
        <w:numPr>
          <w:ilvl w:val="3"/>
          <w:numId w:val="10"/>
        </w:numPr>
        <w:rPr>
          <w:noProof/>
        </w:rPr>
      </w:pPr>
      <w:r>
        <w:rPr>
          <w:noProof/>
        </w:rPr>
        <w:t>reformu saistībām piešķirtais kopējais finansiālais ieguldījums;</w:t>
      </w:r>
    </w:p>
    <w:p>
      <w:pPr>
        <w:pStyle w:val="Bullet0"/>
        <w:rPr>
          <w:b/>
          <w:noProof/>
        </w:rPr>
      </w:pPr>
      <w:r>
        <w:rPr>
          <w:b/>
          <w:noProof/>
        </w:rPr>
        <w:t xml:space="preserve">rezultātu rādītāji: </w:t>
      </w:r>
    </w:p>
    <w:p>
      <w:pPr>
        <w:pStyle w:val="Point1letter"/>
        <w:numPr>
          <w:ilvl w:val="3"/>
          <w:numId w:val="10"/>
        </w:numPr>
        <w:rPr>
          <w:noProof/>
          <w:color w:val="000000" w:themeColor="text1"/>
        </w:rPr>
      </w:pPr>
      <w:r>
        <w:rPr>
          <w:noProof/>
        </w:rPr>
        <w:t xml:space="preserve">pabeigto reformu saistību skaits; </w:t>
      </w:r>
    </w:p>
    <w:p>
      <w:pPr>
        <w:tabs>
          <w:tab w:val="left" w:pos="954"/>
        </w:tabs>
        <w:spacing w:before="0"/>
        <w:rPr>
          <w:b/>
          <w:noProof/>
          <w:sz w:val="22"/>
        </w:rPr>
      </w:pPr>
      <w:r>
        <w:rPr>
          <w:noProof/>
        </w:rPr>
        <w:tab/>
      </w:r>
    </w:p>
    <w:p>
      <w:pPr>
        <w:spacing w:before="0"/>
        <w:rPr>
          <w:b/>
          <w:noProof/>
          <w:sz w:val="22"/>
        </w:rPr>
      </w:pPr>
      <w:r>
        <w:rPr>
          <w:b/>
          <w:noProof/>
          <w:sz w:val="22"/>
        </w:rPr>
        <w:t>Tehniskā atbalsta instruments</w:t>
      </w:r>
    </w:p>
    <w:p>
      <w:pPr>
        <w:pStyle w:val="Bullet0"/>
        <w:rPr>
          <w:b/>
          <w:noProof/>
        </w:rPr>
      </w:pPr>
      <w:r>
        <w:rPr>
          <w:b/>
          <w:noProof/>
        </w:rPr>
        <w:t xml:space="preserve">iznākuma rādītāji:  </w:t>
      </w:r>
    </w:p>
    <w:p>
      <w:pPr>
        <w:pStyle w:val="Point1letter"/>
        <w:numPr>
          <w:ilvl w:val="3"/>
          <w:numId w:val="10"/>
        </w:numPr>
        <w:rPr>
          <w:noProof/>
        </w:rPr>
      </w:pPr>
      <w:r>
        <w:rPr>
          <w:noProof/>
        </w:rPr>
        <w:t>noslēgto sadarbības un atbalsta plānu skaits;</w:t>
      </w:r>
    </w:p>
    <w:p>
      <w:pPr>
        <w:pStyle w:val="Point1letter"/>
        <w:numPr>
          <w:ilvl w:val="3"/>
          <w:numId w:val="10"/>
        </w:numPr>
        <w:rPr>
          <w:noProof/>
        </w:rPr>
      </w:pPr>
      <w:r>
        <w:rPr>
          <w:noProof/>
        </w:rPr>
        <w:t>veikto tehniskā atbalsta darbību skaits;</w:t>
      </w:r>
    </w:p>
    <w:p>
      <w:pPr>
        <w:pStyle w:val="Point1letter"/>
        <w:numPr>
          <w:ilvl w:val="3"/>
          <w:numId w:val="10"/>
        </w:numPr>
        <w:rPr>
          <w:noProof/>
        </w:rPr>
      </w:pPr>
      <w:r>
        <w:rPr>
          <w:noProof/>
        </w:rPr>
        <w:t xml:space="preserve">tehniskā atbalsta darbību nodevumi, piemēram, rīcības plāni, ceļveži, vadlīnijas, rokasgrāmatas un ieteikumi; </w:t>
      </w:r>
    </w:p>
    <w:p>
      <w:pPr>
        <w:pStyle w:val="Bullet0"/>
        <w:rPr>
          <w:b/>
          <w:noProof/>
        </w:rPr>
      </w:pPr>
      <w:r>
        <w:rPr>
          <w:b/>
          <w:noProof/>
        </w:rPr>
        <w:t>rezultātu rādītāji:</w:t>
      </w:r>
    </w:p>
    <w:p>
      <w:pPr>
        <w:pStyle w:val="Point1letter"/>
        <w:numPr>
          <w:ilvl w:val="3"/>
          <w:numId w:val="10"/>
        </w:numPr>
        <w:rPr>
          <w:noProof/>
        </w:rPr>
      </w:pPr>
      <w:r>
        <w:rPr>
          <w:noProof/>
        </w:rPr>
        <w:t>tehnisko atbalsta pasākumu iznākums, piemēram, stratēģijas pieņemšana, jauna tiesību akta pieņemšana vai spēkā esoša tiesību akta grozīšana, (jaunu) procedūru un pasākumu pieņemšana, lai veicinātu reformu īstenošanu;</w:t>
      </w:r>
    </w:p>
    <w:p>
      <w:pPr>
        <w:spacing w:before="0"/>
        <w:rPr>
          <w:b/>
          <w:noProof/>
          <w:sz w:val="22"/>
        </w:rPr>
      </w:pPr>
    </w:p>
    <w:p>
      <w:pPr>
        <w:spacing w:before="0"/>
        <w:rPr>
          <w:b/>
          <w:noProof/>
          <w:sz w:val="22"/>
        </w:rPr>
      </w:pPr>
      <w:r>
        <w:rPr>
          <w:b/>
          <w:noProof/>
          <w:sz w:val="22"/>
        </w:rPr>
        <w:t xml:space="preserve">Konverģences mehānisms </w:t>
      </w:r>
    </w:p>
    <w:p>
      <w:pPr>
        <w:pStyle w:val="Bullet0"/>
        <w:rPr>
          <w:noProof/>
        </w:rPr>
      </w:pPr>
      <w:r>
        <w:rPr>
          <w:noProof/>
        </w:rPr>
        <w:t>attiecībā uz finansiālā atbalsta komponentu – tie paši rādītāji, kas minēti a) līdz c) apakšpunktā;</w:t>
      </w:r>
    </w:p>
    <w:p>
      <w:pPr>
        <w:pStyle w:val="Bullet0"/>
        <w:rPr>
          <w:noProof/>
        </w:rPr>
      </w:pPr>
      <w:r>
        <w:rPr>
          <w:noProof/>
        </w:rPr>
        <w:t>attiecībā uz tehniskā atbalsta komponentu – tie paši rādītāji, kas minēti d) līdz g) apakšpunktā.</w:t>
      </w:r>
    </w:p>
    <w:p>
      <w:pPr>
        <w:spacing w:before="0"/>
        <w:rPr>
          <w:b/>
          <w:noProof/>
          <w:sz w:val="22"/>
        </w:rPr>
      </w:pPr>
    </w:p>
    <w:p>
      <w:pPr>
        <w:spacing w:before="0"/>
        <w:rPr>
          <w:b/>
          <w:noProof/>
          <w:sz w:val="22"/>
        </w:rPr>
      </w:pPr>
      <w:r>
        <w:rPr>
          <w:b/>
          <w:noProof/>
          <w:sz w:val="22"/>
        </w:rPr>
        <w:t>Programmas ietekmes rādītāji</w:t>
      </w:r>
    </w:p>
    <w:p>
      <w:pPr>
        <w:pStyle w:val="Bullet0"/>
        <w:rPr>
          <w:noProof/>
        </w:rPr>
      </w:pPr>
      <w:r>
        <w:rPr>
          <w:noProof/>
        </w:rPr>
        <w:t>Reformu saistību priekšlikumos izvirzītie mērķi, kas sasniegti, cita starpā pateicoties finansiālajam atbalstam, kurš saņemts no programmas instrumentiem;</w:t>
      </w:r>
    </w:p>
    <w:p>
      <w:pPr>
        <w:pStyle w:val="Bullet0"/>
        <w:rPr>
          <w:noProof/>
        </w:rPr>
      </w:pPr>
      <w:r>
        <w:rPr>
          <w:noProof/>
        </w:rPr>
        <w:t xml:space="preserve">sadarbības un atbalsta plānos izvirzītie mērķi, kas sasniegti, cita starpā pateicoties tehniskajam atbalstam, kurš saņemts no programmas instrumentiem. </w:t>
      </w:r>
    </w:p>
    <w:p>
      <w:pPr>
        <w:pStyle w:val="BodyText"/>
        <w:rPr>
          <w:noProof/>
          <w:sz w:val="22"/>
        </w:rPr>
      </w:pPr>
    </w:p>
    <w:p>
      <w:pPr>
        <w:rPr>
          <w:noProof/>
        </w:rPr>
      </w:pPr>
      <w:r>
        <w:rPr>
          <w:noProof/>
          <w:sz w:val="22"/>
        </w:rPr>
        <w:t xml:space="preserve">Komisija veic 36. pantā paredzēto </w:t>
      </w:r>
      <w:r>
        <w:rPr>
          <w:i/>
          <w:noProof/>
          <w:sz w:val="22"/>
        </w:rPr>
        <w:t>ex-post</w:t>
      </w:r>
      <w:r>
        <w:rPr>
          <w:noProof/>
          <w:sz w:val="22"/>
        </w:rPr>
        <w:t xml:space="preserve"> izvērtēšanu arī tālab, lai izveidotu saikni starp programmas (finansiālo un tehnisko) atbalstu un strukturālo reformu īstenošanu attiecīgajā dalībvalstī ar nolūku uzlabot konkurētspēju, ražīgumu, izaugsmi, nodarbinātību un kohēziju.</w:t>
      </w:r>
    </w:p>
    <w:p>
      <w:pPr>
        <w:rPr>
          <w:noProof/>
        </w:rPr>
      </w:pPr>
      <w:bookmarkStart w:id="2" w:name="_InMacro_"/>
      <w:bookmarkEnd w:id="2"/>
    </w:p>
    <w:sectPr>
      <w:footerReference w:type="default" r:id="rId20"/>
      <w:footerReference w:type="first" r:id="rId21"/>
      <w:pgSz w:w="11907" w:h="16839"/>
      <w:pgMar w:top="1134" w:right="1417" w:bottom="1134" w:left="1417" w:header="709" w:footer="709"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63E032" w15:done="0"/>
  <w15:commentEx w15:paraId="739CCC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63E032" w16cid:durableId="1EA33367"/>
  <w16cid:commentId w16cid:paraId="739CCC4E" w16cid:durableId="1EA333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142" w:hanging="142"/>
      </w:pPr>
      <w:r>
        <w:rPr>
          <w:rStyle w:val="FootnoteReference"/>
        </w:rPr>
        <w:footnoteRef/>
      </w:r>
      <w:r>
        <w:tab/>
        <w:t>Padomes 2000. gada 29. septembra Lēmums par Ekonomikas politikas komitejas sastāvu un statūtiem (2000/604/EK) (OV L 257, 11.10.2000., 28.–31.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5C707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7E80D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DFA7F4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DCE4D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F7C2A0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C42560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45E205A"/>
    <w:lvl w:ilvl="0">
      <w:start w:val="1"/>
      <w:numFmt w:val="decimal"/>
      <w:pStyle w:val="ListNumber"/>
      <w:lvlText w:val="%1."/>
      <w:lvlJc w:val="left"/>
      <w:pPr>
        <w:tabs>
          <w:tab w:val="num" w:pos="360"/>
        </w:tabs>
        <w:ind w:left="360" w:hanging="360"/>
      </w:pPr>
    </w:lvl>
  </w:abstractNum>
  <w:abstractNum w:abstractNumId="7">
    <w:nsid w:val="FFFFFF89"/>
    <w:multiLevelType w:val="singleLevel"/>
    <w:tmpl w:val="E84E99F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égis Dock">
    <w15:presenceInfo w15:providerId="Windows Live" w15:userId="706354f1a5f4c6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8 12:34:18"/>
    <w:docVar w:name="DQCNUMB_10" w:val="244"/>
    <w:docVar w:name="DQCNUMB_11" w:val="247"/>
    <w:docVar w:name="DQCNUMB_12" w:val="248"/>
    <w:docVar w:name="DQCNUMB_5" w:val="228"/>
    <w:docVar w:name="DQCNUMB_6" w:val="231"/>
    <w:docVar w:name="DQCNUMB_7" w:val="235"/>
    <w:docVar w:name="DQCNUMB_8" w:val="239"/>
    <w:docVar w:name="DQCNUMB_9" w:val="24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52"/>
    <w:docVar w:name="DQCResult_UnknownFonts" w:val="0;0"/>
    <w:docVar w:name="DQCResult_UnknownStyles" w:val="0;1"/>
    <w:docVar w:name="DQCStatus" w:val="Green"/>
    <w:docVar w:name="DQCVersion" w:val="3"/>
    <w:docVar w:name="DQCWithWarnings" w:val="0"/>
    <w:docVar w:name="LW_ACCOMPAGNANT" w:val="dokumentam"/>
    <w:docVar w:name="LW_ACCOMPAGNANT.CP" w:val="dokumentam"/>
    <w:docVar w:name="LW_ANNEX_NBR_FIRST" w:val="1"/>
    <w:docVar w:name="LW_ANNEX_NBR_LAST" w:val="3"/>
    <w:docVar w:name="LW_ANNEX_UNIQUE" w:val="0"/>
    <w:docVar w:name="LW_CORRIGENDUM" w:val="&lt;UNUSED&gt;"/>
    <w:docVar w:name="LW_COVERPAGE_EXISTS" w:val="True"/>
    <w:docVar w:name="LW_COVERPAGE_GUID" w:val="F48EDBEC-AC1B-4625-8E72-0AAD00706B17"/>
    <w:docVar w:name="LW_COVERPAGE_TYPE" w:val="1"/>
    <w:docVar w:name="LW_CROSSREFERENCE" w:val="{SEC(2018) 280 final}_x000b_{SWD(2018) 310 final}_x000b_{SWD(2018) 311 final}"/>
    <w:docVar w:name="LW_DocType" w:val="ANNEX"/>
    <w:docVar w:name="LW_EMISSION" w:val="31.5.2018"/>
    <w:docVar w:name="LW_EMISSION_ISODATE" w:val="2018-05-31"/>
    <w:docVar w:name="LW_EMISSION_LOCATION" w:val="BRX"/>
    <w:docVar w:name="LW_EMISSION_PREFIX" w:val="Brisel\u275?,"/>
    <w:docVar w:name="LW_EMISSION_SUFFIX" w:val="&lt;EMPTY&gt;"/>
    <w:docVar w:name="LW_ID_DOCSTRUCTURE" w:val="COM/ANNEX"/>
    <w:docVar w:name="LW_ID_DOCTYPE" w:val="SG-017"/>
    <w:docVar w:name="LW_LANGUE" w:val="LV"/>
    <w:docVar w:name="LW_LEVEL_OF_SENSITIVITY" w:val="Standard treatment"/>
    <w:docVar w:name="LW_NOM.INST" w:val="EIROPAS KOMISIJA"/>
    <w:docVar w:name="LW_NOM.INST_JOINTDOC" w:val="&lt;EMPTY&gt;"/>
    <w:docVar w:name="LW_OBJETACTEPRINCIPAL" w:val="par Reformu atbalsta programmas izveidi"/>
    <w:docVar w:name="LW_OBJETACTEPRINCIPAL.CP" w:val="par Reformu atbalsta programmas izveidi"/>
    <w:docVar w:name="LW_PART_NBR" w:val="&lt;UNUSED&gt;"/>
    <w:docVar w:name="LW_PART_NBR_TOTAL" w:val="&lt;UNUSED&gt;"/>
    <w:docVar w:name="LW_REF.INST.NEW" w:val="COM"/>
    <w:docVar w:name="LW_REF.INST.NEW_ADOPTED" w:val="final"/>
    <w:docVar w:name="LW_REF.INST.NEW_TEXT" w:val="(2018) 3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IELIKUMI"/>
    <w:docVar w:name="LW_TYPE.DOC.CP" w:val="PIELIKUMI"/>
    <w:docVar w:name="LW_TYPEACTEPRINCIPAL" w:val="Priek\u353?likums Eiropas Parlamenta un Padomes regulai"/>
    <w:docVar w:name="LW_TYPEACTEPRINCIPAL.CP" w:val="Priek\u353?likums Eiropas Parlamenta un Padomes regulai"/>
  </w:docVar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lv-LV"/>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lv-LV"/>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0" ma:contentTypeDescription="Create a new document in this library." ma:contentTypeScope="" ma:versionID="f10b94d9d233ee48f0d376ff01483eb8">
  <xsd:schema xmlns:xsd="http://www.w3.org/2001/XMLSchema" xmlns:xs="http://www.w3.org/2001/XMLSchema" xmlns:p="http://schemas.microsoft.com/office/2006/metadata/properties" xmlns:ns2="http://schemas.microsoft.com/sharepoint/v3/fields" xmlns:ns3="aa30d10d-b30d-4a7a-9d26-d2ca493895f6" targetNamespace="http://schemas.microsoft.com/office/2006/metadata/properties" ma:root="true" ma:fieldsID="d36a867d41c153cbdd2fa160b23b609a" ns2:_="" ns3:_="">
    <xsd:import namespace="http://schemas.microsoft.com/sharepoint/v3/fields"/>
    <xsd:import namespace="aa30d10d-b30d-4a7a-9d26-d2ca493895f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3A510-7D18-49E8-ABD9-3744CA4E9A6C}">
  <ds:schemaRefs>
    <ds:schemaRef ds:uri="http://schemas.microsoft.com/office/infopath/2007/PartnerControls"/>
    <ds:schemaRef ds:uri="http://purl.org/dc/terms/"/>
    <ds:schemaRef ds:uri="http://purl.org/dc/elements/1.1/"/>
    <ds:schemaRef ds:uri="aa30d10d-b30d-4a7a-9d26-d2ca493895f6"/>
    <ds:schemaRef ds:uri="http://purl.org/dc/dcmitype/"/>
    <ds:schemaRef ds:uri="http://schemas.microsoft.com/sharepoint/v3/field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0F2CFCE-3B98-4C91-BE3B-00C709DF9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507C42-14F7-4BFD-8602-6E01A2834804}">
  <ds:schemaRefs>
    <ds:schemaRef ds:uri="http://schemas.microsoft.com/sharepoint/v3/contenttype/forms"/>
  </ds:schemaRefs>
</ds:datastoreItem>
</file>

<file path=customXml/itemProps4.xml><?xml version="1.0" encoding="utf-8"?>
<ds:datastoreItem xmlns:ds="http://schemas.openxmlformats.org/officeDocument/2006/customXml" ds:itemID="{2DCD93C0-6FEC-48CA-87EC-947502F7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15</Pages>
  <Words>2658</Words>
  <Characters>17998</Characters>
  <Application>Microsoft Office Word</Application>
  <DocSecurity>0</DocSecurity>
  <Lines>529</Lines>
  <Paragraphs>362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LOMARTIRE Filomena (EMPL)</dc:creator>
  <cp:lastModifiedBy>DIGIT/A3</cp:lastModifiedBy>
  <cp:revision>8</cp:revision>
  <cp:lastPrinted>2018-05-20T11:52:00Z</cp:lastPrinted>
  <dcterms:created xsi:type="dcterms:W3CDTF">2018-06-06T15:01:00Z</dcterms:created>
  <dcterms:modified xsi:type="dcterms:W3CDTF">2018-06-08T10:34:00Z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Created using">
    <vt:lpwstr>LW 6.0, Build 20171009</vt:lpwstr>
  </property>
  <property fmtid="{D5CDD505-2E9C-101B-9397-08002B2CF9AE}" pid="5" name="First annex">
    <vt:lpwstr>1</vt:lpwstr>
  </property>
  <property fmtid="{D5CDD505-2E9C-101B-9397-08002B2CF9AE}" pid="6" name="Last annex">
    <vt:lpwstr>3</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Level of sensitivity">
    <vt:lpwstr>Standard treatment</vt:lpwstr>
  </property>
  <property fmtid="{D5CDD505-2E9C-101B-9397-08002B2CF9AE}" pid="11" name="LWTemplateID">
    <vt:lpwstr>SG-017</vt:lpwstr>
  </property>
  <property fmtid="{D5CDD505-2E9C-101B-9397-08002B2CF9AE}" pid="12" name="ContentTypeId">
    <vt:lpwstr>0x010100258AA79CEB83498886A3A08681123250004C19CB19FD2FBA47808508DA40B1A876</vt:lpwstr>
  </property>
  <property fmtid="{D5CDD505-2E9C-101B-9397-08002B2CF9AE}" pid="13" name="Last edited using">
    <vt:lpwstr>LW 6.0, Build 20171009</vt:lpwstr>
  </property>
  <property fmtid="{D5CDD505-2E9C-101B-9397-08002B2CF9AE}" pid="14" name="DQCStatus">
    <vt:lpwstr>Green (DQC version 03)</vt:lpwstr>
  </property>
</Properties>
</file>