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CD6209AA-4BE7-4F92-B1AC-05038BDD21F8" style="width:450.75pt;height:411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PRÍLOHA</w:t>
      </w:r>
    </w:p>
    <w:p>
      <w:pPr>
        <w:pStyle w:val="Heading1"/>
        <w:numPr>
          <w:ilvl w:val="0"/>
          <w:numId w:val="1"/>
        </w:numPr>
        <w:spacing w:before="240"/>
        <w:rPr>
          <w:noProof/>
        </w:rPr>
      </w:pPr>
      <w:r>
        <w:rPr>
          <w:noProof/>
        </w:rPr>
        <w:t>Úvod</w:t>
      </w:r>
    </w:p>
    <w:p>
      <w:pPr>
        <w:spacing w:after="240"/>
        <w:ind w:right="74"/>
        <w:rPr>
          <w:rStyle w:val="Hyperlink"/>
          <w:noProof/>
          <w:szCs w:val="24"/>
        </w:rPr>
      </w:pPr>
      <w:r>
        <w:rPr>
          <w:noProof/>
        </w:rPr>
        <w:t xml:space="preserve">13. zasadnutie valného zhromaždenia Medzivládnej organizácie pre medzinárodnú železničnú prepravu (OTIF) sa uskutoční 25. a 26. septembra 2018. Dokumenty týkajúce sa zasadnutia sú k dispozícii na webovej stránke OTIF na tejto adrese: </w:t>
      </w:r>
      <w:hyperlink r:id="rId15">
        <w:r>
          <w:rPr>
            <w:rStyle w:val="Hyperlink"/>
            <w:noProof/>
          </w:rPr>
          <w:t>http://extranet.otif.org/en/?page_id=1071</w:t>
        </w:r>
      </w:hyperlink>
      <w:r>
        <w:rPr>
          <w:noProof/>
        </w:rPr>
        <w:t>.</w:t>
      </w:r>
    </w:p>
    <w:p>
      <w:pPr>
        <w:pStyle w:val="Heading1"/>
        <w:numPr>
          <w:ilvl w:val="0"/>
          <w:numId w:val="1"/>
        </w:numPr>
        <w:spacing w:before="240"/>
        <w:rPr>
          <w:noProof/>
        </w:rPr>
      </w:pPr>
      <w:r>
        <w:rPr>
          <w:noProof/>
        </w:rPr>
        <w:t>Pripomienky k bodom programu</w:t>
      </w:r>
    </w:p>
    <w:p>
      <w:pPr>
        <w:spacing w:before="240"/>
        <w:rPr>
          <w:b/>
          <w:noProof/>
          <w:szCs w:val="24"/>
        </w:rPr>
      </w:pPr>
      <w:r>
        <w:rPr>
          <w:b/>
          <w:noProof/>
        </w:rPr>
        <w:t>Bod programu č. 1 – Voľba predsedu a podpredsedu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Dokumenty:</w:t>
      </w:r>
      <w:r>
        <w:rPr>
          <w:noProof/>
        </w:rPr>
        <w:t xml:space="preserve"> žiadne.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Právomoc</w:t>
      </w:r>
      <w:r>
        <w:rPr>
          <w:noProof/>
        </w:rPr>
        <w:t>: Únia (spoločná).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Vykonávanie hlasovacích práv:</w:t>
      </w:r>
      <w:r>
        <w:rPr>
          <w:noProof/>
        </w:rPr>
        <w:t xml:space="preserve"> členské štáty.</w:t>
      </w:r>
    </w:p>
    <w:p>
      <w:pPr>
        <w:shd w:val="clear" w:color="auto" w:fill="F2F2F2" w:themeFill="background1" w:themeFillShade="F2"/>
        <w:rPr>
          <w:noProof/>
          <w:szCs w:val="24"/>
        </w:rPr>
      </w:pPr>
      <w:r>
        <w:rPr>
          <w:i/>
          <w:noProof/>
        </w:rPr>
        <w:t xml:space="preserve">Pozícia: </w:t>
      </w:r>
      <w:r>
        <w:rPr>
          <w:noProof/>
        </w:rPr>
        <w:t>žiadna.</w:t>
      </w:r>
    </w:p>
    <w:p>
      <w:pPr>
        <w:spacing w:before="240"/>
        <w:rPr>
          <w:b/>
          <w:noProof/>
          <w:szCs w:val="24"/>
        </w:rPr>
      </w:pPr>
      <w:r>
        <w:rPr>
          <w:b/>
          <w:noProof/>
        </w:rPr>
        <w:t>Bod programu č. 2 – Schvaľovanie programu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Dokumenty:</w:t>
      </w:r>
      <w:r>
        <w:rPr>
          <w:noProof/>
        </w:rPr>
        <w:t xml:space="preserve"> SG-18028-AG 13/2.1; SG-18047-AG 13/2.2.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Právomoc</w:t>
      </w:r>
      <w:r>
        <w:rPr>
          <w:noProof/>
        </w:rPr>
        <w:t>: Únia (spoločná a výlučná)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Vykonávanie hlasovacích práv:</w:t>
      </w:r>
      <w:r>
        <w:rPr>
          <w:noProof/>
        </w:rPr>
        <w:t xml:space="preserve"> Únia.</w:t>
      </w:r>
    </w:p>
    <w:p>
      <w:pPr>
        <w:shd w:val="clear" w:color="auto" w:fill="F2F2F2" w:themeFill="background1" w:themeFillShade="F2"/>
        <w:rPr>
          <w:i/>
          <w:noProof/>
          <w:szCs w:val="24"/>
        </w:rPr>
      </w:pPr>
      <w:r>
        <w:rPr>
          <w:i/>
          <w:noProof/>
        </w:rPr>
        <w:t xml:space="preserve">Pozícia: </w:t>
      </w:r>
      <w:r>
        <w:rPr>
          <w:noProof/>
        </w:rPr>
        <w:t>V prospech prijatia návrhu programu rokovania.</w:t>
      </w:r>
    </w:p>
    <w:p>
      <w:pPr>
        <w:spacing w:before="240"/>
        <w:rPr>
          <w:b/>
          <w:noProof/>
          <w:szCs w:val="24"/>
        </w:rPr>
      </w:pPr>
      <w:r>
        <w:rPr>
          <w:b/>
          <w:noProof/>
        </w:rPr>
        <w:t>Bod programu č. 3 – Vytvorenie mandátového výboru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Dokumenty:</w:t>
      </w:r>
      <w:r>
        <w:rPr>
          <w:noProof/>
        </w:rPr>
        <w:t xml:space="preserve"> žiadne.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Právomoc</w:t>
      </w:r>
      <w:r>
        <w:rPr>
          <w:noProof/>
        </w:rPr>
        <w:t>: Únia (spoločná).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Vykonávanie hlasovacích práv:</w:t>
      </w:r>
      <w:r>
        <w:rPr>
          <w:noProof/>
        </w:rPr>
        <w:t xml:space="preserve"> členské štáty.</w:t>
      </w:r>
    </w:p>
    <w:p>
      <w:pPr>
        <w:shd w:val="clear" w:color="auto" w:fill="F2F2F2" w:themeFill="background1" w:themeFillShade="F2"/>
        <w:rPr>
          <w:noProof/>
          <w:szCs w:val="24"/>
        </w:rPr>
      </w:pPr>
      <w:r>
        <w:rPr>
          <w:noProof/>
        </w:rPr>
        <w:t>Pozícia: žiadna.</w:t>
      </w:r>
    </w:p>
    <w:p>
      <w:pPr>
        <w:spacing w:before="240"/>
        <w:rPr>
          <w:b/>
          <w:noProof/>
          <w:szCs w:val="24"/>
        </w:rPr>
      </w:pPr>
      <w:r>
        <w:rPr>
          <w:b/>
          <w:noProof/>
        </w:rPr>
        <w:t>Bod programu č. 4 – Organizácia práce a vymenovanie všetkých výborov, ktoré sa považujú za potrebné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Dokumenty:</w:t>
      </w:r>
      <w:r>
        <w:rPr>
          <w:noProof/>
        </w:rPr>
        <w:t xml:space="preserve"> žiadne.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Právomoc</w:t>
      </w:r>
      <w:r>
        <w:rPr>
          <w:noProof/>
        </w:rPr>
        <w:t>: Únia (spoločná).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Vykonávanie hlasovacích práv:</w:t>
      </w:r>
      <w:r>
        <w:rPr>
          <w:noProof/>
        </w:rPr>
        <w:t xml:space="preserve"> členské štáty.</w:t>
      </w:r>
    </w:p>
    <w:p>
      <w:pPr>
        <w:shd w:val="clear" w:color="auto" w:fill="F2F2F2" w:themeFill="background1" w:themeFillShade="F2"/>
        <w:rPr>
          <w:noProof/>
          <w:szCs w:val="24"/>
        </w:rPr>
      </w:pPr>
      <w:r>
        <w:rPr>
          <w:i/>
          <w:noProof/>
        </w:rPr>
        <w:t xml:space="preserve">Pozícia: </w:t>
      </w:r>
      <w:r>
        <w:rPr>
          <w:noProof/>
        </w:rPr>
        <w:t>žiadna.</w:t>
      </w:r>
    </w:p>
    <w:p>
      <w:pPr>
        <w:spacing w:before="240"/>
        <w:rPr>
          <w:b/>
          <w:noProof/>
          <w:szCs w:val="24"/>
        </w:rPr>
      </w:pPr>
      <w:r>
        <w:rPr>
          <w:b/>
          <w:noProof/>
        </w:rPr>
        <w:t>Bod programu č. 5 – Zmeny rokovacieho poriadku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Dokumenty:</w:t>
      </w:r>
      <w:r>
        <w:rPr>
          <w:noProof/>
        </w:rPr>
        <w:t xml:space="preserve"> SG-18030-AG 13/5.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Právomoc</w:t>
      </w:r>
      <w:r>
        <w:rPr>
          <w:noProof/>
        </w:rPr>
        <w:t>: Únia (spoločná a výlučná)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Vykonávanie hlasovacích práv:</w:t>
      </w:r>
      <w:r>
        <w:rPr>
          <w:noProof/>
        </w:rPr>
        <w:t xml:space="preserve"> Únia.</w:t>
      </w:r>
    </w:p>
    <w:p>
      <w:pPr>
        <w:shd w:val="clear" w:color="auto" w:fill="F2F2F2" w:themeFill="background1" w:themeFillShade="F2"/>
        <w:rPr>
          <w:noProof/>
          <w:szCs w:val="24"/>
        </w:rPr>
      </w:pPr>
      <w:r>
        <w:rPr>
          <w:i/>
          <w:noProof/>
        </w:rPr>
        <w:t xml:space="preserve">Pozícia: </w:t>
      </w:r>
      <w:r>
        <w:rPr>
          <w:noProof/>
        </w:rPr>
        <w:t>Podporiť zmeny rokovacieho poriadku valného zhromaždenia.</w:t>
      </w:r>
    </w:p>
    <w:p>
      <w:pPr>
        <w:rPr>
          <w:noProof/>
          <w:szCs w:val="24"/>
        </w:rPr>
      </w:pPr>
      <w:r>
        <w:rPr>
          <w:noProof/>
        </w:rPr>
        <w:t xml:space="preserve">Navrhované zmeny rokovacieho poriadku valného zhromaždenia organizácie OTIF sa týkajú lehôt na predkladanie a zasielania dokumentov, účasti nezávislých odborníkov a objasnenia ustanovení týkajúcich sa uplatňovania práv regionálnymi organizáciami. Súčasná verzia rokovacieho poriadku bola schválená pred pristúpením Únie k dohovoru COTIF; niektoré </w:t>
      </w:r>
      <w:r>
        <w:rPr>
          <w:noProof/>
        </w:rPr>
        <w:lastRenderedPageBreak/>
        <w:t>ustanovenia je preto potrebné aktualizovať. Najmä ustanovenia stanovujúce kvórum a upravujúce hlasovacie práva Únie (články 20 a 21) sa musia upraviť tak, aby boli v súlade s článkom 38 dohovoru COTIF a s dohodou medzi EÚ a organizáciou OTIF. Ostatné navrhované zmeny majú za cieľ zabezpečiť riadne konanie valného zhromaždenia na základe najlepších dostupných medzinárodných postupov a praxe OTIF; mali by sa taktiež podporiť.</w:t>
      </w:r>
    </w:p>
    <w:p>
      <w:pPr>
        <w:spacing w:before="240"/>
        <w:rPr>
          <w:b/>
          <w:noProof/>
          <w:szCs w:val="24"/>
        </w:rPr>
      </w:pPr>
      <w:r>
        <w:rPr>
          <w:b/>
          <w:noProof/>
        </w:rPr>
        <w:t>Bod programu č. 6 – Voľba generálneho tajomníka na obdobie od 1. januára 2019 do 31. decembra 2021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Dokumenty:</w:t>
      </w:r>
      <w:r>
        <w:rPr>
          <w:noProof/>
        </w:rPr>
        <w:t xml:space="preserve"> obmedzená distribúcia.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Právomoc</w:t>
      </w:r>
      <w:r>
        <w:rPr>
          <w:noProof/>
        </w:rPr>
        <w:t>: Únia (spoločná).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Vykonávanie hlasovacích práv:</w:t>
      </w:r>
      <w:r>
        <w:rPr>
          <w:noProof/>
        </w:rPr>
        <w:t xml:space="preserve"> členské štáty.</w:t>
      </w:r>
    </w:p>
    <w:p>
      <w:pPr>
        <w:shd w:val="clear" w:color="auto" w:fill="F2F2F2" w:themeFill="background1" w:themeFillShade="F2"/>
        <w:rPr>
          <w:noProof/>
          <w:szCs w:val="24"/>
        </w:rPr>
      </w:pPr>
      <w:r>
        <w:rPr>
          <w:i/>
          <w:noProof/>
        </w:rPr>
        <w:t xml:space="preserve">Pozícia: </w:t>
      </w:r>
      <w:r>
        <w:rPr>
          <w:noProof/>
        </w:rPr>
        <w:t>žiadna.</w:t>
      </w:r>
    </w:p>
    <w:p>
      <w:pPr>
        <w:spacing w:before="240"/>
        <w:rPr>
          <w:b/>
          <w:noProof/>
          <w:szCs w:val="24"/>
        </w:rPr>
      </w:pPr>
      <w:r>
        <w:rPr>
          <w:b/>
          <w:noProof/>
        </w:rPr>
        <w:t>Bod programu č. 7 – Členstvo v organizácii OTIF – všeobecná situácia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Dokumenty:</w:t>
      </w:r>
      <w:r>
        <w:rPr>
          <w:noProof/>
        </w:rPr>
        <w:t xml:space="preserve"> SG-18032-AG 13/7.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Právomoc</w:t>
      </w:r>
      <w:r>
        <w:rPr>
          <w:noProof/>
        </w:rPr>
        <w:t>: Únia (spoločná).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Vykonávanie hlasovacích práv:</w:t>
      </w:r>
      <w:r>
        <w:rPr>
          <w:noProof/>
        </w:rPr>
        <w:t xml:space="preserve"> neuplatňuje sa.</w:t>
      </w:r>
    </w:p>
    <w:p>
      <w:pPr>
        <w:shd w:val="clear" w:color="auto" w:fill="F2F2F2" w:themeFill="background1" w:themeFillShade="F2"/>
        <w:rPr>
          <w:noProof/>
          <w:szCs w:val="24"/>
        </w:rPr>
      </w:pPr>
      <w:r>
        <w:rPr>
          <w:i/>
          <w:noProof/>
        </w:rPr>
        <w:t xml:space="preserve">Pozícia: </w:t>
      </w:r>
      <w:r>
        <w:rPr>
          <w:noProof/>
        </w:rPr>
        <w:t>žiadna.</w:t>
      </w:r>
    </w:p>
    <w:p>
      <w:pPr>
        <w:spacing w:before="240"/>
        <w:rPr>
          <w:b/>
          <w:noProof/>
          <w:szCs w:val="24"/>
        </w:rPr>
      </w:pPr>
      <w:r>
        <w:rPr>
          <w:b/>
          <w:noProof/>
        </w:rPr>
        <w:t>Bod programu č. 8 – Spolupráca s medzinárodnými organizáciami a združeniami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Dokumenty:</w:t>
      </w:r>
      <w:r>
        <w:rPr>
          <w:noProof/>
        </w:rPr>
        <w:t xml:space="preserve"> SG-18048-AG 13/8.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Právomoc</w:t>
      </w:r>
      <w:r>
        <w:rPr>
          <w:noProof/>
        </w:rPr>
        <w:t>: Únia (spoločná a výlučná)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Vykonávanie hlasovacích práv:</w:t>
      </w:r>
      <w:r>
        <w:rPr>
          <w:noProof/>
        </w:rPr>
        <w:t xml:space="preserve"> Únia.</w:t>
      </w:r>
    </w:p>
    <w:p>
      <w:pPr>
        <w:shd w:val="clear" w:color="auto" w:fill="F2F2F2" w:themeFill="background1" w:themeFillShade="F2"/>
        <w:rPr>
          <w:i/>
          <w:noProof/>
          <w:szCs w:val="24"/>
        </w:rPr>
      </w:pPr>
      <w:r>
        <w:rPr>
          <w:i/>
          <w:noProof/>
        </w:rPr>
        <w:t>Pozícia:</w:t>
      </w:r>
    </w:p>
    <w:p>
      <w:pPr>
        <w:shd w:val="clear" w:color="auto" w:fill="F2F2F2" w:themeFill="background1" w:themeFillShade="F2"/>
        <w:rPr>
          <w:noProof/>
          <w:szCs w:val="24"/>
        </w:rPr>
      </w:pPr>
      <w:r>
        <w:rPr>
          <w:noProof/>
        </w:rPr>
        <w:t>Vystupovať proti návrhu sekretariátu organizácie OTIF, že by valné zhromaždenie malo poveriť správny výbor, aby zriadil a rozpustil poradné kontaktné skupiny s inými medzinárodnými organizáciami a združeniami a dohliadal na fungovanie takýchto skupín.</w:t>
      </w:r>
    </w:p>
    <w:p>
      <w:pPr>
        <w:shd w:val="clear" w:color="auto" w:fill="F2F2F2" w:themeFill="background1" w:themeFillShade="F2"/>
        <w:rPr>
          <w:noProof/>
          <w:szCs w:val="24"/>
        </w:rPr>
      </w:pPr>
      <w:r>
        <w:rPr>
          <w:noProof/>
        </w:rPr>
        <w:t xml:space="preserve">Navrhnúť, aby valné zhromaždenie v súlade s článkom 13 § 2 dohovoru COTIF rozhodlo dočasne, t. j. na obdobie štyroch rokov, zriadiť </w:t>
      </w:r>
      <w:r>
        <w:rPr>
          <w:i/>
          <w:noProof/>
        </w:rPr>
        <w:t>ad hoc</w:t>
      </w:r>
      <w:r>
        <w:rPr>
          <w:noProof/>
        </w:rPr>
        <w:t xml:space="preserve"> výbor poverený úlohou zriadiť a rozpustiť poradné kontaktné skupiny s inými medzinárodnými organizáciami a združeniami a dohliadať na fungovanie kontaktných skupín. Únia by mala byť oprávnená zúčastňovať sa na práci výboru </w:t>
      </w:r>
      <w:r>
        <w:rPr>
          <w:i/>
          <w:noProof/>
        </w:rPr>
        <w:t>ad hoc</w:t>
      </w:r>
      <w:r>
        <w:rPr>
          <w:noProof/>
        </w:rPr>
        <w:t xml:space="preserve"> v súlade s článkom 5 ods. 1 dohody o pristúpení. Činnosti výboru by sa mali riadiť pracovným programom organizácie OTIF a mali by byť s ním v súlade.</w:t>
      </w:r>
    </w:p>
    <w:p>
      <w:pPr>
        <w:rPr>
          <w:noProof/>
          <w:szCs w:val="24"/>
        </w:rPr>
      </w:pPr>
      <w:r>
        <w:rPr>
          <w:noProof/>
        </w:rPr>
        <w:t>Návrh sekretariátu organizácie OTIF spočíva v rozhodnutí valného zhromaždenia, na základe ktorého sa správny výbor poveruje, aby bol splnomocnený zriadiť a rozpustiť poradné kontaktné skupiny s inými medzinárodnými organizáciami a združeniami a dohliadať na fungovanie takýchto skupín. V tejto fáze Únia podporuje cieľ, ktorým je umožniť určitý stupeň flexibility v dotknutých záležitostiach. Tento návrh však nemôže prijať ako taký, pretože predstavuje udelenie novej úlohy správnemu výboru nad rámec úloh stanovených v článku 15 § 2 dohovoru COTIF, bez formálnej zmeny uvedeného dohovoru, ktorý sa vykonáva v súlade s uplatniteľnými postupmi.</w:t>
      </w:r>
    </w:p>
    <w:p>
      <w:pPr>
        <w:rPr>
          <w:noProof/>
          <w:szCs w:val="24"/>
        </w:rPr>
      </w:pPr>
      <w:r>
        <w:rPr>
          <w:noProof/>
        </w:rPr>
        <w:t xml:space="preserve">Keďže však Únia podporuje všeobecný cieľ, navrhuje, aby valné zhromaždenie dočasne zriadilo výbor </w:t>
      </w:r>
      <w:r>
        <w:rPr>
          <w:i/>
          <w:noProof/>
        </w:rPr>
        <w:t xml:space="preserve">ad hoc </w:t>
      </w:r>
      <w:r>
        <w:rPr>
          <w:noProof/>
        </w:rPr>
        <w:t xml:space="preserve">v súlade s článkom 13 § 2 dohovoru, ktorého úlohou bude zriadiť a rozpustiť poradné kontaktné skupiny s inými medzinárodnými organizáciami a združeniami a dohliadať na fungovanie takýchto skupín. V tejto súvislosti je dôležité mať na pamäti, že </w:t>
      </w:r>
      <w:r>
        <w:rPr>
          <w:noProof/>
        </w:rPr>
        <w:lastRenderedPageBreak/>
        <w:t xml:space="preserve">takéto úlohy majú praktické dôsledky pre rozvoj politík na úrovni organizácie OTIF vo všetkých oblastiach. Je preto potrebné zaručiť, aby Únia bola plne zapojená do týchto činností v súlade s článkom 5 ods. 1 dohody o pristúpení. </w:t>
      </w:r>
    </w:p>
    <w:p>
      <w:pPr>
        <w:rPr>
          <w:noProof/>
          <w:szCs w:val="24"/>
        </w:rPr>
      </w:pPr>
      <w:r>
        <w:rPr>
          <w:noProof/>
        </w:rPr>
        <w:t xml:space="preserve">Obdobie štyroch rokov by malo byť primerané, aby sa pred uplynutím jeho platnosti posúdilo, či sú získané skúsenosti uspokojivé. V kladnom prípade a po náležitej príprave by sa mohla naplánovať zmena dohovoru na štrukturálne riešenie v súlade so zárukami Únie stanovenými v článku 5 ods. 1 dohody o pristúpení. </w:t>
      </w:r>
    </w:p>
    <w:p>
      <w:pPr>
        <w:spacing w:before="240"/>
        <w:rPr>
          <w:b/>
          <w:noProof/>
          <w:szCs w:val="24"/>
        </w:rPr>
      </w:pPr>
      <w:r>
        <w:rPr>
          <w:b/>
          <w:noProof/>
        </w:rPr>
        <w:t>Bod programu č. 9 – Rozpočtový rámec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Dokumenty:</w:t>
      </w:r>
      <w:r>
        <w:rPr>
          <w:noProof/>
        </w:rPr>
        <w:t xml:space="preserve"> obmedzená distribúcia.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Právomoc</w:t>
      </w:r>
      <w:r>
        <w:rPr>
          <w:noProof/>
        </w:rPr>
        <w:t>: členské štáty.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Vykonávanie hlasovacích práv:</w:t>
      </w:r>
      <w:r>
        <w:rPr>
          <w:noProof/>
        </w:rPr>
        <w:t xml:space="preserve"> členské štáty.</w:t>
      </w:r>
    </w:p>
    <w:p>
      <w:pPr>
        <w:shd w:val="clear" w:color="auto" w:fill="F2F2F2" w:themeFill="background1" w:themeFillShade="F2"/>
        <w:rPr>
          <w:noProof/>
          <w:szCs w:val="24"/>
        </w:rPr>
      </w:pPr>
      <w:r>
        <w:rPr>
          <w:i/>
          <w:noProof/>
        </w:rPr>
        <w:t xml:space="preserve">Pozícia: </w:t>
      </w:r>
      <w:r>
        <w:rPr>
          <w:noProof/>
        </w:rPr>
        <w:t>žiadna.</w:t>
      </w:r>
    </w:p>
    <w:p>
      <w:pPr>
        <w:rPr>
          <w:noProof/>
          <w:szCs w:val="24"/>
        </w:rPr>
      </w:pPr>
      <w:r>
        <w:rPr>
          <w:noProof/>
        </w:rPr>
        <w:t xml:space="preserve">Podľa článku 4 dohody medzi EÚ a OTIF </w:t>
      </w:r>
      <w:r>
        <w:rPr>
          <w:i/>
          <w:noProof/>
        </w:rPr>
        <w:t>„Únia neprispieva do rozpočtu OTIF a nezúčastňuje sa na rozhodnutiach týkajúcich sa tohto rozpočtu“</w:t>
      </w:r>
      <w:r>
        <w:rPr>
          <w:noProof/>
        </w:rPr>
        <w:t>.</w:t>
      </w:r>
    </w:p>
    <w:p>
      <w:pPr>
        <w:spacing w:before="240"/>
        <w:rPr>
          <w:b/>
          <w:noProof/>
          <w:szCs w:val="24"/>
        </w:rPr>
      </w:pPr>
      <w:r>
        <w:rPr>
          <w:b/>
          <w:noProof/>
        </w:rPr>
        <w:t>Bod programu č. 10 – Čiastočná revízia základnej časti dohovoru: zmena postupu revízie dohovoru COTIF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Dokumenty:</w:t>
      </w:r>
      <w:r>
        <w:rPr>
          <w:noProof/>
        </w:rPr>
        <w:t xml:space="preserve"> SG-18035-AG 13/10.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Právomoc</w:t>
      </w:r>
      <w:r>
        <w:rPr>
          <w:noProof/>
        </w:rPr>
        <w:t>: Únia (spoločná).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Vykonávanie hlasovacích práv:</w:t>
      </w:r>
      <w:r>
        <w:rPr>
          <w:noProof/>
        </w:rPr>
        <w:t xml:space="preserve"> členské štáty.</w:t>
      </w:r>
    </w:p>
    <w:p>
      <w:pPr>
        <w:shd w:val="clear" w:color="auto" w:fill="F2F2F2" w:themeFill="background1" w:themeFillShade="F2"/>
        <w:rPr>
          <w:noProof/>
          <w:szCs w:val="24"/>
        </w:rPr>
      </w:pPr>
      <w:r>
        <w:rPr>
          <w:i/>
          <w:noProof/>
        </w:rPr>
        <w:t xml:space="preserve">Pozícia: </w:t>
      </w:r>
      <w:r>
        <w:rPr>
          <w:noProof/>
        </w:rPr>
        <w:t>Podporiť zmenu článku 34 § 3 až 6 dohovoru COTIF a schváliť úpravy dôvodovej správy.</w:t>
      </w:r>
    </w:p>
    <w:p>
      <w:pPr>
        <w:rPr>
          <w:noProof/>
          <w:szCs w:val="24"/>
        </w:rPr>
      </w:pPr>
      <w:r>
        <w:rPr>
          <w:noProof/>
        </w:rPr>
        <w:t>V súlade s výsledkom diskusie o tejto téme na 26. zasadnutí Revízneho výboru je potrebné a vhodné podporiť navrhovanú zmenu dohovoru COTIF s cieľom stanoviť pevnú lehotu (36 mesiacov), v ktorej majú nadobudnúť účinnosť zmeny dodatkov prijaté valným zhromaždením, vrátane doložky pružnosti, ktorou sa táto lehota rozširuje na individuálnom základe, v prípadoch, keď o tom rozhodne valné zhromaždenie väčšinou stanovenou v článku 14 § 6 dohovoru COTIF.</w:t>
      </w:r>
    </w:p>
    <w:p>
      <w:pPr>
        <w:rPr>
          <w:noProof/>
          <w:szCs w:val="24"/>
        </w:rPr>
      </w:pPr>
      <w:r>
        <w:rPr>
          <w:noProof/>
        </w:rPr>
        <w:t>Návrh sa zameriava na zlepšenie a uľahčenie postupu revízie dohovoru COTIF s cieľom konzistentnej a rýchlej implementácie zmien dohovoru a jeho dodatkov a s cieľom zabrániť nepriaznivým účinkom súčasného zdĺhavého postupu revízie vrátane rizika vnútorného nesúladu medzi zmenami prijatými Revíznym výborom a zmenami prijatými valným zhromaždením, ako aj vonkajšieho nesúladu, najmä s právom Únie.</w:t>
      </w:r>
    </w:p>
    <w:p>
      <w:pPr>
        <w:spacing w:before="240"/>
        <w:rPr>
          <w:b/>
          <w:noProof/>
          <w:szCs w:val="24"/>
        </w:rPr>
      </w:pPr>
      <w:r>
        <w:rPr>
          <w:b/>
          <w:noProof/>
        </w:rPr>
        <w:t>Bod programu č. 11 – Čiastočná revízia jednotných právnych predpisov pre CIM (JPP CIM) – správa generálneho tajomníka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Dokumenty:</w:t>
      </w:r>
      <w:r>
        <w:rPr>
          <w:noProof/>
        </w:rPr>
        <w:t xml:space="preserve"> SG-18036-AG 13/11.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Právomoc</w:t>
      </w:r>
      <w:r>
        <w:rPr>
          <w:noProof/>
        </w:rPr>
        <w:t>: Únia (spoločná a výlučná)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Vykonávanie hlasovacích práv:</w:t>
      </w:r>
      <w:r>
        <w:rPr>
          <w:noProof/>
        </w:rPr>
        <w:t xml:space="preserve"> Únia (v prípade hlasovania).</w:t>
      </w:r>
    </w:p>
    <w:p>
      <w:pPr>
        <w:shd w:val="clear" w:color="auto" w:fill="F2F2F2" w:themeFill="background1" w:themeFillShade="F2"/>
        <w:rPr>
          <w:noProof/>
          <w:szCs w:val="24"/>
        </w:rPr>
      </w:pPr>
      <w:r>
        <w:rPr>
          <w:i/>
          <w:noProof/>
        </w:rPr>
        <w:t xml:space="preserve">Pozícia: </w:t>
      </w:r>
      <w:r>
        <w:rPr>
          <w:noProof/>
        </w:rPr>
        <w:t>Vziať na vedomie správu generálneho tajomníka a vydať pokyny generálnemu tajomníkovi, aby predložil 14. valnému zhromaždeniu správu o pokroku práce v colných otázkach a digitalizácii prepravných dokladov pre nákladnú dopravu a v prípade potreby predložil návrhy na zmenu JPP CIM.</w:t>
      </w:r>
    </w:p>
    <w:p>
      <w:pPr>
        <w:spacing w:before="240"/>
        <w:rPr>
          <w:b/>
          <w:noProof/>
          <w:szCs w:val="24"/>
        </w:rPr>
      </w:pPr>
      <w:r>
        <w:rPr>
          <w:b/>
          <w:noProof/>
        </w:rPr>
        <w:lastRenderedPageBreak/>
        <w:t>Bod programu č. 12 – Čiastočná revízia jednotných právnych predpisov pre CUI (JPP CUI)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Dokumenty:</w:t>
      </w:r>
      <w:r>
        <w:rPr>
          <w:noProof/>
        </w:rPr>
        <w:t xml:space="preserve"> SG-18037-AG 13/12.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Právomoc</w:t>
      </w:r>
      <w:r>
        <w:rPr>
          <w:noProof/>
        </w:rPr>
        <w:t>: Únia (spoločná).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Vykonávanie hlasovacích práv:</w:t>
      </w:r>
      <w:r>
        <w:rPr>
          <w:noProof/>
        </w:rPr>
        <w:t xml:space="preserve"> členské štáty.</w:t>
      </w:r>
    </w:p>
    <w:p>
      <w:pPr>
        <w:shd w:val="clear" w:color="auto" w:fill="F2F2F2" w:themeFill="background1" w:themeFillShade="F2"/>
        <w:rPr>
          <w:i/>
          <w:noProof/>
          <w:szCs w:val="24"/>
        </w:rPr>
      </w:pPr>
      <w:r>
        <w:rPr>
          <w:i/>
          <w:noProof/>
        </w:rPr>
        <w:t>Pozícia:</w:t>
      </w:r>
    </w:p>
    <w:p>
      <w:pPr>
        <w:shd w:val="clear" w:color="auto" w:fill="F2F2F2" w:themeFill="background1" w:themeFillShade="F2"/>
        <w:rPr>
          <w:noProof/>
          <w:szCs w:val="24"/>
        </w:rPr>
      </w:pPr>
      <w:r>
        <w:rPr>
          <w:noProof/>
        </w:rPr>
        <w:t>Podporiť zmeny hlavy a článkov 1, 3, 5 (§ 1), 5 bis (§ 1 a 2), 7 (§ 2), 8, 9 (§ 1) a 10 (§ 3) JPP CUI a schváliť úpravy dôvodovej správy.</w:t>
      </w:r>
    </w:p>
    <w:p>
      <w:pPr>
        <w:shd w:val="clear" w:color="auto" w:fill="F2F2F2" w:themeFill="background1" w:themeFillShade="F2"/>
        <w:rPr>
          <w:noProof/>
          <w:szCs w:val="24"/>
        </w:rPr>
      </w:pPr>
      <w:r>
        <w:rPr>
          <w:noProof/>
        </w:rPr>
        <w:t>Podporiť zmeny článkov 2 (§ 1 písm. a)), 3 a 6 (§ 1 písm. e)) dohovoru COTIF na účely úprav JPP CUI.</w:t>
      </w:r>
    </w:p>
    <w:p>
      <w:pPr>
        <w:rPr>
          <w:noProof/>
          <w:szCs w:val="24"/>
        </w:rPr>
      </w:pPr>
      <w:r>
        <w:rPr>
          <w:noProof/>
        </w:rPr>
        <w:t>V súlade so zmenami, ktoré boli schválené na 26. zasadnutí Revízneho výboru vo februári 2018, sú navrhnuté zmeny zamerané najmä na objasnenie rozsahu pôsobnosti JPP CUI, a to tým, že sa do článku 3 zavedie vymedzenie pojmu „medzinárodná železničná doprava“, pod ktorým sa bude rozumieť „doprava, ktorá si vyžaduje použitie medzinárodnej vlakovej trasy alebo viacerých po sebe nasledujúcich vnútroštátnych vlakových trás, ktoré sa nachádzajú v najmenej dvoch štátoch a koordinujú ich príslušní prevádzkovatelia infraštruktúry“, a tým, že sa podľa toho zmení článok 1 (Oblasť použitia), pričom sa zachová súvislosť medzi JPP CIV a JPP CIM. Cieľom je zabezpečiť, aby sa JPP CUI systematickejšie uplatňovali na svoj účel, t. j. v medzinárodnej železničnej doprave.</w:t>
      </w:r>
    </w:p>
    <w:p>
      <w:pPr>
        <w:rPr>
          <w:noProof/>
          <w:szCs w:val="24"/>
        </w:rPr>
      </w:pPr>
      <w:r>
        <w:rPr>
          <w:noProof/>
        </w:rPr>
        <w:t>Navrhované zmeny sú v súlade s vymedzeniami pojmov a ustanoveniami acquis Únie týkajúcimi sa riadenia železničnej infraštruktúry a koordinácie medzi prevádzkovateľmi infraštruktúry [napr. články 40, 43 a 46 smernice 2012/34/EÚ (prepracované znenie)]. Čo sa týka navrhovaných zmien článku 8 (Zodpovednosť prevádzkovateľa), ide prevažne o redakčné úpravy, ktoré nemajú vplyv na rozsah pôsobnosti alebo podstatu uvedeného ustanovenia. Navrhované zmeny článku 9 a článkov 3, 5, 5bis, 7 a 10 sú čisto redakčného charakteru.</w:t>
      </w:r>
    </w:p>
    <w:p>
      <w:pPr>
        <w:spacing w:before="240"/>
        <w:rPr>
          <w:b/>
          <w:noProof/>
          <w:szCs w:val="24"/>
        </w:rPr>
      </w:pPr>
      <w:r>
        <w:rPr>
          <w:b/>
          <w:noProof/>
        </w:rPr>
        <w:t>Bod programu č. 13 – Čiastočná revízia jednotných právnych predpisov pre ATMF (JPP ATMF)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Dokumenty:</w:t>
      </w:r>
      <w:r>
        <w:rPr>
          <w:noProof/>
        </w:rPr>
        <w:t xml:space="preserve"> SG-18038-AG 13/13.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Právomoc</w:t>
      </w:r>
      <w:r>
        <w:rPr>
          <w:noProof/>
        </w:rPr>
        <w:t>: Únia (výlučná).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Vykonávanie hlasovacích práv:</w:t>
      </w:r>
      <w:r>
        <w:rPr>
          <w:noProof/>
        </w:rPr>
        <w:t xml:space="preserve"> Únia.</w:t>
      </w:r>
    </w:p>
    <w:p>
      <w:pPr>
        <w:shd w:val="clear" w:color="auto" w:fill="F2F2F2" w:themeFill="background1" w:themeFillShade="F2"/>
        <w:rPr>
          <w:noProof/>
          <w:szCs w:val="24"/>
        </w:rPr>
      </w:pPr>
      <w:r>
        <w:rPr>
          <w:i/>
          <w:noProof/>
        </w:rPr>
        <w:t xml:space="preserve">Pozícia: </w:t>
      </w:r>
      <w:r>
        <w:rPr>
          <w:noProof/>
        </w:rPr>
        <w:t>Podporiť čiastočnú revíziu JPP ATMF, ktorú navrhol sekretariát organizácie OTIF.</w:t>
      </w:r>
    </w:p>
    <w:p>
      <w:pPr>
        <w:rPr>
          <w:noProof/>
          <w:szCs w:val="24"/>
        </w:rPr>
      </w:pPr>
      <w:r>
        <w:rPr>
          <w:noProof/>
        </w:rPr>
        <w:t>Na 26. zasadnutí Revízneho výboru bola prijatá čiastočná revízia JPP ATMF z dôvodov opísaných v ďalšom odseku. Táto revízia však znamenala aj niekoľko menších zmien redakčnej alebo jazykovej povahy k článkom 1, 3 a 9 JPP ATMF, ktoré nespadajú do oblasti pôsobnosti Revízneho výboru. Malo by ich preto prijať valné zhromaždenie.</w:t>
      </w:r>
    </w:p>
    <w:p>
      <w:pPr>
        <w:rPr>
          <w:noProof/>
          <w:szCs w:val="24"/>
        </w:rPr>
      </w:pPr>
      <w:r>
        <w:rPr>
          <w:noProof/>
        </w:rPr>
        <w:t xml:space="preserve">Ustanovenia JPP ATMF sú v súlade s ustanoveniami smernice Európskej únie 2008/57/ES o interoperabilite a časti smernice 2009/49/ES o bezpečnosti. Prijatím štvrtého železničného balíka Únia zmenila viaceré ustanovenia tohto acquis. Na základe analýzy Komisie sekretariát organizácie OTIF a príslušná pracovná skupina pripravili zmeny týkajúce sa článkov 2, 3a, 5, 6, 7, 10, 10b, 11 a 13 JPP ATMF. Tieto zmeny sú potrebné na to, aby sa harmonizovali niektoré termíny s novými ustanoveniami EÚ a aby sa zohľadnili určité procesné zmeny v EÚ, najmä skutočnosť, že Železničná agentúra Európskej únie bude mať právomoc vydávať </w:t>
      </w:r>
      <w:r>
        <w:rPr>
          <w:noProof/>
        </w:rPr>
        <w:lastRenderedPageBreak/>
        <w:t xml:space="preserve">povolenia pre vozidlá. Navrhovanými zmenami nie je ovplyvnená základná koncepcia ATMF. </w:t>
      </w:r>
    </w:p>
    <w:p>
      <w:pPr>
        <w:spacing w:before="240"/>
        <w:rPr>
          <w:b/>
          <w:noProof/>
          <w:szCs w:val="24"/>
        </w:rPr>
      </w:pPr>
      <w:r>
        <w:rPr>
          <w:b/>
          <w:noProof/>
        </w:rPr>
        <w:t>Bod programu č. 14 – Nový dodatok H týkajúci sa bezpečnej prevádzky vlakov v medzinárodnej doprave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Dokumenty:</w:t>
      </w:r>
      <w:r>
        <w:rPr>
          <w:noProof/>
        </w:rPr>
        <w:t xml:space="preserve"> SG-18039-AG 13/14.1; SG-18040-AG 13/14.2.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Právomoc</w:t>
      </w:r>
      <w:r>
        <w:rPr>
          <w:noProof/>
        </w:rPr>
        <w:t>: Únia (výlučná).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Vykonávanie hlasovacích práv:</w:t>
      </w:r>
      <w:r>
        <w:rPr>
          <w:noProof/>
        </w:rPr>
        <w:t xml:space="preserve"> Únia.</w:t>
      </w:r>
    </w:p>
    <w:p>
      <w:pPr>
        <w:shd w:val="clear" w:color="auto" w:fill="F2F2F2" w:themeFill="background1" w:themeFillShade="F2"/>
        <w:rPr>
          <w:noProof/>
          <w:szCs w:val="24"/>
        </w:rPr>
      </w:pPr>
      <w:r>
        <w:rPr>
          <w:i/>
          <w:noProof/>
        </w:rPr>
        <w:t>Pozícia:</w:t>
      </w:r>
    </w:p>
    <w:p>
      <w:pPr>
        <w:shd w:val="clear" w:color="auto" w:fill="F2F2F2" w:themeFill="background1" w:themeFillShade="F2"/>
        <w:rPr>
          <w:noProof/>
          <w:szCs w:val="24"/>
        </w:rPr>
      </w:pPr>
      <w:r>
        <w:rPr>
          <w:noProof/>
        </w:rPr>
        <w:t>Podporiť (SG-18039-AG 13/14.1) začlenenie nového dodatku H k dohovoru COTIF, pokiaľ ide o bezpečnú prevádzku vlakov v medzinárodnej doprave, a schváliť zmeny k dôvodovej správe.</w:t>
      </w:r>
    </w:p>
    <w:p>
      <w:pPr>
        <w:shd w:val="clear" w:color="auto" w:fill="F2F2F2" w:themeFill="background1" w:themeFillShade="F2"/>
        <w:rPr>
          <w:i/>
          <w:noProof/>
          <w:szCs w:val="24"/>
        </w:rPr>
      </w:pPr>
      <w:r>
        <w:rPr>
          <w:noProof/>
        </w:rPr>
        <w:t>Na účely zahrnutia nového dodatku H podporiť (SG-18040-AG 13/14.2) zmeny článkov 2 (§ 1), 6 (§ 1), 20 (§ 1 a 2), 33 (§ 4 a 6) a 35 (§ 4 a 6) dohovoru COTIF a schváliť úpravy dôvodovej správy.</w:t>
      </w:r>
    </w:p>
    <w:p>
      <w:pPr>
        <w:rPr>
          <w:noProof/>
          <w:szCs w:val="24"/>
        </w:rPr>
      </w:pPr>
      <w:r>
        <w:rPr>
          <w:noProof/>
        </w:rPr>
        <w:t>V návrhu nového dodatku H sa uvádzajú ustanovenia na reguláciu bezpečnej prevádzky vlakov v medzinárodnej doprave s cieľom zosúladiť dohovor COTIF s acquis Únie a podporiť interoperabilitu mimo Európskej únie. Navrhovaný text je v súlade s ustanoveniami novej smernice (EÚ) 2016/798 o bezpečnosti a s ňou súvisiacimi sekundárnymi právnymi predpismi. Ako sa už uviedlo, je tiež potrebné upraviť určité ustanovenia dohovoru COTIF na účely zaradenia tohto nového dodatku H.</w:t>
      </w:r>
    </w:p>
    <w:p>
      <w:pPr>
        <w:rPr>
          <w:noProof/>
          <w:szCs w:val="24"/>
        </w:rPr>
      </w:pPr>
      <w:r>
        <w:rPr>
          <w:noProof/>
        </w:rPr>
        <w:t>Navrhované znenia sa predkladajú valnému zhromaždeniu na základe rozhodnutia 26. zasadnutia Revízneho výboru a sú plne v súlade so stanoviskom Únie, ktoré bolo vymedzené pred Revíznym výborom.</w:t>
      </w:r>
    </w:p>
    <w:p>
      <w:pPr>
        <w:spacing w:before="240"/>
        <w:rPr>
          <w:b/>
          <w:noProof/>
          <w:szCs w:val="24"/>
        </w:rPr>
      </w:pPr>
      <w:r>
        <w:rPr>
          <w:b/>
          <w:noProof/>
        </w:rPr>
        <w:t>Bod programu č. 15 – Všeobecná diskusia o potrebe harmonizovať podmienky prístupu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Dokumenty:</w:t>
      </w:r>
      <w:r>
        <w:rPr>
          <w:noProof/>
        </w:rPr>
        <w:t xml:space="preserve"> SG-18041-AG 13/15.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Právomoc</w:t>
      </w:r>
      <w:r>
        <w:rPr>
          <w:noProof/>
        </w:rPr>
        <w:t>: Únia (výlučná).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Vykonávanie hlasovacích práv:</w:t>
      </w:r>
      <w:r>
        <w:rPr>
          <w:noProof/>
        </w:rPr>
        <w:t xml:space="preserve"> Únia.</w:t>
      </w:r>
    </w:p>
    <w:p>
      <w:pPr>
        <w:shd w:val="clear" w:color="auto" w:fill="F2F2F2" w:themeFill="background1" w:themeFillShade="F2"/>
        <w:rPr>
          <w:noProof/>
          <w:szCs w:val="24"/>
        </w:rPr>
      </w:pPr>
      <w:r>
        <w:rPr>
          <w:i/>
          <w:noProof/>
        </w:rPr>
        <w:t>Pozícia:</w:t>
      </w:r>
      <w:r>
        <w:rPr>
          <w:noProof/>
        </w:rPr>
        <w:t xml:space="preserve"> Podporiť návrh sekretariátu organizácie OTIF na poverenie generálneho tajomníka pokračovať v práci na vývoji nezáväzného právneho rámca pre podmienky prístupu na medzinárodnú železničnú sieť v súlade s usmerneniami stanovenými v oddiele VI dokumentu SG-18041-AG 13/15, v rámci pracovnej skupiny právnych expertov a v spolupráci s príslušnými medzinárodnými organizáciami a združeniami.</w:t>
      </w:r>
    </w:p>
    <w:p>
      <w:pPr>
        <w:rPr>
          <w:noProof/>
          <w:szCs w:val="24"/>
        </w:rPr>
      </w:pPr>
      <w:r>
        <w:rPr>
          <w:noProof/>
        </w:rPr>
        <w:t>Predmet – podmienky prístupu na železničnú sieť – je regulovaný na úrovni EÚ smernicou Európskeho parlamentu a Rady 2012/34/ES (prepracované znenie) z 21. novembra 2012, ktorou sa zriaďuje jednotný európsky železničný priestor. V súlade s diskusiami, ktoré sa v tejto súvislosti uskutočnili počas 26. zasadnutia Revízneho výboru vo februári 2018, je vhodné naďalej podporovať iniciatívu organizácie OTIF o rozvoji nezáväzného právneho rámca pre podmienky prístupu na železničnú sieť ako prostriedkov na uľahčenie a zlepšenie medzinárodnej železničnej dopravy mimo EÚ.</w:t>
      </w:r>
    </w:p>
    <w:p>
      <w:pPr>
        <w:spacing w:before="240"/>
        <w:rPr>
          <w:b/>
          <w:noProof/>
          <w:szCs w:val="24"/>
        </w:rPr>
      </w:pPr>
      <w:r>
        <w:rPr>
          <w:b/>
          <w:noProof/>
        </w:rPr>
        <w:t>Bod programu č. 16 – Jednotné právne predpisy v oblasti železničnej dopravy – správa generálneho tajomníka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Dokumenty:</w:t>
      </w:r>
      <w:r>
        <w:rPr>
          <w:noProof/>
        </w:rPr>
        <w:t xml:space="preserve"> SG-18042-AG 13/16.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Právomoc</w:t>
      </w:r>
      <w:r>
        <w:rPr>
          <w:noProof/>
        </w:rPr>
        <w:t>: Únia (spoločná).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lastRenderedPageBreak/>
        <w:t>Vykonávanie hlasovacích práv:</w:t>
      </w:r>
      <w:r>
        <w:rPr>
          <w:noProof/>
        </w:rPr>
        <w:t xml:space="preserve"> členské štáty.</w:t>
      </w:r>
    </w:p>
    <w:p>
      <w:pPr>
        <w:shd w:val="clear" w:color="auto" w:fill="F2F2F2" w:themeFill="background1" w:themeFillShade="F2"/>
        <w:rPr>
          <w:noProof/>
          <w:szCs w:val="24"/>
        </w:rPr>
      </w:pPr>
      <w:r>
        <w:rPr>
          <w:i/>
          <w:noProof/>
        </w:rPr>
        <w:t>Pozícia:</w:t>
      </w:r>
    </w:p>
    <w:p>
      <w:pPr>
        <w:shd w:val="clear" w:color="auto" w:fill="F2F2F2" w:themeFill="background1" w:themeFillShade="F2"/>
        <w:rPr>
          <w:noProof/>
          <w:szCs w:val="24"/>
        </w:rPr>
      </w:pPr>
      <w:r>
        <w:rPr>
          <w:noProof/>
        </w:rPr>
        <w:t>Vziať na vedomie správu generálneho tajomníka a vydať pokyny generálnemu tajomníkovi, aby pokračoval v spolupráci s EHK OSN v súvislosti s iniciatívou pre jednotné železničné právo.</w:t>
      </w:r>
    </w:p>
    <w:p>
      <w:pPr>
        <w:shd w:val="clear" w:color="auto" w:fill="F2F2F2" w:themeFill="background1" w:themeFillShade="F2"/>
        <w:rPr>
          <w:noProof/>
          <w:szCs w:val="24"/>
        </w:rPr>
      </w:pPr>
      <w:r>
        <w:rPr>
          <w:noProof/>
        </w:rPr>
        <w:t>Poveriť správny výbor, aby nadviazal na iniciatívu EHK OSN v oblasti jednotných právnych predpisov v oblasti železničnej dopravy a vydal svoje poradné stanovisko k všeobecným politickým otázkam, ak je to možné, a poveriť pracovnú skupinu právnych expertov, aby nadviazala na iniciatívu EHK OSN týkajúcu sa jednotných právnych predpisov v oblasti železničnej dopravy a vydala svoje poradné stanovisko k právnym záležitostiam, ak je to uskutočniteľné.</w:t>
      </w:r>
    </w:p>
    <w:p>
      <w:pPr>
        <w:shd w:val="clear" w:color="auto" w:fill="F2F2F2" w:themeFill="background1" w:themeFillShade="F2"/>
        <w:rPr>
          <w:i/>
          <w:noProof/>
          <w:szCs w:val="24"/>
        </w:rPr>
      </w:pPr>
      <w:r>
        <w:rPr>
          <w:noProof/>
        </w:rPr>
        <w:t>Vydať pokyny generálnemu tajomníkovi a pracovnej skupine právnych expertov po porade so Správnym výborom, aby zvážili a navrhli riešenia na primerané zapojenie organizácie OTIF do správy záväzných právnych nástrojov, ktoré by mohli prevziať návrh právneho režimu o zmluve o preprave tovaru, ako bol vypracovaný v rámci iniciatívy EHK OSN o jednotných právnych predpisoch v oblasti železničnej dopravy, a dať generálnemu tajomníkovi pokyn, aby predložil správu 14. valnému zhromaždeniu.</w:t>
      </w:r>
    </w:p>
    <w:p>
      <w:pPr>
        <w:rPr>
          <w:noProof/>
          <w:szCs w:val="24"/>
        </w:rPr>
      </w:pPr>
      <w:r>
        <w:rPr>
          <w:noProof/>
        </w:rPr>
        <w:t>Zatiaľ čo jednotný medzinárodný právny režim môže poskytovať výhody pre železničnú dopravu na eurázijskom kontinente v porovnaní s dvoma právnymi systémami, ktoré v súčasnosti existujú, takýto jednotný režim by sa mohol vytvoriť len s jasným záväzkom a účasťou OSŽD a OTIF a ich členmi – v opačnom prípade bude vypracovaný tretí medzinárodný právny režim a medzinárodná regulácia železničnej dopravy bude ďalej fragmentovaná. V dôsledku toho je pred zavedením komplexného právneho systému potrebné predchádzajúce politické rozhodnutie existujúcich organizácií o koordinácii tohto cieľa. Preto je potrebné a vhodné zabezpečiť, aby sa organizácia OTIF i naďalej zapájala do tohto procesu, najmä prostredníctvom činností svojho správneho výboru a svojej pracovnej skupiny právnych expertov a správ o pokroku práce v EHK OSN na ďalšom zasadnutí valného zhromaždenia.</w:t>
      </w:r>
    </w:p>
    <w:p>
      <w:pPr>
        <w:spacing w:before="240"/>
        <w:rPr>
          <w:b/>
          <w:noProof/>
          <w:szCs w:val="24"/>
        </w:rPr>
      </w:pPr>
      <w:r>
        <w:rPr>
          <w:b/>
          <w:noProof/>
        </w:rPr>
        <w:t>Bod programu č. 17 – Pracovná skupina právnych expertov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Dokumenty:</w:t>
      </w:r>
      <w:r>
        <w:rPr>
          <w:noProof/>
        </w:rPr>
        <w:t xml:space="preserve"> SG-18046-AG 13/17.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Právomoc</w:t>
      </w:r>
      <w:r>
        <w:rPr>
          <w:noProof/>
        </w:rPr>
        <w:t>: Únia (spoločná).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Vykonávanie hlasovacích práv:</w:t>
      </w:r>
      <w:r>
        <w:rPr>
          <w:noProof/>
        </w:rPr>
        <w:t xml:space="preserve"> členské štáty.</w:t>
      </w:r>
    </w:p>
    <w:p>
      <w:pPr>
        <w:shd w:val="clear" w:color="auto" w:fill="F2F2F2" w:themeFill="background1" w:themeFillShade="F2"/>
        <w:rPr>
          <w:i/>
          <w:noProof/>
          <w:szCs w:val="24"/>
        </w:rPr>
      </w:pPr>
      <w:r>
        <w:rPr>
          <w:i/>
          <w:noProof/>
        </w:rPr>
        <w:t>Pozícia:</w:t>
      </w:r>
    </w:p>
    <w:p>
      <w:pPr>
        <w:shd w:val="clear" w:color="auto" w:fill="F2F2F2" w:themeFill="background1" w:themeFillShade="F2"/>
        <w:rPr>
          <w:noProof/>
          <w:szCs w:val="24"/>
        </w:rPr>
      </w:pPr>
      <w:r>
        <w:rPr>
          <w:noProof/>
        </w:rPr>
        <w:t>Schváliť vytvorenie poradnej pracovnej skupiny právnych expertov s cieľom: spracovať návrhy na zmeny alebo doplnenia dohovoru; poskytovať právne poradenstvo a pomoc, podporovať a uľahčovať fungovanie a vykonávanie dohovoru COTIF, monitorovať a posudzovať uplatňovanie a vykonávanie dohovoru COTIF, fungovať ako fórum pre členov organizácie OTIF s cieľom nastoľovať príslušné právne otázky a diskutovať o nich.</w:t>
      </w:r>
    </w:p>
    <w:p>
      <w:pPr>
        <w:shd w:val="clear" w:color="auto" w:fill="F2F2F2" w:themeFill="background1" w:themeFillShade="F2"/>
        <w:rPr>
          <w:noProof/>
          <w:szCs w:val="24"/>
        </w:rPr>
      </w:pPr>
      <w:r>
        <w:rPr>
          <w:noProof/>
        </w:rPr>
        <w:t>Poveriť generálneho tajomníka, aby predložil závery a návrhy, ktoré pracovná skupina vypracovala pre príslušné orgány organizácie OTIF s cieľom ich zváženia a/alebo rozhodnutia.</w:t>
      </w:r>
    </w:p>
    <w:p>
      <w:pPr>
        <w:shd w:val="clear" w:color="auto" w:fill="F2F2F2" w:themeFill="background1" w:themeFillShade="F2"/>
        <w:rPr>
          <w:i/>
          <w:noProof/>
          <w:szCs w:val="24"/>
        </w:rPr>
      </w:pPr>
      <w:r>
        <w:rPr>
          <w:noProof/>
        </w:rPr>
        <w:t>Dať generálnemu tajomníkovi pokyn, aby na 14. zasadnutí valného zhromaždenia predložil správu o činnosti pracovnej skupiny.</w:t>
      </w:r>
    </w:p>
    <w:p>
      <w:pPr>
        <w:rPr>
          <w:noProof/>
          <w:szCs w:val="24"/>
        </w:rPr>
      </w:pPr>
      <w:r>
        <w:rPr>
          <w:noProof/>
        </w:rPr>
        <w:lastRenderedPageBreak/>
        <w:t>V súlade s výsledkom diskusie o tejto téme na 26. zasadnutí Revízneho výboru vo februári 2018 je vhodné schváliť vytvorenie stálej skupiny právnych expertov v rámci organizácie OTIF s cieľom pomôcť fungovaniu existujúcich orgánov v právnej oblasti a uľahčiť ho a zabezpečiť účinné riadenie dohovoru COTIF.</w:t>
      </w:r>
    </w:p>
    <w:p>
      <w:pPr>
        <w:spacing w:before="240"/>
        <w:rPr>
          <w:b/>
          <w:noProof/>
          <w:szCs w:val="24"/>
        </w:rPr>
      </w:pPr>
      <w:r>
        <w:rPr>
          <w:b/>
          <w:noProof/>
        </w:rPr>
        <w:t>Bod programu č. 18 – Správa o činnosti Administratívneho výboru v období od 1. októbra 2015 do 30. septembra 2018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Dokumenty:</w:t>
      </w:r>
      <w:r>
        <w:rPr>
          <w:noProof/>
        </w:rPr>
        <w:t xml:space="preserve"> obmedzená distribúcia.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Právomoc</w:t>
      </w:r>
      <w:r>
        <w:rPr>
          <w:noProof/>
        </w:rPr>
        <w:t>: Únia (spoločná).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Vykonávanie hlasovacích práv:</w:t>
      </w:r>
      <w:r>
        <w:rPr>
          <w:noProof/>
        </w:rPr>
        <w:t xml:space="preserve"> členské štáty.</w:t>
      </w:r>
    </w:p>
    <w:p>
      <w:pPr>
        <w:shd w:val="clear" w:color="auto" w:fill="F2F2F2" w:themeFill="background1" w:themeFillShade="F2"/>
        <w:rPr>
          <w:i/>
          <w:noProof/>
          <w:szCs w:val="24"/>
        </w:rPr>
      </w:pPr>
      <w:r>
        <w:rPr>
          <w:i/>
          <w:noProof/>
        </w:rPr>
        <w:t>Pozícia:</w:t>
      </w:r>
      <w:r>
        <w:rPr>
          <w:noProof/>
        </w:rPr>
        <w:t xml:space="preserve"> žiadna.</w:t>
      </w:r>
    </w:p>
    <w:p>
      <w:pPr>
        <w:spacing w:before="240"/>
        <w:rPr>
          <w:b/>
          <w:noProof/>
          <w:szCs w:val="24"/>
        </w:rPr>
      </w:pPr>
      <w:r>
        <w:rPr>
          <w:b/>
          <w:noProof/>
        </w:rPr>
        <w:t>Bod programu č. 19 – Voľba Administratívneho výboru na obdobie od 1. októbra 2018 do 30. septembra 2021 (zloženie a predsedníctvo)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Dokumenty:</w:t>
      </w:r>
      <w:r>
        <w:rPr>
          <w:noProof/>
        </w:rPr>
        <w:t xml:space="preserve"> obmedzená distribúcia.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Právomoc</w:t>
      </w:r>
      <w:r>
        <w:rPr>
          <w:noProof/>
        </w:rPr>
        <w:t>: Únia (spoločná).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Vykonávanie hlasovacích práv:</w:t>
      </w:r>
      <w:r>
        <w:rPr>
          <w:noProof/>
        </w:rPr>
        <w:t xml:space="preserve"> členské štáty.</w:t>
      </w:r>
    </w:p>
    <w:p>
      <w:pPr>
        <w:shd w:val="clear" w:color="auto" w:fill="F2F2F2" w:themeFill="background1" w:themeFillShade="F2"/>
        <w:rPr>
          <w:noProof/>
          <w:szCs w:val="24"/>
        </w:rPr>
      </w:pPr>
      <w:r>
        <w:rPr>
          <w:i/>
          <w:noProof/>
        </w:rPr>
        <w:t>Pozícia:</w:t>
      </w:r>
      <w:r>
        <w:rPr>
          <w:noProof/>
        </w:rPr>
        <w:t xml:space="preserve"> žiadna.</w:t>
      </w:r>
    </w:p>
    <w:p>
      <w:pPr>
        <w:spacing w:before="240" w:after="240"/>
        <w:rPr>
          <w:b/>
          <w:noProof/>
          <w:szCs w:val="24"/>
        </w:rPr>
      </w:pPr>
      <w:r>
        <w:rPr>
          <w:b/>
          <w:noProof/>
        </w:rPr>
        <w:t>Bod programu č. 20 – Predbežný dátum 14. valného zhromaždenia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Dokumenty:</w:t>
      </w:r>
      <w:r>
        <w:rPr>
          <w:noProof/>
        </w:rPr>
        <w:t xml:space="preserve"> žiadne.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Právomoc</w:t>
      </w:r>
      <w:r>
        <w:rPr>
          <w:noProof/>
        </w:rPr>
        <w:t>: neuplatňuje sa.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Vykonávanie hlasovacích práv:</w:t>
      </w:r>
      <w:r>
        <w:rPr>
          <w:noProof/>
        </w:rPr>
        <w:t xml:space="preserve"> neuplatňuje sa.</w:t>
      </w:r>
    </w:p>
    <w:p>
      <w:pPr>
        <w:shd w:val="clear" w:color="auto" w:fill="F2F2F2" w:themeFill="background1" w:themeFillShade="F2"/>
        <w:rPr>
          <w:noProof/>
          <w:szCs w:val="24"/>
        </w:rPr>
      </w:pPr>
      <w:r>
        <w:rPr>
          <w:i/>
          <w:noProof/>
        </w:rPr>
        <w:t>Pozícia:</w:t>
      </w:r>
      <w:r>
        <w:rPr>
          <w:noProof/>
        </w:rPr>
        <w:t xml:space="preserve"> žiadna.</w:t>
      </w:r>
    </w:p>
    <w:p>
      <w:pPr>
        <w:spacing w:before="240" w:after="240"/>
        <w:rPr>
          <w:b/>
          <w:noProof/>
          <w:szCs w:val="24"/>
        </w:rPr>
      </w:pPr>
      <w:r>
        <w:rPr>
          <w:b/>
          <w:noProof/>
        </w:rPr>
        <w:t>Bod programu č. 21 – Rôzne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Dokumenty:</w:t>
      </w:r>
      <w:r>
        <w:rPr>
          <w:noProof/>
        </w:rPr>
        <w:t xml:space="preserve"> nie sú k dispozícii.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Právomoc</w:t>
      </w:r>
      <w:r>
        <w:rPr>
          <w:noProof/>
        </w:rPr>
        <w:t>: neuplatňuje sa.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Vykonávanie hlasovacích práv:</w:t>
      </w:r>
      <w:r>
        <w:rPr>
          <w:noProof/>
        </w:rPr>
        <w:t xml:space="preserve"> neuplatňuje sa.</w:t>
      </w:r>
    </w:p>
    <w:p>
      <w:pPr>
        <w:shd w:val="clear" w:color="auto" w:fill="F2F2F2" w:themeFill="background1" w:themeFillShade="F2"/>
        <w:rPr>
          <w:noProof/>
          <w:szCs w:val="24"/>
        </w:rPr>
      </w:pPr>
      <w:r>
        <w:rPr>
          <w:i/>
          <w:noProof/>
        </w:rPr>
        <w:t xml:space="preserve">Pozícia: </w:t>
      </w:r>
      <w:r>
        <w:rPr>
          <w:noProof/>
        </w:rPr>
        <w:t>žiadna.</w:t>
      </w:r>
    </w:p>
    <w:p>
      <w:pPr>
        <w:spacing w:before="240" w:after="240"/>
        <w:rPr>
          <w:b/>
          <w:noProof/>
          <w:szCs w:val="24"/>
        </w:rPr>
      </w:pPr>
      <w:r>
        <w:rPr>
          <w:b/>
          <w:noProof/>
        </w:rPr>
        <w:t>Bod programu č. 22 – Akékoľvek mandáty valného zhromaždenia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Dokumenty:</w:t>
      </w:r>
      <w:r>
        <w:rPr>
          <w:noProof/>
        </w:rPr>
        <w:t xml:space="preserve"> doplnia sa.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Právomoc</w:t>
      </w:r>
      <w:r>
        <w:rPr>
          <w:noProof/>
        </w:rPr>
        <w:t>: doplnia sa.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Vykonávanie hlasovacích práv:</w:t>
      </w:r>
      <w:r>
        <w:rPr>
          <w:noProof/>
        </w:rPr>
        <w:t xml:space="preserve"> doplnia sa.</w:t>
      </w:r>
    </w:p>
    <w:p>
      <w:pPr>
        <w:shd w:val="clear" w:color="auto" w:fill="F2F2F2" w:themeFill="background1" w:themeFillShade="F2"/>
        <w:rPr>
          <w:noProof/>
          <w:szCs w:val="24"/>
        </w:rPr>
      </w:pPr>
      <w:r>
        <w:rPr>
          <w:i/>
          <w:noProof/>
        </w:rPr>
        <w:t>Pozícia:</w:t>
      </w:r>
      <w:r>
        <w:rPr>
          <w:noProof/>
        </w:rPr>
        <w:t xml:space="preserve"> doplní sa.</w:t>
      </w:r>
    </w:p>
    <w:p>
      <w:pPr>
        <w:spacing w:before="240" w:after="240"/>
        <w:rPr>
          <w:b/>
          <w:noProof/>
          <w:szCs w:val="24"/>
        </w:rPr>
      </w:pPr>
      <w:r>
        <w:rPr>
          <w:b/>
          <w:noProof/>
        </w:rPr>
        <w:t>Bod programu č. 23 – Správy výboru, v prípade potreby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Dokumenty:</w:t>
      </w:r>
      <w:r>
        <w:rPr>
          <w:noProof/>
        </w:rPr>
        <w:t xml:space="preserve"> nie sú k dispozícii.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Právomoc</w:t>
      </w:r>
      <w:r>
        <w:rPr>
          <w:noProof/>
        </w:rPr>
        <w:t>: neuplatňuje sa.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Vykonávanie hlasovacích práv:</w:t>
      </w:r>
      <w:r>
        <w:rPr>
          <w:noProof/>
        </w:rPr>
        <w:t xml:space="preserve"> neuplatňuje sa.</w:t>
      </w:r>
    </w:p>
    <w:p>
      <w:pPr>
        <w:shd w:val="clear" w:color="auto" w:fill="F2F2F2" w:themeFill="background1" w:themeFillShade="F2"/>
        <w:rPr>
          <w:noProof/>
          <w:szCs w:val="24"/>
        </w:rPr>
      </w:pPr>
      <w:r>
        <w:rPr>
          <w:i/>
          <w:noProof/>
        </w:rPr>
        <w:t xml:space="preserve">Pozícia: </w:t>
      </w:r>
      <w:r>
        <w:rPr>
          <w:noProof/>
        </w:rPr>
        <w:t>žiadna.</w:t>
      </w:r>
    </w:p>
    <w:p>
      <w:pPr>
        <w:spacing w:before="240" w:after="240"/>
        <w:rPr>
          <w:b/>
          <w:noProof/>
          <w:szCs w:val="24"/>
        </w:rPr>
      </w:pPr>
      <w:r>
        <w:rPr>
          <w:b/>
          <w:noProof/>
        </w:rPr>
        <w:lastRenderedPageBreak/>
        <w:t>Bod programu č. 24 – Prijatie rozhodnutí, mandátov, odporúčaní a iných dokumentov valného zhromaždenia (záverečný dokument)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Dokumenty:</w:t>
      </w:r>
      <w:r>
        <w:rPr>
          <w:noProof/>
        </w:rPr>
        <w:t xml:space="preserve"> nie sú k dispozícii.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Právomoc</w:t>
      </w:r>
      <w:r>
        <w:rPr>
          <w:noProof/>
        </w:rPr>
        <w:t>: Únia (spoločná a výlučná)</w:t>
      </w:r>
    </w:p>
    <w:p>
      <w:pPr>
        <w:shd w:val="clear" w:color="auto" w:fill="F2F2F2" w:themeFill="background1" w:themeFillShade="F2"/>
        <w:spacing w:before="0" w:after="0" w:line="276" w:lineRule="auto"/>
        <w:rPr>
          <w:noProof/>
          <w:szCs w:val="24"/>
        </w:rPr>
      </w:pPr>
      <w:r>
        <w:rPr>
          <w:i/>
          <w:noProof/>
        </w:rPr>
        <w:t>Vykonávanie hlasovacích práv:</w:t>
      </w:r>
      <w:r>
        <w:rPr>
          <w:noProof/>
        </w:rPr>
        <w:t xml:space="preserve"> Únia.</w:t>
      </w:r>
    </w:p>
    <w:p>
      <w:pPr>
        <w:shd w:val="clear" w:color="auto" w:fill="F2F2F2" w:themeFill="background1" w:themeFillShade="F2"/>
        <w:rPr>
          <w:noProof/>
          <w:szCs w:val="24"/>
        </w:rPr>
      </w:pPr>
      <w:r>
        <w:rPr>
          <w:i/>
          <w:noProof/>
        </w:rPr>
        <w:t xml:space="preserve">Pozícia: </w:t>
      </w:r>
      <w:r>
        <w:rPr>
          <w:noProof/>
        </w:rPr>
        <w:t>Ako sa uvádza v príslušných bodoch programu.</w:t>
      </w:r>
    </w:p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9D823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B2C91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0129ED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6F016B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63A0E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006E4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228BA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1A8FD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LLIGNON Bertrand (MOVE)">
    <w15:presenceInfo w15:providerId="None" w15:userId="COLLIGNON Bertrand (MOV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7-27 12:53:2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CD6209AA-4BE7-4F92-B1AC-05038BDD21F8"/>
    <w:docVar w:name="LW_COVERPAGE_TYPE" w:val="1"/>
    <w:docVar w:name="LW_CROSSREFERENCE" w:val="&lt;UNUSED&gt;"/>
    <w:docVar w:name="LW_DocType" w:val="ANNEX"/>
    <w:docVar w:name="LW_EMISSION" w:val="27. 7. 2018"/>
    <w:docVar w:name="LW_EMISSION_ISODATE" w:val="2018-07-27"/>
    <w:docVar w:name="LW_EMISSION_LOCATION" w:val="BRX"/>
    <w:docVar w:name="LW_EMISSION_PREFIX" w:val="V Bruseli"/>
    <w:docVar w:name="LW_EMISSION_SUFFIX" w:val="&lt;EMPTY&gt;"/>
    <w:docVar w:name="LW_ID_DOCSTRUCTURE" w:val="COM/ANNEX"/>
    <w:docVar w:name="LW_ID_DOCTYPE" w:val="SG-017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" w:val="o pozícii, ktorá sa má prija\u357? v mene Európskej únie na 13. valnom zhroma\u382?dení Medzivládnej organizácie pre medzinárodnú \u382?elezni\u269?nú prepravu (OTIF), pokia\u318? ide o ur\u269?ité zmeny Dohovoru o medzinárodnej \u382?elezni\u269?nej preprave (COTIF) a jeho dodatkov_x000b_"/>
    <w:docVar w:name="LW_OBJETACTEPRINCIPAL.CP" w:val="o pozícii, ktorá sa má prija\u357? v mene Európskej únie na 13. valnom zhroma\u382?dení Medzivládnej organizácie pre medzinárodnú \u382?elezni\u269?nú prepravu (OTIF), pokia\u318? ide o ur\u269?ité zmeny Dohovoru o medzinárodnej \u382?elezni\u269?nej preprave (COTIF) a jeho dodatkov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8) 55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ÍLOHA"/>
    <w:docVar w:name="LW_TYPE.DOC.CP" w:val="PRÍLOHA"/>
    <w:docVar w:name="LW_TYPEACTEPRINCIPAL" w:val="návrhu rozhodnutia Rady"/>
    <w:docVar w:name="LW_TYPEACTEPRINCIPAL.CP" w:val="návrhu rozhodnutia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xtranet.otif.org/en/?page_id=1071.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9</Pages>
  <Words>2424</Words>
  <Characters>14811</Characters>
  <Application>Microsoft Office Word</Application>
  <DocSecurity>0</DocSecurity>
  <Lines>296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 Laurent (MOVE)</dc:creator>
  <cp:lastModifiedBy>DIGIT/A3</cp:lastModifiedBy>
  <cp:revision>7</cp:revision>
  <dcterms:created xsi:type="dcterms:W3CDTF">2018-07-25T14:11:00Z</dcterms:created>
  <dcterms:modified xsi:type="dcterms:W3CDTF">2018-07-27T10:53:00Z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