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29E38FD3-7BD3-4382-B5A7-D6DC1317DB10" style="width:450.8pt;height:383.8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ZAŁĄCZNIK I</w:t>
      </w:r>
    </w:p>
    <w:p>
      <w:pPr>
        <w:jc w:val="center"/>
        <w:rPr>
          <w:b/>
          <w:noProof/>
        </w:rPr>
      </w:pPr>
      <w:r>
        <w:rPr>
          <w:b/>
          <w:noProof/>
        </w:rPr>
        <w:t>METODYKA OCENY JAKOŚCI SYSTEMÓW I PRAKTYK ZARZĄDZANIA INWESTYCJAMI PUBLICZNYMI STOSOWANYCH PRZEZ PAŃSTWA CZŁONKOWSKIE</w:t>
      </w:r>
    </w:p>
    <w:p>
      <w:pPr>
        <w:rPr>
          <w:b/>
          <w:noProof/>
          <w:szCs w:val="24"/>
        </w:rPr>
      </w:pPr>
    </w:p>
    <w:p>
      <w:pPr>
        <w:rPr>
          <w:b/>
          <w:noProof/>
        </w:rPr>
      </w:pPr>
      <w:r>
        <w:rPr>
          <w:b/>
          <w:noProof/>
        </w:rPr>
        <w:t xml:space="preserve">1. Zakres </w:t>
      </w:r>
    </w:p>
    <w:p>
      <w:pPr>
        <w:rPr>
          <w:noProof/>
        </w:rPr>
      </w:pPr>
      <w:r>
        <w:rPr>
          <w:noProof/>
        </w:rPr>
        <w:t>W celu zwiększenia wpływu inwestycji publicznych i potencjalnego wsparcia z EISI ocena jakości systemów i praktyk zarządzania inwestycjami publicznymi stosowanych przez państwa członkowskie przyczynia się do zapewnienia ich wysokiej jakości. Ocena ta ma pomóc w zwiększeniu skuteczności planowania, przydziału i w realizacji inwestycji publicznych na szczeblu krajowym.</w:t>
      </w:r>
    </w:p>
    <w:p>
      <w:pPr>
        <w:rPr>
          <w:noProof/>
        </w:rPr>
      </w:pPr>
      <w:r>
        <w:rPr>
          <w:noProof/>
        </w:rPr>
        <w:t>Wskaźniki opierają się na określonych w niniejszym rozporządzeniu zasadach odnoszących się do celu i zakresu EISI, kryteriów kwalifikowalności i kryteriów uruchomienia wsparcia.</w:t>
      </w:r>
    </w:p>
    <w:p>
      <w:pPr>
        <w:rPr>
          <w:noProof/>
        </w:rPr>
      </w:pPr>
    </w:p>
    <w:p>
      <w:pPr>
        <w:rPr>
          <w:b/>
          <w:noProof/>
        </w:rPr>
      </w:pPr>
      <w:r>
        <w:rPr>
          <w:b/>
          <w:noProof/>
        </w:rPr>
        <w:t>2. Wskaźniki</w:t>
      </w:r>
    </w:p>
    <w:p>
      <w:pPr>
        <w:rPr>
          <w:noProof/>
        </w:rPr>
      </w:pPr>
      <w:r>
        <w:rPr>
          <w:noProof/>
        </w:rPr>
        <w:t xml:space="preserve">W kontekście oceny jakości, o której mowa w art. 1, Komisja analizuje piętnaście wskaźników dotyczących procesów decyzyjnych w zakresie inwestycji publicznych realizowanych na trzech różnych etapach cyklu inwestycji publicznych. </w:t>
      </w:r>
    </w:p>
    <w:p>
      <w:pPr>
        <w:rPr>
          <w:noProof/>
        </w:rPr>
      </w:pPr>
      <w:r>
        <w:rPr>
          <w:noProof/>
        </w:rPr>
        <w:t>Trzy główne etapy cyklu inwestycji publicznych to:</w:t>
      </w:r>
    </w:p>
    <w:p>
      <w:pPr>
        <w:rPr>
          <w:noProof/>
        </w:rPr>
      </w:pPr>
      <w:r>
        <w:rPr>
          <w:noProof/>
        </w:rPr>
        <w:t>1. planowanie inwestycji publicznych w sektorze publicznym („etap planowania”);</w:t>
      </w:r>
    </w:p>
    <w:p>
      <w:pPr>
        <w:rPr>
          <w:noProof/>
        </w:rPr>
      </w:pPr>
      <w:r>
        <w:rPr>
          <w:noProof/>
        </w:rPr>
        <w:t xml:space="preserve">2. przydział inwestycji publicznych do sektorów i projektów („etap przydziału”); </w:t>
      </w:r>
    </w:p>
    <w:p>
      <w:pPr>
        <w:rPr>
          <w:noProof/>
        </w:rPr>
      </w:pPr>
      <w:r>
        <w:rPr>
          <w:noProof/>
        </w:rPr>
        <w:t xml:space="preserve">3. realizacja projektów w terminie i w ramach budżetu („etap realizacji”). </w:t>
      </w:r>
    </w:p>
    <w:p>
      <w:pPr>
        <w:rPr>
          <w:noProof/>
        </w:rPr>
      </w:pPr>
      <w:r>
        <w:rPr>
          <w:noProof/>
        </w:rPr>
        <w:t xml:space="preserve">Aby ocenić </w:t>
      </w:r>
      <w:r>
        <w:rPr>
          <w:i/>
          <w:noProof/>
        </w:rPr>
        <w:t>etap planowania</w:t>
      </w:r>
      <w:r>
        <w:rPr>
          <w:noProof/>
        </w:rPr>
        <w:t>, stosuje się następujące wskaźniki:</w:t>
      </w:r>
    </w:p>
    <w:p>
      <w:pPr>
        <w:rPr>
          <w:noProof/>
        </w:rPr>
      </w:pPr>
      <w:r>
        <w:rPr>
          <w:noProof/>
        </w:rPr>
        <w:t>a) reguły i zasady fiskalne zapewniające, by ogólne poziomy inwestycji publicznych były odpowiednie, przewidywalne i trwałe;</w:t>
      </w:r>
    </w:p>
    <w:p>
      <w:pPr>
        <w:rPr>
          <w:noProof/>
        </w:rPr>
      </w:pPr>
      <w:r>
        <w:rPr>
          <w:noProof/>
        </w:rPr>
        <w:t xml:space="preserve">b) plany sektorowe zapewniające, by decyzje dotyczące inwestycji publicznych opierały się na jasnych i realistycznych priorytetach, szacunkach kosztów i celach w odniesieniu do każdego z sektorów; </w:t>
      </w:r>
    </w:p>
    <w:p>
      <w:pPr>
        <w:rPr>
          <w:noProof/>
        </w:rPr>
      </w:pPr>
      <w:r>
        <w:rPr>
          <w:noProof/>
        </w:rPr>
        <w:t>c) ustalenia w zakresie koordynacji na szczeblu centralnym i lokalnym są takie, by plany inwestycji publicznych były zintegrowane na wszystkich szczeblach sprawowania rządów, gwarantowały pewność finansowania ze strony instytucji rządowych na szczeblu centralnym i zapewniały zrównoważone poziomy zaciągniętych pożyczek na szczeblu niższym niż krajowy;</w:t>
      </w:r>
    </w:p>
    <w:p>
      <w:pPr>
        <w:rPr>
          <w:noProof/>
        </w:rPr>
      </w:pPr>
      <w:r>
        <w:rPr>
          <w:noProof/>
        </w:rPr>
        <w:t xml:space="preserve">d) zarządzanie partnerstwami publiczno-prywatnymi (PPP) przebiega w sposób zapewniający skuteczną ocenę, wybór i monitorowanie projektów i zobowiązań PPP; </w:t>
      </w:r>
    </w:p>
    <w:p>
      <w:pPr>
        <w:rPr>
          <w:noProof/>
        </w:rPr>
      </w:pPr>
      <w:r>
        <w:rPr>
          <w:noProof/>
        </w:rPr>
        <w:t>e) przepisy dotyczące przedsiębiorstw działających w sektorze infrastruktury zapewniają istnienie otwartych i konkurencyjnych rynków dla świadczenia usług związanych z infrastrukturą, obiektywną wycenę produktów oraz skuteczny nadzór nad planami inwestycyjnymi tych przedsiębiorstw związanymi z infrastrukturą.</w:t>
      </w:r>
    </w:p>
    <w:p>
      <w:pPr>
        <w:rPr>
          <w:noProof/>
        </w:rPr>
      </w:pPr>
      <w:r>
        <w:rPr>
          <w:noProof/>
        </w:rPr>
        <w:t xml:space="preserve">Aby ocenić </w:t>
      </w:r>
      <w:r>
        <w:rPr>
          <w:i/>
          <w:noProof/>
        </w:rPr>
        <w:t>etap przydziału</w:t>
      </w:r>
      <w:r>
        <w:rPr>
          <w:noProof/>
        </w:rPr>
        <w:t xml:space="preserve">, stosuje się następujące wskaźniki: </w:t>
      </w:r>
    </w:p>
    <w:p>
      <w:pPr>
        <w:rPr>
          <w:noProof/>
        </w:rPr>
      </w:pPr>
      <w:r>
        <w:rPr>
          <w:noProof/>
        </w:rPr>
        <w:lastRenderedPageBreak/>
        <w:t>a) wieloletnie planowanie budżetowe, które zapewnia przejrzystość i przewidywalność, jeśli chodzi o poziomy inwestycji w podziale na ministerstwa, programy i projekty w perspektywie średnioterminowej;</w:t>
      </w:r>
    </w:p>
    <w:p>
      <w:pPr>
        <w:rPr>
          <w:noProof/>
        </w:rPr>
      </w:pPr>
      <w:r>
        <w:rPr>
          <w:noProof/>
        </w:rPr>
        <w:t xml:space="preserve">b) kompletność budżetu, która znajduje odzwierciedlenie w fakcie, iż wszystkie inwestycje publiczne, niezależnie od kanału finansowania, zostały zatwierdzone przez ustawodawcę i podane do wiadomości w dokumentacji budżetowej; </w:t>
      </w:r>
    </w:p>
    <w:p>
      <w:pPr>
        <w:rPr>
          <w:noProof/>
        </w:rPr>
      </w:pPr>
      <w:r>
        <w:rPr>
          <w:noProof/>
        </w:rPr>
        <w:t xml:space="preserve">c) jedność budżetową, która przejawia się tym, że w decyzjach dotyczących poszczególnych projektów uwzględnia się zarówno ich bezpośredni kapitał, jak i przyszłe koszty operacyjne i koszty utrzymania; </w:t>
      </w:r>
    </w:p>
    <w:p>
      <w:pPr>
        <w:rPr>
          <w:noProof/>
        </w:rPr>
      </w:pPr>
      <w:r>
        <w:rPr>
          <w:noProof/>
        </w:rPr>
        <w:t xml:space="preserve">d) ocenę projektu, odzwierciedloną w fakcie, iż propozycje projektów podlegają publikowanej ocenie przy zastosowaniu standardowej metodyki i uwzględnieniu potencjalnego ryzyka; </w:t>
      </w:r>
    </w:p>
    <w:p>
      <w:pPr>
        <w:rPr>
          <w:noProof/>
        </w:rPr>
      </w:pPr>
      <w:r>
        <w:rPr>
          <w:noProof/>
        </w:rPr>
        <w:t xml:space="preserve">e) wybór projektów, który polega na tym, że projekty są wybierane systematycznie i zatwierdzane na podstawie przejrzystych kryteriów oraz włączane do wykazu zatwierdzonych projektów w zakresie inwestycji publicznych. </w:t>
      </w:r>
    </w:p>
    <w:p>
      <w:pPr>
        <w:rPr>
          <w:noProof/>
        </w:rPr>
      </w:pPr>
      <w:r>
        <w:rPr>
          <w:noProof/>
        </w:rPr>
        <w:t xml:space="preserve">Aby ocenić </w:t>
      </w:r>
      <w:r>
        <w:rPr>
          <w:i/>
          <w:noProof/>
        </w:rPr>
        <w:t>etap realizacji</w:t>
      </w:r>
      <w:r>
        <w:rPr>
          <w:noProof/>
        </w:rPr>
        <w:t xml:space="preserve">, stosuje się następujące wskaźniki: </w:t>
      </w:r>
    </w:p>
    <w:p>
      <w:pPr>
        <w:rPr>
          <w:noProof/>
        </w:rPr>
      </w:pPr>
      <w:r>
        <w:rPr>
          <w:noProof/>
        </w:rPr>
        <w:t>a) ochronę inwestycji publicznych poprzez przydzielanie na projekt środków, które są wystarczające do pokrycia całkowitych kosztów projektu i nie mogą zostać przekierowane według uznania władzy wykonawczej;</w:t>
      </w:r>
    </w:p>
    <w:p>
      <w:pPr>
        <w:rPr>
          <w:noProof/>
        </w:rPr>
      </w:pPr>
      <w:r>
        <w:rPr>
          <w:noProof/>
        </w:rPr>
        <w:t xml:space="preserve">b) dostępność finansowania umożliwiającą planowanie projektów inwestycyjnych i podjęcie zobowiązań, w oparciu o wiarygodne prognozy i terminowe przepływy środków pieniężnych ze Skarbu Państwa; </w:t>
      </w:r>
    </w:p>
    <w:p>
      <w:pPr>
        <w:rPr>
          <w:noProof/>
        </w:rPr>
      </w:pPr>
      <w:r>
        <w:rPr>
          <w:noProof/>
        </w:rPr>
        <w:t>c) przejrzystość w zakresie wykonania budżetu: duże projekty inwestycji publicznych są objęte konkurencyjnymi i przejrzystymi procedurami udzielania zamówień, ich realizacja podlega monitorowaniu, a także niezależnemu audytowi;</w:t>
      </w:r>
    </w:p>
    <w:p>
      <w:pPr>
        <w:rPr>
          <w:noProof/>
        </w:rPr>
      </w:pPr>
      <w:r>
        <w:rPr>
          <w:noProof/>
        </w:rPr>
        <w:t>d) zarządzanie projektami: zostaje wskazany odpowiedzialny kierownik projektu, który działa zgodnie z usprawnionymi planami wdrożenia i zapewnia stosowanie standardowych procedur i wytycznych w przypadku dostosowania projektu;</w:t>
      </w:r>
    </w:p>
    <w:p>
      <w:pPr>
        <w:rPr>
          <w:noProof/>
        </w:rPr>
      </w:pPr>
      <w:r>
        <w:rPr>
          <w:noProof/>
        </w:rPr>
        <w:t>e) monitorowanie środków publicznych: aktywa zostały właściwie ujęte, wycenione i zgłoszone, a ich amortyzacja uwzględniana jest w sprawozdaniach finansowych o ogólnym przeznaczeniu.</w:t>
      </w:r>
    </w:p>
    <w:p>
      <w:pPr>
        <w:rPr>
          <w:b/>
          <w:noProof/>
        </w:rPr>
      </w:pPr>
    </w:p>
    <w:p>
      <w:pPr>
        <w:rPr>
          <w:b/>
          <w:noProof/>
        </w:rPr>
      </w:pPr>
      <w:r>
        <w:rPr>
          <w:b/>
          <w:noProof/>
        </w:rPr>
        <w:t>3. Tabela wskaźników i sprawozdawczość</w:t>
      </w:r>
    </w:p>
    <w:p>
      <w:pPr>
        <w:rPr>
          <w:noProof/>
        </w:rPr>
      </w:pPr>
      <w:r>
        <w:rPr>
          <w:noProof/>
        </w:rPr>
        <w:t>Tabela wskaźników oraz zestawienie dla każdego państwa członkowskiego są dokonywane w celu identyfikacji mocnych i słabych stron systemów i praktyk zarządzania inwestycjami publicznymi w przejrzysty sposób.</w:t>
      </w:r>
    </w:p>
    <w:p>
      <w:pPr>
        <w:rPr>
          <w:noProof/>
        </w:rPr>
      </w:pPr>
      <w:r>
        <w:rPr>
          <w:noProof/>
        </w:rPr>
        <w:t xml:space="preserve">Komisja przedstawia wyniki swojej oceny w sprawozdaniu skierowanym do państw członkowskich. </w:t>
      </w:r>
    </w:p>
    <w:p>
      <w:pPr>
        <w:rPr>
          <w:b/>
          <w:noProof/>
        </w:rPr>
      </w:pPr>
    </w:p>
    <w:p>
      <w:pPr>
        <w:rPr>
          <w:b/>
          <w:noProof/>
        </w:rPr>
      </w:pPr>
      <w:r>
        <w:rPr>
          <w:b/>
          <w:noProof/>
        </w:rPr>
        <w:t xml:space="preserve">4. Zalecenia </w:t>
      </w:r>
    </w:p>
    <w:p>
      <w:pPr>
        <w:rPr>
          <w:noProof/>
        </w:rPr>
      </w:pPr>
      <w:r>
        <w:rPr>
          <w:noProof/>
        </w:rPr>
        <w:t xml:space="preserve">Komisja może skierować do poszczególnych państw członkowskich praktyczne zalecenia na podstawie swojej oceny, aby umożliwić im poprawę efektywności ich systemów i praktyk zarządzania inwestycjami publicznymi. </w:t>
      </w:r>
    </w:p>
    <w:p>
      <w:pPr>
        <w:rPr>
          <w:noProof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6A7EF9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87CA11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564231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A80155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699287B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FB6636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5A28A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55230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hideSpellingErrors/>
  <w:hideGrammaticalErrors/>
  <w:attachedTemplate r:id="rId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06 16:22:2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5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o"/>
    <w:docVar w:name="LW_ACCOMPAGNANT.CP" w:val="do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29E38FD3-7BD3-4382-B5A7-D6DC1317DB10"/>
    <w:docVar w:name="LW_COVERPAGE_TYPE" w:val="1"/>
    <w:docVar w:name="LW_CROSSREFERENCE" w:val="{SEC(2018) 277 final}_x000b_{SWD(2018) 297 final}_x000b_{SWD(2018) 298 final}"/>
    <w:docVar w:name="LW_DocType" w:val="ANNEX"/>
    <w:docVar w:name="LW_EMISSION" w:val="31.5.2018"/>
    <w:docVar w:name="LW_EMISSION_ISODATE" w:val="2018-05-31"/>
    <w:docVar w:name="LW_EMISSION_LOCATION" w:val="BRX"/>
    <w:docVar w:name="LW_EMISSION_PREFIX" w:val="Bruksela, dnia"/>
    <w:docVar w:name="LW_EMISSION_SUFFIX" w:val="&lt;EMPTY&gt;"/>
    <w:docVar w:name="LW_ID_DOCSTRUCTURE" w:val="COM/ANNEX"/>
    <w:docVar w:name="LW_ID_DOCTYPE" w:val="SG-017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OBJETACTEPRINCIPAL" w:val="w sprawie ustanowienia Europejskiego Instrumentu Stabilizacji Inwestycji"/>
    <w:docVar w:name="LW_OBJETACTEPRINCIPAL.CP" w:val="w sprawie ustanowienia Europejskiego Instrumentu Stabilizacji Inwestycji"/>
    <w:docVar w:name="LW_PART_NBR" w:val="1"/>
    <w:docVar w:name="LW_PART_NBR_TOTAL" w:val="1"/>
    <w:docVar w:name="LW_REF.INST.NEW" w:val="COM"/>
    <w:docVar w:name="LW_REF.INST.NEW_ADOPTED" w:val="final"/>
    <w:docVar w:name="LW_REF.INST.NEW_TEXT" w:val="(2018) 38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ZA\u321?\u260?CZNIK"/>
    <w:docVar w:name="LW_TYPE.DOC.CP" w:val="ZA\u321?\u260?CZNIK"/>
    <w:docVar w:name="LW_TYPEACTEPRINCIPAL" w:val="wniosku dotycz\u261?cego rozporz\u261?dzenia Parlamentu Europejskiego i Rady"/>
    <w:docVar w:name="LW_TYPEACTEPRINCIPAL.CP" w:val="wniosku dotycz\u261?cego rozporz\u261?dzenia Parlamentu Europejskiego i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sti-art">
    <w:name w:val="sti-art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Normal1">
    <w:name w:val="Normal1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super">
    <w:name w:val="super"/>
    <w:basedOn w:val="DefaultParagraphFont"/>
    <w:rPr>
      <w:sz w:val="17"/>
      <w:szCs w:val="17"/>
      <w:vertAlign w:val="superscript"/>
    </w:rPr>
  </w:style>
  <w:style w:type="paragraph" w:customStyle="1" w:styleId="sti-art2">
    <w:name w:val="sti-art2"/>
    <w:basedOn w:val="Normal"/>
    <w:pPr>
      <w:spacing w:before="60" w:line="312" w:lineRule="atLeast"/>
      <w:jc w:val="center"/>
    </w:pPr>
    <w:rPr>
      <w:rFonts w:eastAsia="Times New Roman"/>
      <w:b/>
      <w:bCs/>
      <w:szCs w:val="24"/>
    </w:rPr>
  </w:style>
  <w:style w:type="paragraph" w:customStyle="1" w:styleId="normal2">
    <w:name w:val="normal2"/>
    <w:basedOn w:val="Normal"/>
    <w:pPr>
      <w:spacing w:after="0" w:line="312" w:lineRule="atLeast"/>
    </w:pPr>
    <w:rPr>
      <w:rFonts w:eastAsia="Times New Roman"/>
      <w:szCs w:val="24"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itreobjetPagedecouverture">
    <w:name w:val="Titre objet (Page de couverture)"/>
    <w:basedOn w:val="Titreobjet"/>
    <w:next w:val="IntrtEEEPagedecouverture"/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sti-art">
    <w:name w:val="sti-art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Normal1">
    <w:name w:val="Normal1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super">
    <w:name w:val="super"/>
    <w:basedOn w:val="DefaultParagraphFont"/>
    <w:rPr>
      <w:sz w:val="17"/>
      <w:szCs w:val="17"/>
      <w:vertAlign w:val="superscript"/>
    </w:rPr>
  </w:style>
  <w:style w:type="paragraph" w:customStyle="1" w:styleId="sti-art2">
    <w:name w:val="sti-art2"/>
    <w:basedOn w:val="Normal"/>
    <w:pPr>
      <w:spacing w:before="60" w:line="312" w:lineRule="atLeast"/>
      <w:jc w:val="center"/>
    </w:pPr>
    <w:rPr>
      <w:rFonts w:eastAsia="Times New Roman"/>
      <w:b/>
      <w:bCs/>
      <w:szCs w:val="24"/>
    </w:rPr>
  </w:style>
  <w:style w:type="paragraph" w:customStyle="1" w:styleId="normal2">
    <w:name w:val="normal2"/>
    <w:basedOn w:val="Normal"/>
    <w:pPr>
      <w:spacing w:after="0" w:line="312" w:lineRule="atLeast"/>
    </w:pPr>
    <w:rPr>
      <w:rFonts w:eastAsia="Times New Roman"/>
      <w:szCs w:val="24"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itreobjetPagedecouverture">
    <w:name w:val="Titre objet (Page de couverture)"/>
    <w:basedOn w:val="Titreobjet"/>
    <w:next w:val="IntrtEEEPagedecouverture"/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03ED3-EA3B-4F03-B301-DAC6C336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4</Pages>
  <Words>637</Words>
  <Characters>4554</Characters>
  <Application>Microsoft Office Word</Application>
  <DocSecurity>0</DocSecurity>
  <Lines>85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PARMENTIER Paola</dc:creator>
  <cp:lastModifiedBy>DIGIT/A3</cp:lastModifiedBy>
  <cp:revision>8</cp:revision>
  <cp:lastPrinted>2017-11-30T16:13:00Z</cp:lastPrinted>
  <dcterms:created xsi:type="dcterms:W3CDTF">2018-06-05T08:44:00Z</dcterms:created>
  <dcterms:modified xsi:type="dcterms:W3CDTF">2018-06-06T14:22:00Z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0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