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5F0BF7-661D-4091-8A25-906814F73E45"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bdr w:val="nil"/>
        </w:rPr>
        <w:t>•</w:t>
      </w:r>
      <w:r>
        <w:rPr>
          <w:noProof/>
        </w:rPr>
        <w:tab/>
        <w:t>Ettepaneku põhjused ja eesmärgid</w:t>
      </w:r>
    </w:p>
    <w:p>
      <w:pPr>
        <w:rPr>
          <w:rFonts w:eastAsia="Arial Unicode MS"/>
          <w:noProof/>
        </w:rPr>
      </w:pPr>
      <w:r>
        <w:rPr>
          <w:noProof/>
        </w:rPr>
        <w:t>Tõendid näitavad, et konkreetsel majandusaastal liikmesriikidele tehtud ja raamatupidamise aastaaruannete heakskiitmise käigus raamatupidamisarvestusest välja kantud eelmaksete tulemusel esitatakse igal aastal märkimisväärses summas sissenõudekorraldusi (näiteks 2017. aastal 6,6 miljardit eurot). See tähendab, et tegelikult nõutakse liikmesriikidelt liidu eelarve maksete assigneeringutest maksekrediiti, et teha neile iga-aastaseid eelmakseid, mis tuleb aasta pärast märkimisväärses osas tagasi nõuda.</w:t>
      </w:r>
    </w:p>
    <w:p>
      <w:pPr>
        <w:pBdr>
          <w:top w:val="nil"/>
          <w:left w:val="nil"/>
          <w:bottom w:val="nil"/>
          <w:right w:val="nil"/>
          <w:between w:val="nil"/>
          <w:bar w:val="nil"/>
        </w:pBdr>
        <w:spacing w:before="0" w:after="240"/>
        <w:rPr>
          <w:rFonts w:eastAsia="Arial Unicode MS"/>
          <w:noProof/>
        </w:rPr>
      </w:pPr>
      <w:r>
        <w:rPr>
          <w:noProof/>
        </w:rPr>
        <w:t>Seepärast tehakse ettepanek vähendada kehtiva rakendusperioodi kolmel viimasel aastal (2021–2023), mis kattuvad 2021. aastal algava järgmise rakendusperioodiga, iga-aastased eelmaksed vajaliku miinimumini, et suurendada läbipaistvust ja parandada eelarve planeerimise ennustatavust ning muuta makseprofiil stabiilsemaks ja paremini prognoositavaks. Sellega võetakse arvesse ka maksevajadusi, mis tulenevad 2021.–2027. aasta programmide eelmaksete kavandatud korrast, mille kohaselt makstakse kuue aastase osamaksena ainult algsed eelmaksed</w:t>
      </w:r>
      <w:r>
        <w:rPr>
          <w:rStyle w:val="FootnoteReference"/>
          <w:noProof/>
        </w:rPr>
        <w:footnoteReference w:id="1"/>
      </w:r>
      <w:r>
        <w:rPr>
          <w:noProof/>
        </w:rPr>
        <w:t>. Komisjon on juba teatanud sellest kavatsusest</w:t>
      </w:r>
      <w:r>
        <w:rPr>
          <w:rStyle w:val="FootnoteReference"/>
          <w:noProof/>
        </w:rPr>
        <w:footnoteReference w:id="2"/>
      </w:r>
      <w:r>
        <w:rPr>
          <w:noProof/>
        </w:rPr>
        <w:t>.</w:t>
      </w:r>
    </w:p>
    <w:p>
      <w:pPr>
        <w:pStyle w:val="ManualHeading2"/>
        <w:rPr>
          <w:rFonts w:eastAsia="Arial Unicode MS"/>
          <w:noProof/>
          <w:color w:val="000000"/>
          <w:u w:color="000000"/>
          <w:bdr w:val="nil"/>
        </w:rPr>
      </w:pPr>
      <w:r>
        <w:rPr>
          <w:noProof/>
          <w:color w:val="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sz w:val="23"/>
          <w:szCs w:val="23"/>
        </w:rPr>
      </w:pPr>
      <w:r>
        <w:rPr>
          <w:noProof/>
          <w:sz w:val="23"/>
        </w:rPr>
        <w:t>Ettepanek on kooskõlas määruse (EL) nr 1303/2013</w:t>
      </w:r>
      <w:r>
        <w:rPr>
          <w:rStyle w:val="FootnoteReference"/>
          <w:noProof/>
          <w:sz w:val="23"/>
        </w:rPr>
        <w:footnoteReference w:id="3"/>
      </w:r>
      <w:r>
        <w:rPr>
          <w:noProof/>
          <w:sz w:val="23"/>
        </w:rPr>
        <w:t xml:space="preserve"> sätetega, mis käsitlevad Euroopa struktuuri- ja investeerimisfondide eelarve haldamist. Muudatusega ei muudeta nende sätete ülesehitust.</w:t>
      </w:r>
    </w:p>
    <w:p>
      <w:pPr>
        <w:pStyle w:val="ManualHeading2"/>
        <w:rPr>
          <w:rFonts w:eastAsia="Arial Unicode MS"/>
          <w:noProof/>
        </w:rPr>
      </w:pPr>
      <w:r>
        <w:rPr>
          <w:noProof/>
          <w:color w:val="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 xml:space="preserve">Ettepanek on kooskõlas muude ettepanekute ja algatustega, mis Euroopa Komisjon on vastu võtnud. </w:t>
      </w:r>
      <w:r>
        <w:rPr>
          <w:noProof/>
          <w:sz w:val="23"/>
        </w:rPr>
        <w:t xml:space="preserve">Samuti on ettepanek kooskõlas eelarve </w:t>
      </w:r>
      <w:r>
        <w:rPr>
          <w:noProof/>
        </w:rPr>
        <w:t>usaldusväärse haldamise nõuetega.</w:t>
      </w:r>
    </w:p>
    <w:p>
      <w:pPr>
        <w:pStyle w:val="ManualHeading1"/>
        <w:rPr>
          <w:noProof/>
        </w:rPr>
      </w:pPr>
      <w:r>
        <w:rPr>
          <w:noProof/>
        </w:rPr>
        <w:lastRenderedPageBreak/>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sz w:val="23"/>
        </w:rPr>
        <w:t>Määrusega (EL) nr 1303/2013 on kehtestatud Euroopa struktuuri- ja investeerimisfonde käsitlevad ühiseeskirjad. Komisjoni ja liikmesriikide ühisjuhtimise põhimõttest lähtudes sisaldab käesolev määrus programmitöö korda ning programmijuhtimise (sh finantsjuhtimise), järelevalve, finantskontrolli ja projektide hindamise korda.</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noProof/>
          <w:sz w:val="23"/>
          <w:szCs w:val="23"/>
        </w:rPr>
      </w:pPr>
      <w:r>
        <w:rPr>
          <w:noProof/>
          <w:sz w:val="23"/>
        </w:rPr>
        <w:t xml:space="preserve">Ettepanek käsitleb nende iga-aastaste eelmaksete vähendamist, mida komisjon teeb liidu eelarvest liikmesriikidele. Iga-aastaste eelmaksete määrad on kehtestatud liidu tasandil määrusega (EL) nr 1303/2013. Seetõttu tuleb määruse sätete muutmiseks muuta kõnealust määrust. Riiklikud või piirkondlikud vahendid ei ole probleemi lahendamiseks sobivad. Seega vastab ettepanek subsidiaarsuse põhimõttele. </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sz w:val="23"/>
          <w:szCs w:val="23"/>
        </w:rPr>
      </w:pPr>
      <w:r>
        <w:rPr>
          <w:noProof/>
          <w:sz w:val="23"/>
        </w:rPr>
        <w:t>Ettepanek on kooskõlas proportsionaalsuse põhimõttega, kuna see ei lähe nimetatud eesmärgi saavutamiseks liidu tasandil vajalikust kaugemale. Iga-aastaste eelmaksete määra vähendatakse, et viia see kooskõlla rahavoogude vajadusega, võttes arvesse rahavoogude kiirenemist Euroopa struktuuri- ja investeerimisfondide kiiremast rakendamisest tulenevate vahemaksetaotluste alusel. Kavandatud määra kehtestades võttis komisjon arvesse asjaolu, et asjaomaste aastate puhul hõlmavad protsendimäärad juba tulemusreservi ning seetõttu tagab väiksem osakaal samas summas eelmaksed.</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sz w:val="23"/>
        </w:rPr>
        <w:t>Kavandatud vahend: praeguse määruse muutmine.</w:t>
      </w:r>
      <w:r>
        <w:rPr>
          <w:noProof/>
        </w:rPr>
        <w:t xml:space="preserve"> Komisjon on uurinud õigusraamistiku pakutavat tegevusruumi ja peab vajalikuks esitada ettepanek määruse (EL) nr 1303/2013 muutmiseks.</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sz w:val="23"/>
        </w:rPr>
        <w:t>Praegu kehtivate õigusaktide järelhindamist või toimivuse kontrolli ei toimunud.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noProof/>
          <w:sz w:val="23"/>
          <w:szCs w:val="23"/>
        </w:rPr>
      </w:pPr>
      <w:r>
        <w:rPr>
          <w:noProof/>
          <w:sz w:val="23"/>
        </w:rPr>
        <w:t>Väliste sidusrühmadega ei konsulteeritud.</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sz w:val="23"/>
        </w:rPr>
        <w:t>Välisekspertide arvamusi ei olnud vaja kasutada.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noProof/>
          <w:sz w:val="23"/>
          <w:szCs w:val="23"/>
        </w:rPr>
      </w:pPr>
      <w:r>
        <w:rPr>
          <w:noProof/>
          <w:sz w:val="23"/>
        </w:rPr>
        <w:t>Ettepanekul puudub eeldatavalt oluline majanduslik, sotsiaalne ja keskkonnamõju. Ettepaneku tulemusel vähendatakse iga-aastaseid eelmakseid 3 %-lt fondidest ja Euroopa Merendus- ja Kalandusfondis (EMKF) rakenduskavale terveks programmiperioodiks eraldatava toetuse summast 1 %-le aastatel 2021–2023, mis sobib paremini programmi rakendamisest tuleneva rahavoogude vajadusega. Eelmaksete vähendamisel võetakse arvesse vahemaksetaotluste arvu eeldatavat kasvu, asjaolu, et nende aastate puhul suureneb iga-aastaste eelmaksete arvutamise alus tulemusreservi võrra, mis kindlasti selleks ajaks eraldatakse, ning liikmesriikidele alates programmiperioodist 2021–2027 tehtavaid eelmakseid.</w:t>
      </w:r>
    </w:p>
    <w:p>
      <w:pPr>
        <w:pBdr>
          <w:top w:val="nil"/>
          <w:left w:val="nil"/>
          <w:bottom w:val="nil"/>
          <w:right w:val="nil"/>
          <w:between w:val="nil"/>
          <w:bar w:val="nil"/>
        </w:pBdr>
        <w:spacing w:before="0" w:after="240"/>
        <w:rPr>
          <w:noProof/>
          <w:sz w:val="23"/>
          <w:szCs w:val="23"/>
        </w:rPr>
      </w:pPr>
      <w:r>
        <w:rPr>
          <w:noProof/>
          <w:sz w:val="23"/>
        </w:rPr>
        <w:lastRenderedPageBreak/>
        <w:t>Kuna iga-aastased eelmaksed eraldatakse majandusaastaks, mis hõlmab kahte eelarveaastat, tasaarveldatakse aastal N makstud ülemäärased iga-aastased eelmaksed aastal N+1, mistõttu tekivad tarbetud maksevood, millel puudub lisaväärtus.</w:t>
      </w:r>
      <w:r>
        <w:rPr>
          <w:noProof/>
        </w:rPr>
        <w:t xml:space="preserve"> </w:t>
      </w:r>
      <w:r>
        <w:rPr>
          <w:noProof/>
          <w:sz w:val="23"/>
        </w:rPr>
        <w:t>Iga-aastaste eelmaksete määra vähendamine kavandatud aastatel aitab suurendada eelarve planeerimise ennustatavust, tagada stabiilsema ja paremini prognoositava makseprofiili, vähendada maksete hilinemise ohtu, suurendada maksevajaduste läbipaistvust ning seega parandada eelarve täitmist.</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rFonts w:eastAsia="Arial Unicode MS"/>
          <w:noProof/>
        </w:rPr>
      </w:pPr>
      <w:r>
        <w:rPr>
          <w:noProof/>
          <w:sz w:val="23"/>
        </w:rPr>
        <w:t>Tegemist ei ole õigusloome kvaliteedi ja tulemuslikkuse programmi algatusega.</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sz w:val="23"/>
        </w:rPr>
        <w:t>Ettepanek ei mõjuta põhiõiguste kaitset.</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sz w:val="23"/>
          <w:szCs w:val="23"/>
        </w:rPr>
      </w:pPr>
      <w:r>
        <w:rPr>
          <w:noProof/>
          <w:sz w:val="23"/>
        </w:rPr>
        <w:t xml:space="preserve">Mõju kulukohustuste assigneeringutele puudub, kuna programmiperioodiks 2014–2020 ettenähtud rakenduskavades sätestatud Euroopa struktuuri- ja investeerimisfondide toetuse ülemmäära ei ole kavas muuta. </w:t>
      </w:r>
    </w:p>
    <w:p>
      <w:pPr>
        <w:pBdr>
          <w:top w:val="nil"/>
          <w:left w:val="nil"/>
          <w:bottom w:val="nil"/>
          <w:right w:val="nil"/>
          <w:between w:val="nil"/>
          <w:bar w:val="nil"/>
        </w:pBdr>
        <w:spacing w:before="0" w:after="240"/>
        <w:rPr>
          <w:noProof/>
          <w:sz w:val="23"/>
          <w:szCs w:val="23"/>
        </w:rPr>
      </w:pPr>
      <w:r>
        <w:rPr>
          <w:noProof/>
          <w:sz w:val="23"/>
        </w:rPr>
        <w:t xml:space="preserve">Üldine mõju maksete assigneeringutele puudub. Nagu ettepanekule lisatud finantsselgitusest nähtub, aitab kavandatud muudatus vähendada 2021. aastaga seotud maksete assigneeringuid ainuüksi seetõttu, et vähenevad iga-aastaste eelmaksete summad, mida kompenseerib 2024. aasta suurem maksevajadus. 2022. ja 2023. aastal tasaarveldatakse väiksemad eelmaksed raamatupidamisarvestuse kontrolli ja kinnitamise käigus ning seetõttu mõju puudub. </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sz w:val="23"/>
        </w:rPr>
        <w:t>Ei kohaldata. Käesoleva ettepaneku rakendamise järelevalveks saab kasutada Euroopa struktuuri- ja investeerimisfondide olemasolevaid kontrollisüsteeme.</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rFonts w:eastAsia="Arial Unicode MS"/>
          <w:noProof/>
        </w:rPr>
      </w:pPr>
      <w:r>
        <w:rPr>
          <w:noProof/>
          <w:sz w:val="23"/>
        </w:rPr>
        <w:t>Ei kohaldata.</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noProof/>
          <w:sz w:val="23"/>
          <w:szCs w:val="23"/>
        </w:rPr>
      </w:pPr>
      <w:r>
        <w:rPr>
          <w:noProof/>
          <w:sz w:val="23"/>
        </w:rPr>
        <w:t>Artikli 134 lõiget 2 muudetakse, et kehtestada iga-aastaste eelmaksete määraks 2021.–2023. aastal praegu kehtiva 3 % asemel 1 % fondidest ja EMKFist rakenduskavale terveks programmiperioodiks eraldatava toetuse summast.</w:t>
      </w:r>
      <w:r>
        <w:rPr>
          <w:noProof/>
        </w:rPr>
        <w:t xml:space="preserve"> </w:t>
      </w:r>
      <w:r>
        <w:rPr>
          <w:noProof/>
          <w:sz w:val="23"/>
        </w:rPr>
        <w:t>2020. aasta iga-aastased eelmaksed jäävad tasemele 3 % fondidest ja EMKFist rakenduskavale terveks programmiperioodiks eraldatava toetuse summast.</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2018/0322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määrust (EL) nr 1303/2013 seoses iga-aastaste eelmaksete korrigeerimisega aastateks 2021–2023</w:t>
      </w:r>
    </w:p>
    <w:p>
      <w:pPr>
        <w:pStyle w:val="Institutionquiagit"/>
        <w:rPr>
          <w:noProof/>
        </w:rPr>
      </w:pPr>
      <w:r>
        <w:rPr>
          <w:noProof/>
        </w:rPr>
        <w:t>EUROOPA PARLAMENT JA EUROOPA LIIDU NÕUKOGU,</w:t>
      </w:r>
    </w:p>
    <w:p>
      <w:pPr>
        <w:rPr>
          <w:noProof/>
        </w:rPr>
      </w:pPr>
      <w:r>
        <w:rPr>
          <w:noProof/>
        </w:rPr>
        <w:t>võttes arvesse Euroopa Liidu toimimise lepingut, eriti selle artiklit 177,</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4"/>
      </w:r>
      <w:r>
        <w:rPr>
          <w:noProof/>
        </w:rPr>
        <w:t>,</w:t>
      </w:r>
    </w:p>
    <w:p>
      <w:pPr>
        <w:rPr>
          <w:noProof/>
        </w:rPr>
      </w:pPr>
      <w:r>
        <w:rPr>
          <w:noProof/>
        </w:rPr>
        <w:t>võttes arvesse Regioonide Komitee arvamust</w:t>
      </w:r>
      <w:r>
        <w:rPr>
          <w:rStyle w:val="FootnoteReference"/>
          <w:noProof/>
        </w:rPr>
        <w:footnoteReference w:id="5"/>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Parlamendi ja nõukogu määrusega (EL) nr 1303/2013</w:t>
      </w:r>
      <w:r>
        <w:rPr>
          <w:rStyle w:val="FootnoteReference"/>
          <w:noProof/>
        </w:rPr>
        <w:footnoteReference w:id="6"/>
      </w:r>
      <w:r>
        <w:rPr>
          <w:noProof/>
        </w:rPr>
        <w:t xml:space="preserve"> on ette nähtud ühised üldnormid, mida kohaldatakse Euroopa struktuuri- ja investeerimisfondide suhtes. </w:t>
      </w:r>
    </w:p>
    <w:p>
      <w:pPr>
        <w:pStyle w:val="ManualConsidrant"/>
        <w:rPr>
          <w:noProof/>
        </w:rPr>
      </w:pPr>
      <w:r>
        <w:t>(2)</w:t>
      </w:r>
      <w:r>
        <w:tab/>
      </w:r>
      <w:r>
        <w:rPr>
          <w:noProof/>
        </w:rPr>
        <w:t>Tõendite kohaselt on iga-aastased eelmaksed kehtestatud eriti kõrgel tasemel võrreldes rakenduskavade rakendamisest tulenevate finantsjuhtimise nõuetega; see kehtib eelkõige eelarveaastate 2021–2023 kohta.</w:t>
      </w:r>
    </w:p>
    <w:p>
      <w:pPr>
        <w:pStyle w:val="ManualConsidrant"/>
        <w:rPr>
          <w:noProof/>
        </w:rPr>
      </w:pPr>
      <w:r>
        <w:t>(3)</w:t>
      </w:r>
      <w:r>
        <w:tab/>
      </w:r>
      <w:r>
        <w:rPr>
          <w:noProof/>
        </w:rPr>
        <w:t xml:space="preserve">Nende aastate iga-aastaste eelmaksete määra tuleks vähendada, et vähendada survet liidu eelarvest tehtavate maksete assigneeringutele eelarveaastatel 2021–2023 ja suurendada maksete vajaduse ennustatavust ning muuta seega eelarve planeerimine läbipaistvamaks ja makseprofiil korrastatumaks. </w:t>
      </w:r>
    </w:p>
    <w:p>
      <w:pPr>
        <w:pStyle w:val="ManualConsidrant"/>
        <w:rPr>
          <w:noProof/>
          <w:szCs w:val="24"/>
        </w:rPr>
      </w:pPr>
      <w:r>
        <w:t>(4)</w:t>
      </w:r>
      <w:r>
        <w:tab/>
      </w:r>
      <w:r>
        <w:rPr>
          <w:noProof/>
        </w:rPr>
        <w:t>Määrust (EL) nr 1303/2013 tuleks seetõttu vastavalt muuta,</w:t>
      </w:r>
    </w:p>
    <w:p>
      <w:pPr>
        <w:pStyle w:val="Formuledadoption"/>
        <w:rPr>
          <w:noProof/>
        </w:rPr>
      </w:pPr>
      <w:r>
        <w:rPr>
          <w:noProof/>
        </w:rPr>
        <w:t>ON VASTU VÕTNUD KÄESOLEVA MÄÄRUSE:</w:t>
      </w:r>
    </w:p>
    <w:p>
      <w:pPr>
        <w:pStyle w:val="Titrearticle"/>
        <w:rPr>
          <w:noProof/>
        </w:rPr>
      </w:pPr>
      <w:r>
        <w:rPr>
          <w:noProof/>
        </w:rPr>
        <w:t>Artikkel 1</w:t>
      </w:r>
    </w:p>
    <w:p>
      <w:pPr>
        <w:keepNext/>
        <w:jc w:val="left"/>
        <w:rPr>
          <w:noProof/>
        </w:rPr>
      </w:pPr>
      <w:r>
        <w:rPr>
          <w:noProof/>
        </w:rPr>
        <w:t>Määruse (EL) nr 1303/2013 artikli 134 lõiget 2 muudetakse järgmiselt:</w:t>
      </w:r>
    </w:p>
    <w:p>
      <w:pPr>
        <w:rPr>
          <w:noProof/>
        </w:rPr>
      </w:pPr>
      <w:r>
        <w:rPr>
          <w:noProof/>
        </w:rPr>
        <w:t>a)</w:t>
      </w:r>
      <w:r>
        <w:rPr>
          <w:noProof/>
        </w:rPr>
        <w:tab/>
        <w:t>viies taane asendatakse järgmisega:</w:t>
      </w:r>
    </w:p>
    <w:p>
      <w:pPr>
        <w:pStyle w:val="Text1"/>
        <w:rPr>
          <w:noProof/>
        </w:rPr>
      </w:pPr>
      <w:r>
        <w:rPr>
          <w:noProof/>
        </w:rPr>
        <w:t>„— 2020. aastal: 3 %;“;</w:t>
      </w:r>
    </w:p>
    <w:p>
      <w:pPr>
        <w:rPr>
          <w:noProof/>
        </w:rPr>
      </w:pPr>
      <w:r>
        <w:rPr>
          <w:noProof/>
        </w:rPr>
        <w:t>b)</w:t>
      </w:r>
      <w:r>
        <w:rPr>
          <w:noProof/>
        </w:rPr>
        <w:tab/>
        <w:t>lisatakse järgmine taane:</w:t>
      </w:r>
    </w:p>
    <w:p>
      <w:pPr>
        <w:pStyle w:val="Text1"/>
        <w:rPr>
          <w:noProof/>
        </w:rPr>
      </w:pPr>
      <w:r>
        <w:rPr>
          <w:noProof/>
        </w:rPr>
        <w:lastRenderedPageBreak/>
        <w:t>„— 2021.–2023. aastal: 1 %.“.</w:t>
      </w:r>
    </w:p>
    <w:p>
      <w:pPr>
        <w:pStyle w:val="Titrearticle"/>
        <w:rPr>
          <w:noProof/>
        </w:rPr>
      </w:pPr>
      <w:r>
        <w:rPr>
          <w:noProof/>
        </w:rPr>
        <w:t>Artikkel 2</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Ettepaneku/algatuse nimetus</w:t>
      </w:r>
      <w:r>
        <w:rPr>
          <w:noProof/>
        </w:rPr>
        <w:t xml:space="preserve"> </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Ettepaneku/algatuse liik</w:t>
      </w:r>
      <w:r>
        <w:rPr>
          <w:noProof/>
        </w:rPr>
        <w:t xml:space="preserve"> </w:t>
      </w:r>
    </w:p>
    <w:p>
      <w:pPr>
        <w:pStyle w:val="ManualHeading2"/>
        <w:rPr>
          <w:b w:val="0"/>
          <w:noProof/>
        </w:rPr>
      </w:pPr>
      <w:r>
        <w:rPr>
          <w:noProof/>
        </w:rPr>
        <w:tab/>
      </w:r>
      <w:r>
        <w:rPr>
          <w:b w:val="0"/>
          <w:noProof/>
        </w:rPr>
        <w:t>1.4.</w:t>
      </w:r>
      <w:r>
        <w:rPr>
          <w:noProof/>
        </w:rPr>
        <w:tab/>
      </w:r>
      <w:r>
        <w:rPr>
          <w:b w:val="0"/>
          <w:noProof/>
        </w:rPr>
        <w:t>Eesmärgid</w:t>
      </w:r>
      <w:r>
        <w:rPr>
          <w:noProof/>
        </w:rPr>
        <w:t xml:space="preserve"> </w:t>
      </w:r>
    </w:p>
    <w:p>
      <w:pPr>
        <w:pStyle w:val="ManualHeading2"/>
        <w:rPr>
          <w:b w:val="0"/>
          <w:noProof/>
        </w:rPr>
      </w:pPr>
      <w:r>
        <w:rPr>
          <w:noProof/>
        </w:rPr>
        <w:tab/>
      </w:r>
      <w:r>
        <w:rPr>
          <w:b w:val="0"/>
          <w:noProof/>
        </w:rPr>
        <w:t>1.5.</w:t>
      </w:r>
      <w:r>
        <w:rPr>
          <w:noProof/>
        </w:rPr>
        <w:tab/>
      </w:r>
      <w:r>
        <w:rPr>
          <w:b w:val="0"/>
          <w:noProof/>
        </w:rPr>
        <w:t>Ettepaneku/algatuse põhjendus</w:t>
      </w:r>
      <w:r>
        <w:rPr>
          <w:noProof/>
        </w:rPr>
        <w:t xml:space="preserve"> </w:t>
      </w:r>
    </w:p>
    <w:p>
      <w:pPr>
        <w:pStyle w:val="ManualHeading2"/>
        <w:rPr>
          <w:b w:val="0"/>
          <w:noProof/>
        </w:rPr>
      </w:pPr>
      <w:r>
        <w:rPr>
          <w:noProof/>
        </w:rPr>
        <w:tab/>
      </w:r>
      <w:r>
        <w:rPr>
          <w:b w:val="0"/>
          <w:noProof/>
        </w:rPr>
        <w:t>1.6.</w:t>
      </w:r>
      <w:r>
        <w:rPr>
          <w:noProof/>
        </w:rPr>
        <w:tab/>
      </w:r>
      <w:r>
        <w:rPr>
          <w:b w:val="0"/>
          <w:noProof/>
        </w:rPr>
        <w:t>Meetme kestus ja finantsmõju</w:t>
      </w:r>
      <w:r>
        <w:rPr>
          <w:noProof/>
        </w:rPr>
        <w:t xml:space="preserve"> </w:t>
      </w:r>
    </w:p>
    <w:p>
      <w:pPr>
        <w:pStyle w:val="ManualHeading2"/>
        <w:rPr>
          <w:b w:val="0"/>
          <w:noProof/>
        </w:rPr>
      </w:pPr>
      <w:r>
        <w:rPr>
          <w:noProof/>
        </w:rPr>
        <w:tab/>
      </w:r>
      <w:r>
        <w:rPr>
          <w:b w:val="0"/>
          <w:noProof/>
        </w:rPr>
        <w:t>1.7.</w:t>
      </w:r>
      <w:r>
        <w:rPr>
          <w:noProof/>
        </w:rPr>
        <w:tab/>
      </w:r>
      <w:r>
        <w:rPr>
          <w:b w:val="0"/>
          <w:noProof/>
        </w:rPr>
        <w:t>Ettenähtud eelarve täitmise viisid</w:t>
      </w:r>
      <w:r>
        <w:rPr>
          <w:noProof/>
        </w:rPr>
        <w:t xml:space="preserve">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Järelevalve ja aruandluse eeskirjad</w:t>
      </w:r>
      <w:r>
        <w:rPr>
          <w:noProof/>
        </w:rPr>
        <w:t xml:space="preserve"> </w:t>
      </w:r>
    </w:p>
    <w:p>
      <w:pPr>
        <w:pStyle w:val="ManualHeading2"/>
        <w:rPr>
          <w:b w:val="0"/>
          <w:noProof/>
        </w:rPr>
      </w:pPr>
      <w:r>
        <w:rPr>
          <w:noProof/>
        </w:rPr>
        <w:tab/>
      </w:r>
      <w:r>
        <w:rPr>
          <w:b w:val="0"/>
          <w:noProof/>
        </w:rPr>
        <w:t>2.2.</w:t>
      </w:r>
      <w:r>
        <w:rPr>
          <w:noProof/>
        </w:rPr>
        <w:tab/>
      </w:r>
      <w:r>
        <w:rPr>
          <w:b w:val="0"/>
          <w:noProof/>
        </w:rPr>
        <w:t>Haldus- ja kontrollisüsteem</w:t>
      </w:r>
      <w:r>
        <w:rPr>
          <w:noProof/>
        </w:rPr>
        <w:t xml:space="preserve"> </w:t>
      </w:r>
    </w:p>
    <w:p>
      <w:pPr>
        <w:pStyle w:val="ManualHeading2"/>
        <w:rPr>
          <w:b w:val="0"/>
          <w:noProof/>
        </w:rPr>
      </w:pPr>
      <w:r>
        <w:rPr>
          <w:noProof/>
        </w:rPr>
        <w:tab/>
      </w:r>
      <w:r>
        <w:rPr>
          <w:b w:val="0"/>
          <w:noProof/>
        </w:rPr>
        <w:t>2.3.</w:t>
      </w:r>
      <w:r>
        <w:rPr>
          <w:noProof/>
        </w:rPr>
        <w:tab/>
      </w:r>
      <w:r>
        <w:rPr>
          <w:b w:val="0"/>
          <w:noProof/>
        </w:rPr>
        <w:t>Pettuse ja eeskirjade eiramise ärahoidmise meetmed</w:t>
      </w:r>
      <w:r>
        <w:rPr>
          <w:noProof/>
        </w:rPr>
        <w:t xml:space="preserve">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Mitmeaastase finantsraamistiku rubriigid ja kulude eelarveread, millele mõju avaldub</w:t>
      </w:r>
      <w:r>
        <w:rPr>
          <w:noProof/>
        </w:rPr>
        <w:t xml:space="preserve">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millega muudetakse määrust (EL) nr 1303/2013 seoses iga-aastaste eelmaksete korrigeerimisega aastateks 2021–2023</w:t>
      </w:r>
    </w:p>
    <w:p>
      <w:pPr>
        <w:pStyle w:val="ManualHeading2"/>
        <w:rPr>
          <w:noProof/>
          <w:szCs w:val="24"/>
        </w:rPr>
      </w:pPr>
      <w:r>
        <w:t>1.2.</w:t>
      </w:r>
      <w:r>
        <w:tab/>
      </w:r>
      <w:r>
        <w:rPr>
          <w:noProof/>
        </w:rPr>
        <w:t>Asjaomased poliitikavaldkonnad vastavalt tegevuspõhise juhtimise ja eelarvestamise (ABM/ABB</w:t>
      </w:r>
      <w:r>
        <w:rPr>
          <w:rStyle w:val="FootnoteReference"/>
          <w:noProof/>
        </w:rPr>
        <w:footnoteReference w:id="7"/>
      </w:r>
      <w:r>
        <w:rPr>
          <w:noProof/>
        </w:rPr>
        <w:t>) struktuurile</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TÖÖHÕIVE, SOTSIAALKÜSIMUSED JA SOTSIAALNE KAASATUS, REGIONAAL- JA LINNAPOLIITIKA</w:t>
      </w:r>
    </w:p>
    <w:p>
      <w:pPr>
        <w:pStyle w:val="Text1"/>
        <w:pBdr>
          <w:top w:val="single" w:sz="4" w:space="1" w:color="auto"/>
          <w:left w:val="single" w:sz="4" w:space="4" w:color="auto"/>
          <w:bottom w:val="single" w:sz="4" w:space="1" w:color="auto"/>
          <w:right w:val="single" w:sz="4" w:space="4" w:color="auto"/>
        </w:pBdr>
        <w:rPr>
          <w:noProof/>
        </w:rPr>
      </w:pPr>
      <w:r>
        <w:rPr>
          <w:noProof/>
        </w:rPr>
        <w:t>MERENDUS- JA KALANDUSASJAD</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1.3.</w:t>
      </w:r>
      <w:r>
        <w:tab/>
      </w:r>
      <w:r>
        <w:rPr>
          <w:noProof/>
        </w:rPr>
        <w:t xml:space="preserve">Ettepaneku/algatuse liik </w:t>
      </w:r>
    </w:p>
    <w:p>
      <w:pPr>
        <w:pStyle w:val="Text1"/>
        <w:rPr>
          <w:b/>
          <w:noProof/>
          <w:sz w:val="22"/>
        </w:rPr>
      </w:pPr>
      <w:r>
        <w:rPr>
          <w:noProof/>
          <w:sz w:val="22"/>
        </w:rPr>
        <w:sym w:font="Wingdings" w:char="F078"/>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t>1.4.2.</w:t>
      </w:r>
      <w:r>
        <w:tab/>
      </w:r>
      <w:r>
        <w:rPr>
          <w:noProof/>
        </w:rPr>
        <w:t xml:space="preserve">Erieesmärgid ning asjaomased tegevusalad vastavalt tegevuspõhise juhtimise ja eelarvestamise süsteemile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rPr>
          <w:noProof/>
        </w:rPr>
        <w:br w:type="page"/>
      </w:r>
      <w:r>
        <w:t>1.4.3.</w:t>
      </w:r>
      <w:r>
        <w:tab/>
      </w:r>
      <w:r>
        <w:rPr>
          <w:noProof/>
        </w:rPr>
        <w:t>Oodatavad tulemused ja mõju</w:t>
      </w:r>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t>1.4.4.</w:t>
      </w:r>
      <w:r>
        <w:tab/>
      </w:r>
      <w:r>
        <w:rPr>
          <w:noProof/>
        </w:rPr>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2"/>
        <w:rPr>
          <w:bCs/>
          <w:noProof/>
          <w:szCs w:val="24"/>
        </w:rPr>
      </w:pPr>
      <w:r>
        <w:t>1.5.</w:t>
      </w:r>
      <w:r>
        <w:tab/>
      </w:r>
      <w:r>
        <w:rPr>
          <w:noProof/>
        </w:rPr>
        <w:t xml:space="preserve">Ettepaneku/algatuse põhjendus </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t>1.5.2.</w:t>
      </w:r>
      <w:r>
        <w:tab/>
      </w:r>
      <w:r>
        <w:rPr>
          <w:noProof/>
        </w:rPr>
        <w:t>ELi meetme lisaväärtus</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2"/>
        <w:rPr>
          <w:bCs/>
          <w:noProof/>
          <w:szCs w:val="24"/>
        </w:rPr>
      </w:pPr>
      <w:r>
        <w:rPr>
          <w:noProof/>
        </w:rPr>
        <w:br w:type="page"/>
      </w:r>
      <w:r>
        <w:t>1.6.</w:t>
      </w:r>
      <w:r>
        <w:tab/>
      </w:r>
      <w:r>
        <w:rPr>
          <w:noProof/>
        </w:rPr>
        <w:t xml:space="preserve">Meetme kestus ja finantsmõju </w:t>
      </w:r>
    </w:p>
    <w:p>
      <w:pPr>
        <w:pStyle w:val="Text1"/>
        <w:rPr>
          <w:noProof/>
        </w:rPr>
      </w:pPr>
      <w:r>
        <w:rPr>
          <w:noProof/>
        </w:rPr>
        <w:sym w:font="Wingdings" w:char="F078"/>
      </w:r>
      <w:r>
        <w:rPr>
          <w:b/>
          <w:noProof/>
        </w:rPr>
        <w:t xml:space="preserve"> Piiratud kestusega</w:t>
      </w:r>
      <w:r>
        <w:rPr>
          <w:noProof/>
        </w:rPr>
        <w:t xml:space="preserve"> ettepanek/algatus</w:t>
      </w:r>
      <w:r>
        <w:rPr>
          <w:b/>
          <w:noProof/>
        </w:rPr>
        <w:t xml:space="preserve"> </w:t>
      </w:r>
    </w:p>
    <w:p>
      <w:pPr>
        <w:pStyle w:val="ListDash2"/>
        <w:rPr>
          <w:noProof/>
        </w:rPr>
      </w:pPr>
      <w:r>
        <w:rPr>
          <w:noProof/>
        </w:rPr>
        <w:sym w:font="Wingdings" w:char="F078"/>
      </w:r>
      <w:r>
        <w:rPr>
          <w:noProof/>
        </w:rPr>
        <w:tab/>
        <w:t>Ettepanek/algatus hõlmab ajavahemikku 2021–2024</w:t>
      </w:r>
    </w:p>
    <w:p>
      <w:pPr>
        <w:pStyle w:val="ListDash2"/>
        <w:rPr>
          <w:noProof/>
        </w:rPr>
      </w:pPr>
      <w:r>
        <w:rPr>
          <w:noProof/>
        </w:rPr>
        <w:sym w:font="Wingdings" w:char="F078"/>
      </w:r>
      <w:r>
        <w:rPr>
          <w:noProof/>
        </w:rPr>
        <w:tab/>
        <w:t xml:space="preserve">Finantsmõju avaldub ajavahemikul 2021–2024 </w:t>
      </w:r>
    </w:p>
    <w:p>
      <w:pPr>
        <w:pStyle w:val="Text1"/>
        <w:rPr>
          <w:noProof/>
        </w:rPr>
      </w:pPr>
      <w:r>
        <w:rPr>
          <w:noProof/>
        </w:rPr>
        <w:sym w:font="Wingdings" w:char="F0A8"/>
      </w:r>
      <w:r>
        <w:rPr>
          <w:noProof/>
        </w:rPr>
        <w:t xml:space="preserve"> </w:t>
      </w:r>
      <w:r>
        <w:rPr>
          <w:b/>
          <w:noProof/>
        </w:rPr>
        <w:t>Piiramatu kestusega</w:t>
      </w:r>
      <w:r>
        <w:rPr>
          <w:noProof/>
        </w:rPr>
        <w:t xml:space="preserve"> ettepanek/algatus</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r>
        <w:t>1.7.</w:t>
      </w:r>
      <w:r>
        <w:tab/>
      </w:r>
      <w:r>
        <w:rPr>
          <w:noProof/>
        </w:rPr>
        <w:t>Ettenähtud eelarve täitmise viisid</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noProof/>
        </w:rPr>
        <w:t xml:space="preserve"> </w:t>
      </w:r>
      <w:r>
        <w:rPr>
          <w:b/>
          <w:noProof/>
        </w:rPr>
        <w:t>Eelarve otsene täitmine</w:t>
      </w:r>
      <w:r>
        <w:rPr>
          <w:noProof/>
        </w:rPr>
        <w:t xml:space="preserve"> komisjoni poolt</w:t>
      </w:r>
    </w:p>
    <w:p>
      <w:pPr>
        <w:pStyle w:val="ListDash2"/>
        <w:rPr>
          <w:rFonts w:cs="EUAlbertina"/>
          <w:noProof/>
        </w:rPr>
      </w:pPr>
      <w:r>
        <w:rPr>
          <w:noProof/>
        </w:rPr>
        <w:sym w:font="Wingdings" w:char="F0A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78"/>
      </w:r>
      <w:r>
        <w:rPr>
          <w:noProof/>
        </w:rPr>
        <w:t xml:space="preserve"> </w:t>
      </w:r>
      <w:r>
        <w:rPr>
          <w:b/>
          <w:noProof/>
        </w:rPr>
        <w:t xml:space="preserve">Eelarve jagatud täitmine </w:t>
      </w:r>
      <w:r>
        <w:rPr>
          <w:noProof/>
        </w:rPr>
        <w:t xml:space="preserve">koostöös liikmesriikidega </w:t>
      </w:r>
    </w:p>
    <w:p>
      <w:pPr>
        <w:pStyle w:val="Text1"/>
        <w:rPr>
          <w:noProof/>
        </w:rPr>
      </w:pPr>
      <w:r>
        <w:rPr>
          <w:noProof/>
        </w:rPr>
        <w:sym w:font="Wingdings" w:char="F0A8"/>
      </w:r>
      <w:r>
        <w:rPr>
          <w:noProof/>
        </w:rPr>
        <w:t xml:space="preserve"> </w:t>
      </w:r>
      <w:r>
        <w:rPr>
          <w:b/>
          <w:noProof/>
        </w:rPr>
        <w:t>Eelarve kaudne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 xml:space="preserve"> Euroopa Investeerimispangale (EIP) ja Euroopa Investeerimisfondile (EIF);</w:t>
      </w:r>
    </w:p>
    <w:p>
      <w:pPr>
        <w:pStyle w:val="ListDash2"/>
        <w:rPr>
          <w:noProof/>
        </w:rPr>
      </w:pPr>
      <w:r>
        <w:rPr>
          <w:noProof/>
        </w:rPr>
        <w:sym w:font="Wingdings" w:char="F0A8"/>
      </w:r>
      <w:r>
        <w:rPr>
          <w:noProof/>
        </w:rPr>
        <w:t xml:space="preserve"> finantsmääruse artiklites 208 ja 209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rPr>
          <w:noProof/>
        </w:rPr>
        <w:t>Ei kohaldata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2"/>
        <w:rPr>
          <w:bCs/>
          <w:noProof/>
          <w:szCs w:val="24"/>
        </w:rPr>
      </w:pPr>
      <w:r>
        <w:t>2.2.</w:t>
      </w:r>
      <w:r>
        <w:tab/>
      </w:r>
      <w:r>
        <w:rPr>
          <w:noProof/>
        </w:rPr>
        <w:t xml:space="preserve">Haldus- ja kontrollisüsteem </w:t>
      </w:r>
    </w:p>
    <w:p>
      <w:pPr>
        <w:pStyle w:val="ManualHeading3"/>
        <w:rPr>
          <w:noProof/>
        </w:rPr>
      </w:pPr>
      <w:r>
        <w:t>2.2.1.</w:t>
      </w:r>
      <w:r>
        <w:tab/>
      </w:r>
      <w:r>
        <w:rPr>
          <w:noProof/>
        </w:rPr>
        <w:t xml:space="preserve">Tuvastatud ohud </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3"/>
        <w:rPr>
          <w:noProof/>
        </w:rPr>
      </w:pPr>
      <w:r>
        <w:t>2.2.3.</w:t>
      </w:r>
      <w:r>
        <w:tab/>
      </w:r>
      <w:r>
        <w:rPr>
          <w:noProof/>
        </w:rPr>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546"/>
        <w:gridCol w:w="1080"/>
        <w:gridCol w:w="956"/>
        <w:gridCol w:w="1080"/>
        <w:gridCol w:w="956"/>
        <w:gridCol w:w="1448"/>
      </w:tblGrid>
      <w:tr>
        <w:tc>
          <w:tcPr>
            <w:tcW w:w="1494" w:type="dxa"/>
            <w:vMerge w:val="restart"/>
            <w:vAlign w:val="center"/>
          </w:tcPr>
          <w:p>
            <w:pPr>
              <w:spacing w:before="60" w:after="60"/>
              <w:jc w:val="center"/>
              <w:rPr>
                <w:noProof/>
                <w:sz w:val="22"/>
              </w:rPr>
            </w:pPr>
            <w:r>
              <w:rPr>
                <w:noProof/>
                <w:sz w:val="18"/>
              </w:rPr>
              <w:t>Mitmeaastase finantsraamistiku rubriik</w:t>
            </w:r>
          </w:p>
        </w:tc>
        <w:tc>
          <w:tcPr>
            <w:tcW w:w="3546" w:type="dxa"/>
            <w:vAlign w:val="center"/>
          </w:tcPr>
          <w:p>
            <w:pPr>
              <w:spacing w:before="60" w:after="60"/>
              <w:jc w:val="center"/>
              <w:rPr>
                <w:noProof/>
                <w:sz w:val="22"/>
              </w:rPr>
            </w:pPr>
            <w:r>
              <w:rPr>
                <w:noProof/>
                <w:sz w:val="20"/>
              </w:rPr>
              <w:t>Eelarverida</w:t>
            </w:r>
          </w:p>
        </w:tc>
        <w:tc>
          <w:tcPr>
            <w:tcW w:w="1080" w:type="dxa"/>
            <w:vAlign w:val="center"/>
          </w:tcPr>
          <w:p>
            <w:pPr>
              <w:spacing w:before="60" w:after="60"/>
              <w:jc w:val="center"/>
              <w:rPr>
                <w:noProof/>
                <w:sz w:val="22"/>
              </w:rPr>
            </w:pPr>
            <w:r>
              <w:rPr>
                <w:noProof/>
                <w:sz w:val="18"/>
              </w:rPr>
              <w:t xml:space="preserve">Assigneeringute </w:t>
            </w:r>
            <w:r>
              <w:rPr>
                <w:noProof/>
                <w:sz w:val="22"/>
              </w:rPr>
              <w:br/>
            </w:r>
            <w:r>
              <w:rPr>
                <w:noProof/>
                <w:sz w:val="18"/>
              </w:rPr>
              <w:t>liik</w:t>
            </w:r>
          </w:p>
        </w:tc>
        <w:tc>
          <w:tcPr>
            <w:tcW w:w="4440" w:type="dxa"/>
            <w:gridSpan w:val="4"/>
            <w:vAlign w:val="center"/>
          </w:tcPr>
          <w:p>
            <w:pPr>
              <w:spacing w:before="60" w:after="60"/>
              <w:jc w:val="center"/>
              <w:rPr>
                <w:noProof/>
                <w:sz w:val="22"/>
              </w:rPr>
            </w:pPr>
            <w:r>
              <w:rPr>
                <w:noProof/>
                <w:sz w:val="20"/>
              </w:rPr>
              <w:t xml:space="preserve">Rahaline osalus </w:t>
            </w:r>
          </w:p>
        </w:tc>
      </w:tr>
      <w:tr>
        <w:tc>
          <w:tcPr>
            <w:tcW w:w="1494" w:type="dxa"/>
            <w:vMerge/>
            <w:vAlign w:val="center"/>
          </w:tcPr>
          <w:p>
            <w:pPr>
              <w:jc w:val="center"/>
              <w:rPr>
                <w:noProof/>
                <w:sz w:val="22"/>
              </w:rPr>
            </w:pPr>
          </w:p>
        </w:tc>
        <w:tc>
          <w:tcPr>
            <w:tcW w:w="3546" w:type="dxa"/>
            <w:vAlign w:val="center"/>
          </w:tcPr>
          <w:p>
            <w:pPr>
              <w:rPr>
                <w:noProof/>
                <w:sz w:val="22"/>
              </w:rPr>
            </w:pPr>
            <w:r>
              <w:rPr>
                <w:noProof/>
                <w:sz w:val="20"/>
              </w:rPr>
              <w:t>Nr</w:t>
            </w:r>
          </w:p>
        </w:tc>
        <w:tc>
          <w:tcPr>
            <w:tcW w:w="1080" w:type="dxa"/>
            <w:vAlign w:val="center"/>
          </w:tcPr>
          <w:p>
            <w:pPr>
              <w:jc w:val="center"/>
              <w:rPr>
                <w:noProof/>
                <w:sz w:val="22"/>
              </w:rPr>
            </w:pPr>
            <w:r>
              <w:rPr>
                <w:noProof/>
                <w:sz w:val="18"/>
              </w:rPr>
              <w:t>Liigendatud/liigendamata</w:t>
            </w:r>
            <w:r>
              <w:rPr>
                <w:rStyle w:val="FootnoteReference"/>
                <w:noProof/>
                <w:sz w:val="18"/>
              </w:rPr>
              <w:footnoteReference w:id="10"/>
            </w:r>
          </w:p>
        </w:tc>
        <w:tc>
          <w:tcPr>
            <w:tcW w:w="956" w:type="dxa"/>
            <w:vAlign w:val="center"/>
          </w:tcPr>
          <w:p>
            <w:pPr>
              <w:jc w:val="center"/>
              <w:rPr>
                <w:noProof/>
                <w:sz w:val="22"/>
              </w:rPr>
            </w:pPr>
            <w:r>
              <w:rPr>
                <w:noProof/>
                <w:sz w:val="18"/>
              </w:rPr>
              <w:t>EFTA riigid</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sz w:val="22"/>
              </w:rPr>
            </w:pPr>
            <w:r>
              <w:rPr>
                <w:noProof/>
                <w:sz w:val="18"/>
              </w:rPr>
              <w:t>Kandidaatriigid</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sz w:val="22"/>
              </w:rPr>
            </w:pPr>
            <w:r>
              <w:rPr>
                <w:noProof/>
                <w:sz w:val="16"/>
              </w:rPr>
              <w:t xml:space="preserve">Finantsmääruse artikli 21 lõike 2 punkti b tähenduses </w:t>
            </w:r>
          </w:p>
        </w:tc>
      </w:tr>
      <w:tr>
        <w:tc>
          <w:tcPr>
            <w:tcW w:w="1494" w:type="dxa"/>
            <w:vMerge w:val="restart"/>
            <w:vAlign w:val="center"/>
          </w:tcPr>
          <w:p>
            <w:pPr>
              <w:jc w:val="center"/>
              <w:rPr>
                <w:noProof/>
                <w:sz w:val="22"/>
              </w:rPr>
            </w:pPr>
            <w:r>
              <w:rPr>
                <w:noProof/>
                <w:sz w:val="22"/>
              </w:rPr>
              <w:t xml:space="preserve">1B – </w:t>
            </w:r>
            <w:r>
              <w:rPr>
                <w:noProof/>
                <w:sz w:val="22"/>
              </w:rPr>
              <w:br/>
              <w:t>Majanduslik, sotsiaalne ja territoriaalne ühtekuuluvus</w:t>
            </w:r>
          </w:p>
        </w:tc>
        <w:tc>
          <w:tcPr>
            <w:tcW w:w="3546" w:type="dxa"/>
            <w:vAlign w:val="center"/>
          </w:tcPr>
          <w:p>
            <w:pPr>
              <w:spacing w:before="60"/>
              <w:rPr>
                <w:noProof/>
                <w:sz w:val="22"/>
              </w:rPr>
            </w:pPr>
            <w:r>
              <w:rPr>
                <w:noProof/>
              </w:rPr>
              <w:t>04 02 60 – Euroopa Sotsiaalfond – Vähem arenenud piirkonnad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pPr>
            <w:r>
              <w:rPr>
                <w:noProof/>
              </w:rPr>
              <w:t>04 02 61 – Euroopa Sotsiaalfond – Üleminekupiirkonnad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pPr>
            <w:r>
              <w:rPr>
                <w:noProof/>
              </w:rPr>
              <w:t>04 02 62 – Euroopa Sotsiaalfond – Arenenud piirkonnad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04 02 64 – Noorte tööhõive</w:t>
            </w:r>
          </w:p>
          <w:p>
            <w:pPr>
              <w:spacing w:before="60"/>
            </w:pPr>
            <w:r>
              <w:rPr>
                <w:noProof/>
              </w:rPr>
              <w:t>algatus</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60 – Euroopa</w:t>
            </w:r>
          </w:p>
          <w:p>
            <w:pPr>
              <w:spacing w:before="60"/>
              <w:rPr>
                <w:noProof/>
              </w:rPr>
            </w:pPr>
            <w:r>
              <w:rPr>
                <w:noProof/>
              </w:rPr>
              <w:t>Regionaalarengu Fond – Vähem</w:t>
            </w:r>
          </w:p>
          <w:p>
            <w:pPr>
              <w:spacing w:before="60"/>
            </w:pPr>
            <w:r>
              <w:rPr>
                <w:noProof/>
              </w:rPr>
              <w:t>arenenud piirkonnad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61 – Euroopa</w:t>
            </w:r>
          </w:p>
          <w:p>
            <w:pPr>
              <w:spacing w:before="60"/>
              <w:rPr>
                <w:noProof/>
              </w:rPr>
            </w:pPr>
            <w:r>
              <w:rPr>
                <w:noProof/>
              </w:rPr>
              <w:t>Regionaalarengu Fond –</w:t>
            </w:r>
          </w:p>
          <w:p>
            <w:pPr>
              <w:spacing w:before="60"/>
            </w:pPr>
            <w:r>
              <w:rPr>
                <w:noProof/>
              </w:rPr>
              <w:t>Üleminekupiirkonnad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62 – Euroopa</w:t>
            </w:r>
          </w:p>
          <w:p>
            <w:pPr>
              <w:spacing w:before="60"/>
              <w:rPr>
                <w:noProof/>
              </w:rPr>
            </w:pPr>
            <w:r>
              <w:rPr>
                <w:noProof/>
              </w:rPr>
              <w:t>Regionaalarengu Fond –</w:t>
            </w:r>
          </w:p>
          <w:p>
            <w:pPr>
              <w:spacing w:before="60"/>
            </w:pPr>
            <w:r>
              <w:rPr>
                <w:noProof/>
              </w:rPr>
              <w:t>Arenenud piirkonnad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63 – Euroopa</w:t>
            </w:r>
          </w:p>
          <w:p>
            <w:pPr>
              <w:spacing w:before="60"/>
              <w:rPr>
                <w:noProof/>
              </w:rPr>
            </w:pPr>
            <w:r>
              <w:rPr>
                <w:noProof/>
              </w:rPr>
              <w:t>Regionaalarengu Fond – Lisaassigneeringud</w:t>
            </w:r>
          </w:p>
          <w:p>
            <w:pPr>
              <w:spacing w:before="60"/>
              <w:rPr>
                <w:noProof/>
              </w:rPr>
            </w:pPr>
            <w:r>
              <w:rPr>
                <w:noProof/>
              </w:rPr>
              <w:t>äärepoolseimatele ja</w:t>
            </w:r>
          </w:p>
          <w:p>
            <w:pPr>
              <w:spacing w:before="60"/>
            </w:pPr>
            <w:r>
              <w:rPr>
                <w:noProof/>
              </w:rPr>
              <w:t>hõredalt asustatud piirkondadele</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pPr>
            <w:r>
              <w:rPr>
                <w:noProof/>
              </w:rPr>
              <w:t>13 03 64 01 – Euroopa Regionaalarengu Fond – Euroopa territoriaalne koostöö</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Merge/>
            <w:vAlign w:val="center"/>
          </w:tcPr>
          <w:p>
            <w:pPr>
              <w:jc w:val="center"/>
              <w:rPr>
                <w:noProof/>
                <w:sz w:val="22"/>
              </w:rPr>
            </w:pPr>
          </w:p>
        </w:tc>
        <w:tc>
          <w:tcPr>
            <w:tcW w:w="3546" w:type="dxa"/>
            <w:vAlign w:val="center"/>
          </w:tcPr>
          <w:p>
            <w:pPr>
              <w:spacing w:before="60"/>
            </w:pPr>
            <w:r>
              <w:rPr>
                <w:noProof/>
              </w:rPr>
              <w:t>13 04 60 – Ühtekuuluvusfond</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494" w:type="dxa"/>
            <w:vAlign w:val="center"/>
          </w:tcPr>
          <w:p>
            <w:pPr>
              <w:jc w:val="center"/>
              <w:rPr>
                <w:noProof/>
                <w:sz w:val="22"/>
              </w:rPr>
            </w:pPr>
            <w:r>
              <w:rPr>
                <w:noProof/>
                <w:sz w:val="22"/>
              </w:rPr>
              <w:t>2 – Jätkusuutlik majanduskasv: loodusvarad</w:t>
            </w:r>
          </w:p>
        </w:tc>
        <w:tc>
          <w:tcPr>
            <w:tcW w:w="3546" w:type="dxa"/>
            <w:vAlign w:val="center"/>
          </w:tcPr>
          <w:p>
            <w:pPr>
              <w:spacing w:before="60"/>
              <w:rPr>
                <w:noProof/>
              </w:rPr>
            </w:pPr>
            <w:r>
              <w:rPr>
                <w:noProof/>
              </w:rPr>
              <w:t>11 06 60 – Säästva ning konkurentsivõimelise kalanduse ja</w:t>
            </w:r>
          </w:p>
          <w:p>
            <w:pPr>
              <w:spacing w:before="60"/>
              <w:rPr>
                <w:noProof/>
              </w:rPr>
            </w:pPr>
            <w:r>
              <w:rPr>
                <w:noProof/>
              </w:rPr>
              <w:t>vesiviljeluse edendamine,</w:t>
            </w:r>
          </w:p>
          <w:p>
            <w:pPr>
              <w:spacing w:before="60"/>
              <w:rPr>
                <w:noProof/>
              </w:rPr>
            </w:pPr>
            <w:r>
              <w:rPr>
                <w:noProof/>
              </w:rPr>
              <w:t>kalanduspiirkondade tasakaalustatud ja</w:t>
            </w:r>
          </w:p>
          <w:p>
            <w:pPr>
              <w:spacing w:before="60"/>
              <w:rPr>
                <w:noProof/>
              </w:rPr>
            </w:pPr>
            <w:r>
              <w:rPr>
                <w:noProof/>
              </w:rPr>
              <w:t>kaasava territoriaalse arengu edendamine ning</w:t>
            </w:r>
          </w:p>
          <w:p>
            <w:pPr>
              <w:spacing w:before="60"/>
            </w:pPr>
            <w:r>
              <w:rPr>
                <w:noProof/>
              </w:rPr>
              <w:t>ühise kalanduspoliitika rakendamise kiirendamine</w:t>
            </w:r>
          </w:p>
        </w:tc>
        <w:tc>
          <w:tcPr>
            <w:tcW w:w="1080" w:type="dxa"/>
            <w:vAlign w:val="center"/>
          </w:tcPr>
          <w:p>
            <w:pPr>
              <w:jc w:val="center"/>
              <w:rPr>
                <w:noProo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Uued eelarveread, mille loomist taotletakse: ei kohaldata</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ManualHeading3"/>
        <w:rPr>
          <w:noProof/>
          <w:u w:val="single"/>
        </w:rPr>
      </w:pPr>
      <w:r>
        <w:t>3.2.1.</w:t>
      </w:r>
      <w:r>
        <w:tab/>
      </w:r>
      <w:r>
        <w:rPr>
          <w:noProof/>
        </w:rPr>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Mitmeaastase finantsraamistiku</w:t>
            </w:r>
            <w:r>
              <w:rPr>
                <w:noProof/>
              </w:rPr>
              <w:br/>
              <w:t xml:space="preserve"> </w:t>
            </w:r>
            <w:r>
              <w:rPr>
                <w:b/>
                <w:noProof/>
                <w:sz w:val="22"/>
              </w:rPr>
              <w:t>rubriik</w:t>
            </w:r>
            <w:r>
              <w:rPr>
                <w:noProof/>
              </w:rPr>
              <w:t xml:space="preserve"> </w:t>
            </w:r>
          </w:p>
        </w:tc>
        <w:tc>
          <w:tcPr>
            <w:tcW w:w="1080" w:type="dxa"/>
            <w:vAlign w:val="center"/>
          </w:tcPr>
          <w:p>
            <w:pPr>
              <w:spacing w:before="60" w:after="60"/>
              <w:jc w:val="center"/>
              <w:rPr>
                <w:noProof/>
                <w:sz w:val="22"/>
              </w:rPr>
            </w:pPr>
            <w:r>
              <w:rPr>
                <w:noProof/>
                <w:sz w:val="22"/>
              </w:rPr>
              <w:t>1B</w:t>
            </w:r>
          </w:p>
        </w:tc>
        <w:tc>
          <w:tcPr>
            <w:tcW w:w="7817" w:type="dxa"/>
            <w:vAlign w:val="center"/>
          </w:tcPr>
          <w:p>
            <w:pPr>
              <w:spacing w:before="60" w:after="60"/>
              <w:rPr>
                <w:b/>
                <w:noProof/>
                <w:sz w:val="22"/>
              </w:rPr>
            </w:pPr>
            <w:r>
              <w:rPr>
                <w:noProof/>
              </w:rPr>
              <w:t>Majanduslik, sotsiaalne ja territoriaalne ühtekuuluvus</w:t>
            </w:r>
          </w:p>
        </w:tc>
      </w:tr>
    </w:tbl>
    <w:p>
      <w:pPr>
        <w:rPr>
          <w:noProof/>
          <w:sz w:val="16"/>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Tööhõive, sotsiaalküsimuste ja sotsiaalse kaasatuse peadirektoraat</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Aasta</w:t>
            </w:r>
            <w:r>
              <w:rPr>
                <w:noProof/>
                <w:sz w:val="22"/>
              </w:rPr>
              <w:br/>
            </w:r>
            <w:r>
              <w:rPr>
                <w:b/>
                <w:noProof/>
                <w:sz w:val="20"/>
              </w:rPr>
              <w:t>2021</w:t>
            </w:r>
          </w:p>
        </w:tc>
        <w:tc>
          <w:tcPr>
            <w:tcW w:w="1418" w:type="dxa"/>
            <w:vAlign w:val="center"/>
          </w:tcPr>
          <w:p>
            <w:pPr>
              <w:jc w:val="center"/>
              <w:rPr>
                <w:noProof/>
                <w:sz w:val="20"/>
              </w:rPr>
            </w:pPr>
            <w:r>
              <w:rPr>
                <w:noProof/>
                <w:sz w:val="20"/>
              </w:rPr>
              <w:t>Aasta</w:t>
            </w:r>
            <w:r>
              <w:rPr>
                <w:noProof/>
                <w:sz w:val="22"/>
              </w:rPr>
              <w:br/>
            </w:r>
            <w:r>
              <w:rPr>
                <w:b/>
                <w:noProof/>
                <w:sz w:val="20"/>
              </w:rPr>
              <w:t>2022</w:t>
            </w:r>
          </w:p>
        </w:tc>
        <w:tc>
          <w:tcPr>
            <w:tcW w:w="1559" w:type="dxa"/>
            <w:vAlign w:val="center"/>
          </w:tcPr>
          <w:p>
            <w:pPr>
              <w:jc w:val="center"/>
              <w:rPr>
                <w:noProof/>
                <w:sz w:val="20"/>
              </w:rPr>
            </w:pPr>
            <w:r>
              <w:rPr>
                <w:noProof/>
                <w:sz w:val="20"/>
              </w:rPr>
              <w:t>Aasta</w:t>
            </w:r>
            <w:r>
              <w:rPr>
                <w:noProof/>
                <w:sz w:val="22"/>
              </w:rPr>
              <w:br/>
            </w:r>
            <w:r>
              <w:rPr>
                <w:b/>
                <w:noProof/>
                <w:sz w:val="20"/>
              </w:rPr>
              <w:t>2023</w:t>
            </w:r>
          </w:p>
        </w:tc>
        <w:tc>
          <w:tcPr>
            <w:tcW w:w="1985" w:type="dxa"/>
            <w:vAlign w:val="center"/>
          </w:tcPr>
          <w:p>
            <w:pPr>
              <w:jc w:val="center"/>
              <w:rPr>
                <w:noProof/>
                <w:sz w:val="20"/>
              </w:rPr>
            </w:pPr>
            <w:r>
              <w:rPr>
                <w:noProof/>
                <w:sz w:val="20"/>
              </w:rPr>
              <w:t>Aasta</w:t>
            </w:r>
            <w:r>
              <w:rPr>
                <w:noProof/>
                <w:sz w:val="22"/>
              </w:rPr>
              <w:br/>
            </w:r>
            <w:r>
              <w:rPr>
                <w:b/>
                <w:noProof/>
                <w:sz w:val="20"/>
              </w:rPr>
              <w:t>2024</w:t>
            </w:r>
          </w:p>
        </w:tc>
        <w:tc>
          <w:tcPr>
            <w:tcW w:w="141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vAlign w:val="center"/>
          </w:tcPr>
          <w:p>
            <w:pPr>
              <w:rPr>
                <w:noProof/>
                <w:sz w:val="22"/>
              </w:rPr>
            </w:pPr>
            <w:r>
              <w:rPr>
                <w:noProof/>
                <w:sz w:val="20"/>
              </w:rPr>
              <w:t>04 02 60</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-1 013,958</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1 013,958</w:t>
            </w:r>
          </w:p>
        </w:tc>
        <w:tc>
          <w:tcPr>
            <w:tcW w:w="1417" w:type="dxa"/>
          </w:tcPr>
          <w:p>
            <w:pPr>
              <w:rPr>
                <w:noProof/>
              </w:rPr>
            </w:pPr>
            <w:r>
              <w:rPr>
                <w:noProof/>
              </w:rPr>
              <w:t>0,000</w:t>
            </w:r>
          </w:p>
        </w:tc>
      </w:tr>
      <w:tr>
        <w:tc>
          <w:tcPr>
            <w:tcW w:w="3960" w:type="dxa"/>
            <w:vAlign w:val="center"/>
          </w:tcPr>
          <w:p>
            <w:pPr>
              <w:rPr>
                <w:noProof/>
                <w:sz w:val="20"/>
              </w:rPr>
            </w:pPr>
            <w:r>
              <w:rPr>
                <w:noProof/>
                <w:sz w:val="20"/>
              </w:rPr>
              <w:t>04 02 61</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(2)</w:t>
            </w:r>
          </w:p>
        </w:tc>
        <w:tc>
          <w:tcPr>
            <w:tcW w:w="1677" w:type="dxa"/>
          </w:tcPr>
          <w:p>
            <w:pPr>
              <w:rPr>
                <w:noProof/>
              </w:rPr>
            </w:pPr>
            <w:r>
              <w:rPr>
                <w:noProof/>
              </w:rPr>
              <w:t>-249,832</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249,832</w:t>
            </w:r>
          </w:p>
        </w:tc>
        <w:tc>
          <w:tcPr>
            <w:tcW w:w="1417" w:type="dxa"/>
          </w:tcPr>
          <w:p>
            <w:pPr>
              <w:rPr>
                <w:noProof/>
              </w:rPr>
            </w:pPr>
            <w:r>
              <w:rPr>
                <w:noProof/>
              </w:rPr>
              <w:t>0,000</w:t>
            </w:r>
          </w:p>
        </w:tc>
      </w:tr>
      <w:tr>
        <w:tc>
          <w:tcPr>
            <w:tcW w:w="3960" w:type="dxa"/>
            <w:vAlign w:val="center"/>
          </w:tcPr>
          <w:p>
            <w:pPr>
              <w:rPr>
                <w:noProof/>
                <w:sz w:val="20"/>
              </w:rPr>
            </w:pPr>
            <w:r>
              <w:rPr>
                <w:noProof/>
                <w:sz w:val="20"/>
              </w:rPr>
              <w:t>04 02 62</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(3)</w:t>
            </w:r>
          </w:p>
        </w:tc>
        <w:tc>
          <w:tcPr>
            <w:tcW w:w="1677" w:type="dxa"/>
          </w:tcPr>
          <w:p>
            <w:pPr>
              <w:rPr>
                <w:noProof/>
              </w:rPr>
            </w:pPr>
            <w:r>
              <w:rPr>
                <w:noProof/>
              </w:rPr>
              <w:t>-504,477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504,477</w:t>
            </w:r>
          </w:p>
        </w:tc>
        <w:tc>
          <w:tcPr>
            <w:tcW w:w="1417" w:type="dxa"/>
          </w:tcPr>
          <w:p>
            <w:pPr>
              <w:rPr>
                <w:noProof/>
              </w:rPr>
            </w:pPr>
            <w:r>
              <w:rPr>
                <w:noProof/>
              </w:rPr>
              <w:t>0,000</w:t>
            </w:r>
          </w:p>
        </w:tc>
      </w:tr>
      <w:tr>
        <w:tc>
          <w:tcPr>
            <w:tcW w:w="3960" w:type="dxa"/>
            <w:vAlign w:val="center"/>
          </w:tcPr>
          <w:p>
            <w:pPr>
              <w:rPr>
                <w:noProof/>
                <w:sz w:val="22"/>
              </w:rPr>
            </w:pPr>
            <w:r>
              <w:rPr>
                <w:noProof/>
                <w:sz w:val="20"/>
              </w:rPr>
              <w:t>04 02 64</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(4)</w:t>
            </w:r>
          </w:p>
        </w:tc>
        <w:tc>
          <w:tcPr>
            <w:tcW w:w="1677" w:type="dxa"/>
          </w:tcPr>
          <w:p>
            <w:pPr>
              <w:rPr>
                <w:noProof/>
              </w:rPr>
            </w:pPr>
            <w:r>
              <w:rPr>
                <w:noProof/>
              </w:rPr>
              <w:t>-88,224</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88,224</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13"/>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Ei kohaldata</w:t>
            </w:r>
          </w:p>
        </w:tc>
        <w:tc>
          <w:tcPr>
            <w:tcW w:w="1418" w:type="dxa"/>
            <w:vAlign w:val="center"/>
          </w:tcPr>
          <w:p>
            <w:pPr>
              <w:rPr>
                <w:b/>
                <w:noProof/>
                <w:sz w:val="20"/>
              </w:rPr>
            </w:pPr>
            <w:r>
              <w:rPr>
                <w:b/>
                <w:noProof/>
                <w:sz w:val="20"/>
              </w:rPr>
              <w:t>Ei kohaldata</w:t>
            </w:r>
          </w:p>
        </w:tc>
        <w:tc>
          <w:tcPr>
            <w:tcW w:w="1559" w:type="dxa"/>
            <w:vAlign w:val="center"/>
          </w:tcPr>
          <w:p>
            <w:pPr>
              <w:rPr>
                <w:b/>
                <w:noProof/>
                <w:sz w:val="20"/>
              </w:rPr>
            </w:pPr>
            <w:r>
              <w:rPr>
                <w:b/>
                <w:noProof/>
                <w:sz w:val="20"/>
              </w:rPr>
              <w:t>Ei kohaldata</w:t>
            </w:r>
          </w:p>
        </w:tc>
        <w:tc>
          <w:tcPr>
            <w:tcW w:w="1985" w:type="dxa"/>
            <w:vAlign w:val="center"/>
          </w:tcPr>
          <w:p>
            <w:pPr>
              <w:rPr>
                <w:b/>
                <w:noProof/>
                <w:sz w:val="20"/>
              </w:rPr>
            </w:pPr>
            <w:r>
              <w:rPr>
                <w:b/>
                <w:noProof/>
                <w:sz w:val="20"/>
              </w:rPr>
              <w:t>Ei kohaldata</w:t>
            </w:r>
          </w:p>
        </w:tc>
        <w:tc>
          <w:tcPr>
            <w:tcW w:w="1417" w:type="dxa"/>
            <w:vAlign w:val="center"/>
          </w:tcPr>
          <w:p>
            <w:pPr>
              <w:rPr>
                <w:b/>
                <w:noProof/>
                <w:sz w:val="20"/>
              </w:rPr>
            </w:pPr>
            <w:r>
              <w:rPr>
                <w:b/>
                <w:noProof/>
                <w:sz w:val="20"/>
              </w:rPr>
              <w:t>Ei kohaldata</w:t>
            </w:r>
          </w:p>
        </w:tc>
      </w:tr>
      <w:tr>
        <w:tc>
          <w:tcPr>
            <w:tcW w:w="3960" w:type="dxa"/>
            <w:vAlign w:val="center"/>
          </w:tcPr>
          <w:p>
            <w:pPr>
              <w:jc w:val="center"/>
              <w:rPr>
                <w:b/>
                <w:noProof/>
                <w:sz w:val="22"/>
              </w:rPr>
            </w:pPr>
            <w:r>
              <w:rPr>
                <w:b/>
                <w:noProof/>
                <w:sz w:val="22"/>
              </w:rPr>
              <w:t>Tööhõive, sotsiaalküsimuste ja sotsiaalse kaasatuse peadirektoraadi</w:t>
            </w:r>
            <w:r>
              <w:rPr>
                <w:noProof/>
              </w:rPr>
              <w:br/>
            </w:r>
            <w:r>
              <w:rPr>
                <w:b/>
                <w:noProof/>
                <w:sz w:val="22"/>
              </w:rPr>
              <w:t>assigneeringud KOKKU</w:t>
            </w:r>
          </w:p>
        </w:tc>
        <w:tc>
          <w:tcPr>
            <w:tcW w:w="1440" w:type="dxa"/>
            <w:gridSpan w:val="2"/>
            <w:vAlign w:val="center"/>
          </w:tcPr>
          <w:p>
            <w:pPr>
              <w:rPr>
                <w:noProof/>
                <w:sz w:val="18"/>
              </w:rPr>
            </w:pPr>
            <w:r>
              <w:rPr>
                <w:noProof/>
                <w:sz w:val="18"/>
              </w:rPr>
              <w:t>Maksed</w:t>
            </w:r>
          </w:p>
        </w:tc>
        <w:tc>
          <w:tcPr>
            <w:tcW w:w="654" w:type="dxa"/>
            <w:vAlign w:val="center"/>
          </w:tcPr>
          <w:p>
            <w:pPr>
              <w:jc w:val="center"/>
              <w:rPr>
                <w:noProof/>
                <w:sz w:val="14"/>
              </w:rPr>
            </w:pPr>
          </w:p>
        </w:tc>
        <w:tc>
          <w:tcPr>
            <w:tcW w:w="1677" w:type="dxa"/>
          </w:tcPr>
          <w:p>
            <w:pPr>
              <w:rPr>
                <w:noProof/>
              </w:rPr>
            </w:pPr>
            <w:r>
              <w:rPr>
                <w:noProof/>
              </w:rPr>
              <w:t>-1 856,491</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1 856,491</w:t>
            </w:r>
          </w:p>
        </w:tc>
        <w:tc>
          <w:tcPr>
            <w:tcW w:w="1417" w:type="dxa"/>
          </w:tcPr>
          <w:p>
            <w:pPr>
              <w:rPr>
                <w:noProof/>
              </w:rPr>
            </w:pPr>
            <w:r>
              <w:rPr>
                <w:noProof/>
              </w:rPr>
              <w:t>0,000</w:t>
            </w:r>
          </w:p>
        </w:tc>
      </w:tr>
    </w:tbl>
    <w:p>
      <w:pPr>
        <w:rPr>
          <w:noProof/>
        </w:rPr>
      </w:pPr>
      <w:r>
        <w:rPr>
          <w:noProof/>
        </w:rPr>
        <w:br/>
      </w: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Regionaal- ja linnapoliitika peadirektoraat</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Aasta</w:t>
            </w:r>
            <w:r>
              <w:rPr>
                <w:noProof/>
                <w:sz w:val="22"/>
              </w:rPr>
              <w:br/>
            </w:r>
            <w:r>
              <w:rPr>
                <w:b/>
                <w:noProof/>
                <w:sz w:val="20"/>
              </w:rPr>
              <w:t>2021</w:t>
            </w:r>
          </w:p>
        </w:tc>
        <w:tc>
          <w:tcPr>
            <w:tcW w:w="1418" w:type="dxa"/>
            <w:vAlign w:val="center"/>
          </w:tcPr>
          <w:p>
            <w:pPr>
              <w:jc w:val="center"/>
              <w:rPr>
                <w:noProof/>
                <w:sz w:val="20"/>
              </w:rPr>
            </w:pPr>
            <w:r>
              <w:rPr>
                <w:noProof/>
                <w:sz w:val="20"/>
              </w:rPr>
              <w:t>Aasta</w:t>
            </w:r>
            <w:r>
              <w:rPr>
                <w:noProof/>
                <w:sz w:val="22"/>
              </w:rPr>
              <w:br/>
            </w:r>
            <w:r>
              <w:rPr>
                <w:b/>
                <w:noProof/>
                <w:sz w:val="20"/>
              </w:rPr>
              <w:t>2022</w:t>
            </w:r>
          </w:p>
        </w:tc>
        <w:tc>
          <w:tcPr>
            <w:tcW w:w="1559" w:type="dxa"/>
            <w:vAlign w:val="center"/>
          </w:tcPr>
          <w:p>
            <w:pPr>
              <w:jc w:val="center"/>
              <w:rPr>
                <w:noProof/>
                <w:sz w:val="20"/>
              </w:rPr>
            </w:pPr>
            <w:r>
              <w:rPr>
                <w:noProof/>
                <w:sz w:val="20"/>
              </w:rPr>
              <w:t>Aasta</w:t>
            </w:r>
            <w:r>
              <w:rPr>
                <w:noProof/>
                <w:sz w:val="22"/>
              </w:rPr>
              <w:br/>
            </w:r>
            <w:r>
              <w:rPr>
                <w:b/>
                <w:noProof/>
                <w:sz w:val="20"/>
              </w:rPr>
              <w:t>2023</w:t>
            </w:r>
          </w:p>
        </w:tc>
        <w:tc>
          <w:tcPr>
            <w:tcW w:w="1985" w:type="dxa"/>
            <w:vAlign w:val="center"/>
          </w:tcPr>
          <w:p>
            <w:pPr>
              <w:jc w:val="center"/>
              <w:rPr>
                <w:noProof/>
                <w:sz w:val="20"/>
              </w:rPr>
            </w:pPr>
            <w:r>
              <w:rPr>
                <w:noProof/>
                <w:sz w:val="20"/>
              </w:rPr>
              <w:t>Aasta</w:t>
            </w:r>
            <w:r>
              <w:rPr>
                <w:noProof/>
                <w:sz w:val="22"/>
              </w:rPr>
              <w:br/>
            </w:r>
            <w:r>
              <w:rPr>
                <w:b/>
                <w:noProof/>
                <w:sz w:val="20"/>
              </w:rPr>
              <w:t>2024</w:t>
            </w:r>
          </w:p>
        </w:tc>
        <w:tc>
          <w:tcPr>
            <w:tcW w:w="141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tcPr>
          <w:p>
            <w:pPr>
              <w:rPr>
                <w:noProof/>
              </w:rPr>
            </w:pPr>
            <w:r>
              <w:rPr>
                <w:noProof/>
              </w:rPr>
              <w:t>13 03 60</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-2 608,675</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2 608,675</w:t>
            </w:r>
          </w:p>
        </w:tc>
        <w:tc>
          <w:tcPr>
            <w:tcW w:w="1417" w:type="dxa"/>
          </w:tcPr>
          <w:p>
            <w:pPr>
              <w:rPr>
                <w:noProof/>
              </w:rPr>
            </w:pPr>
            <w:r>
              <w:rPr>
                <w:noProof/>
              </w:rPr>
              <w:t>0,000</w:t>
            </w:r>
          </w:p>
        </w:tc>
      </w:tr>
      <w:tr>
        <w:tc>
          <w:tcPr>
            <w:tcW w:w="3960" w:type="dxa"/>
          </w:tcPr>
          <w:p>
            <w:pPr>
              <w:rPr>
                <w:noProof/>
              </w:rPr>
            </w:pPr>
            <w:r>
              <w:rPr>
                <w:noProof/>
              </w:rPr>
              <w:t>13 03 61</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(2)</w:t>
            </w:r>
          </w:p>
        </w:tc>
        <w:tc>
          <w:tcPr>
            <w:tcW w:w="1677" w:type="dxa"/>
          </w:tcPr>
          <w:p>
            <w:pPr>
              <w:rPr>
                <w:noProof/>
              </w:rPr>
            </w:pPr>
            <w:r>
              <w:rPr>
                <w:noProof/>
              </w:rPr>
              <w:t>-509,195</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509,195</w:t>
            </w:r>
          </w:p>
        </w:tc>
        <w:tc>
          <w:tcPr>
            <w:tcW w:w="1417" w:type="dxa"/>
          </w:tcPr>
          <w:p>
            <w:pPr>
              <w:rPr>
                <w:noProof/>
              </w:rPr>
            </w:pPr>
            <w:r>
              <w:rPr>
                <w:noProof/>
              </w:rPr>
              <w:t>0,000</w:t>
            </w:r>
          </w:p>
        </w:tc>
      </w:tr>
      <w:tr>
        <w:tc>
          <w:tcPr>
            <w:tcW w:w="3960" w:type="dxa"/>
          </w:tcPr>
          <w:p>
            <w:pPr>
              <w:rPr>
                <w:noProof/>
              </w:rPr>
            </w:pPr>
            <w:r>
              <w:rPr>
                <w:noProof/>
              </w:rPr>
              <w:t>13 03 62</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(3)</w:t>
            </w:r>
          </w:p>
        </w:tc>
        <w:tc>
          <w:tcPr>
            <w:tcW w:w="1677" w:type="dxa"/>
          </w:tcPr>
          <w:p>
            <w:pPr>
              <w:rPr>
                <w:noProof/>
              </w:rPr>
            </w:pPr>
            <w:r>
              <w:rPr>
                <w:noProof/>
              </w:rPr>
              <w:t>-647,801</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647,801</w:t>
            </w:r>
          </w:p>
        </w:tc>
        <w:tc>
          <w:tcPr>
            <w:tcW w:w="1417" w:type="dxa"/>
          </w:tcPr>
          <w:p>
            <w:pPr>
              <w:rPr>
                <w:noProof/>
              </w:rPr>
            </w:pPr>
            <w:r>
              <w:rPr>
                <w:noProof/>
              </w:rPr>
              <w:t>0,000</w:t>
            </w:r>
          </w:p>
        </w:tc>
      </w:tr>
      <w:tr>
        <w:tc>
          <w:tcPr>
            <w:tcW w:w="3960" w:type="dxa"/>
          </w:tcPr>
          <w:p>
            <w:pPr>
              <w:rPr>
                <w:noProof/>
              </w:rPr>
            </w:pPr>
            <w:r>
              <w:rPr>
                <w:noProof/>
              </w:rPr>
              <w:t>13 03 63</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(4)</w:t>
            </w:r>
          </w:p>
        </w:tc>
        <w:tc>
          <w:tcPr>
            <w:tcW w:w="1677" w:type="dxa"/>
          </w:tcPr>
          <w:p>
            <w:pPr>
              <w:rPr>
                <w:noProof/>
              </w:rPr>
            </w:pPr>
            <w:r>
              <w:rPr>
                <w:noProof/>
              </w:rPr>
              <w:t>-31,108</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31,108</w:t>
            </w:r>
          </w:p>
        </w:tc>
        <w:tc>
          <w:tcPr>
            <w:tcW w:w="1417" w:type="dxa"/>
          </w:tcPr>
          <w:p>
            <w:pPr>
              <w:rPr>
                <w:noProof/>
              </w:rPr>
            </w:pPr>
            <w:r>
              <w:rPr>
                <w:noProof/>
              </w:rPr>
              <w:t>0,000</w:t>
            </w:r>
          </w:p>
        </w:tc>
      </w:tr>
      <w:tr>
        <w:tc>
          <w:tcPr>
            <w:tcW w:w="3960" w:type="dxa"/>
          </w:tcPr>
          <w:p>
            <w:pPr>
              <w:rPr>
                <w:noProof/>
              </w:rPr>
            </w:pPr>
            <w:r>
              <w:rPr>
                <w:noProof/>
              </w:rPr>
              <w:t>13 03 64 01</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(5)</w:t>
            </w:r>
          </w:p>
        </w:tc>
        <w:tc>
          <w:tcPr>
            <w:tcW w:w="1677" w:type="dxa"/>
          </w:tcPr>
          <w:p>
            <w:pPr>
              <w:rPr>
                <w:noProof/>
              </w:rPr>
            </w:pPr>
            <w:r>
              <w:rPr>
                <w:noProof/>
              </w:rPr>
              <w:t>-186,707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186,707</w:t>
            </w:r>
          </w:p>
        </w:tc>
        <w:tc>
          <w:tcPr>
            <w:tcW w:w="1417" w:type="dxa"/>
          </w:tcPr>
          <w:p>
            <w:pPr>
              <w:rPr>
                <w:noProof/>
              </w:rPr>
            </w:pPr>
            <w:r>
              <w:rPr>
                <w:noProof/>
              </w:rPr>
              <w:t>0,000</w:t>
            </w:r>
          </w:p>
        </w:tc>
      </w:tr>
      <w:tr>
        <w:tc>
          <w:tcPr>
            <w:tcW w:w="3960" w:type="dxa"/>
          </w:tcPr>
          <w:p>
            <w:pPr>
              <w:rPr>
                <w:noProof/>
              </w:rPr>
            </w:pPr>
            <w:r>
              <w:rPr>
                <w:noProof/>
              </w:rPr>
              <w:t>13 04 60</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(6)</w:t>
            </w:r>
          </w:p>
        </w:tc>
        <w:tc>
          <w:tcPr>
            <w:tcW w:w="1677" w:type="dxa"/>
          </w:tcPr>
          <w:p>
            <w:pPr>
              <w:rPr>
                <w:noProof/>
              </w:rPr>
            </w:pPr>
            <w:r>
              <w:rPr>
                <w:noProof/>
              </w:rPr>
              <w:t>-1 265,652</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1 265,652</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14"/>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Ei kohaldata</w:t>
            </w:r>
          </w:p>
        </w:tc>
        <w:tc>
          <w:tcPr>
            <w:tcW w:w="1418" w:type="dxa"/>
            <w:vAlign w:val="center"/>
          </w:tcPr>
          <w:p>
            <w:pPr>
              <w:rPr>
                <w:b/>
                <w:noProof/>
                <w:sz w:val="20"/>
              </w:rPr>
            </w:pPr>
            <w:r>
              <w:rPr>
                <w:b/>
                <w:noProof/>
                <w:sz w:val="20"/>
              </w:rPr>
              <w:t>Ei kohaldata</w:t>
            </w:r>
          </w:p>
        </w:tc>
        <w:tc>
          <w:tcPr>
            <w:tcW w:w="1559" w:type="dxa"/>
            <w:vAlign w:val="center"/>
          </w:tcPr>
          <w:p>
            <w:pPr>
              <w:rPr>
                <w:b/>
                <w:noProof/>
                <w:sz w:val="20"/>
              </w:rPr>
            </w:pPr>
            <w:r>
              <w:rPr>
                <w:b/>
                <w:noProof/>
                <w:sz w:val="20"/>
              </w:rPr>
              <w:t>Ei kohaldata</w:t>
            </w:r>
          </w:p>
        </w:tc>
        <w:tc>
          <w:tcPr>
            <w:tcW w:w="1985" w:type="dxa"/>
            <w:vAlign w:val="center"/>
          </w:tcPr>
          <w:p>
            <w:pPr>
              <w:rPr>
                <w:b/>
                <w:noProof/>
                <w:sz w:val="20"/>
              </w:rPr>
            </w:pPr>
            <w:r>
              <w:rPr>
                <w:b/>
                <w:noProof/>
                <w:sz w:val="20"/>
              </w:rPr>
              <w:t>Ei kohaldata</w:t>
            </w:r>
          </w:p>
        </w:tc>
        <w:tc>
          <w:tcPr>
            <w:tcW w:w="1417" w:type="dxa"/>
            <w:vAlign w:val="center"/>
          </w:tcPr>
          <w:p>
            <w:pPr>
              <w:rPr>
                <w:b/>
                <w:noProof/>
                <w:sz w:val="20"/>
              </w:rPr>
            </w:pPr>
            <w:r>
              <w:rPr>
                <w:b/>
                <w:noProof/>
                <w:sz w:val="20"/>
              </w:rPr>
              <w:t>Ei kohaldata</w:t>
            </w:r>
          </w:p>
        </w:tc>
      </w:tr>
      <w:tr>
        <w:tc>
          <w:tcPr>
            <w:tcW w:w="3960" w:type="dxa"/>
            <w:vAlign w:val="center"/>
          </w:tcPr>
          <w:p>
            <w:pPr>
              <w:jc w:val="center"/>
              <w:rPr>
                <w:b/>
                <w:noProof/>
                <w:sz w:val="22"/>
              </w:rPr>
            </w:pPr>
            <w:r>
              <w:rPr>
                <w:b/>
                <w:noProof/>
                <w:sz w:val="22"/>
              </w:rPr>
              <w:t>Regionaal- ja linnapoliitika peadirektoraadi assigneeringud</w:t>
            </w:r>
            <w:r>
              <w:rPr>
                <w:noProof/>
              </w:rPr>
              <w:br/>
            </w:r>
            <w:r>
              <w:rPr>
                <w:b/>
                <w:noProof/>
                <w:sz w:val="22"/>
              </w:rPr>
              <w:t>KOKKU</w:t>
            </w:r>
          </w:p>
        </w:tc>
        <w:tc>
          <w:tcPr>
            <w:tcW w:w="1440" w:type="dxa"/>
            <w:gridSpan w:val="2"/>
            <w:vAlign w:val="center"/>
          </w:tcPr>
          <w:p>
            <w:pPr>
              <w:rPr>
                <w:noProof/>
                <w:sz w:val="18"/>
              </w:rPr>
            </w:pPr>
            <w:r>
              <w:rPr>
                <w:noProof/>
                <w:sz w:val="18"/>
              </w:rPr>
              <w:t>Maksed</w:t>
            </w:r>
          </w:p>
        </w:tc>
        <w:tc>
          <w:tcPr>
            <w:tcW w:w="654" w:type="dxa"/>
            <w:vAlign w:val="center"/>
          </w:tcPr>
          <w:p>
            <w:pPr>
              <w:jc w:val="center"/>
              <w:rPr>
                <w:noProof/>
                <w:sz w:val="14"/>
              </w:rPr>
            </w:pPr>
          </w:p>
        </w:tc>
        <w:tc>
          <w:tcPr>
            <w:tcW w:w="1677" w:type="dxa"/>
          </w:tcPr>
          <w:p>
            <w:pPr>
              <w:rPr>
                <w:noProof/>
              </w:rPr>
            </w:pPr>
            <w:r>
              <w:rPr>
                <w:noProof/>
              </w:rPr>
              <w:t>-5 249,139</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5 249,139</w:t>
            </w:r>
          </w:p>
        </w:tc>
        <w:tc>
          <w:tcPr>
            <w:tcW w:w="1417" w:type="dxa"/>
          </w:tcPr>
          <w:p>
            <w:pPr>
              <w:rPr>
                <w:noProof/>
              </w:rPr>
            </w:pPr>
            <w:r>
              <w:rPr>
                <w:noProof/>
              </w:rPr>
              <w:t>0,000</w:t>
            </w:r>
          </w:p>
        </w:tc>
      </w:tr>
    </w:tbl>
    <w:p>
      <w:pPr>
        <w:rPr>
          <w:noProof/>
        </w:rPr>
      </w:pPr>
    </w:p>
    <w:p>
      <w:pPr>
        <w:rPr>
          <w:noProof/>
        </w:rPr>
      </w:pPr>
    </w:p>
    <w:p>
      <w:pPr>
        <w:rPr>
          <w:noProof/>
        </w:rPr>
      </w:pPr>
    </w:p>
    <w:p>
      <w:pPr>
        <w:rPr>
          <w:noProof/>
        </w:rPr>
      </w:pP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77"/>
        <w:gridCol w:w="1276"/>
        <w:gridCol w:w="1843"/>
        <w:gridCol w:w="1843"/>
        <w:gridCol w:w="1417"/>
      </w:tblGrid>
      <w:tr>
        <w:trPr>
          <w:trHeight w:val="277"/>
        </w:trPr>
        <w:tc>
          <w:tcPr>
            <w:tcW w:w="3960" w:type="dxa"/>
            <w:vAlign w:val="center"/>
          </w:tcPr>
          <w:p>
            <w:pPr>
              <w:spacing w:before="20" w:after="20"/>
              <w:rPr>
                <w:noProof/>
                <w:sz w:val="22"/>
              </w:rPr>
            </w:pPr>
            <w:r>
              <w:rPr>
                <w:noProof/>
              </w:rPr>
              <w:br w:type="page"/>
            </w:r>
            <w:r>
              <w:rPr>
                <w:noProof/>
                <w:sz w:val="21"/>
              </w:rPr>
              <w:sym w:font="Wingdings" w:char="F09F"/>
            </w:r>
            <w:r>
              <w:rPr>
                <w:noProof/>
                <w:sz w:val="21"/>
              </w:rPr>
              <w:t xml:space="preserve"> Tegevusassigneeringud KOKKU</w:t>
            </w: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p>
        </w:tc>
        <w:tc>
          <w:tcPr>
            <w:tcW w:w="1677" w:type="dxa"/>
          </w:tcPr>
          <w:p>
            <w:pPr>
              <w:rPr>
                <w:noProof/>
              </w:rPr>
            </w:pPr>
            <w:r>
              <w:rPr>
                <w:noProof/>
              </w:rPr>
              <w:t>-7 105,630</w:t>
            </w:r>
          </w:p>
        </w:tc>
        <w:tc>
          <w:tcPr>
            <w:tcW w:w="1276" w:type="dxa"/>
          </w:tcPr>
          <w:p>
            <w:pPr>
              <w:rPr>
                <w:noProof/>
              </w:rPr>
            </w:pPr>
            <w:r>
              <w:rPr>
                <w:noProof/>
              </w:rPr>
              <w:t>0,000</w:t>
            </w:r>
          </w:p>
        </w:tc>
        <w:tc>
          <w:tcPr>
            <w:tcW w:w="1843" w:type="dxa"/>
          </w:tcPr>
          <w:p>
            <w:pPr>
              <w:rPr>
                <w:noProof/>
              </w:rPr>
            </w:pPr>
            <w:r>
              <w:rPr>
                <w:noProof/>
              </w:rPr>
              <w:t>0,000</w:t>
            </w:r>
          </w:p>
        </w:tc>
        <w:tc>
          <w:tcPr>
            <w:tcW w:w="1843" w:type="dxa"/>
          </w:tcPr>
          <w:p>
            <w:pPr>
              <w:rPr>
                <w:noProof/>
              </w:rPr>
            </w:pPr>
            <w:r>
              <w:rPr>
                <w:noProof/>
              </w:rPr>
              <w:t>7 105,630</w:t>
            </w:r>
          </w:p>
        </w:tc>
        <w:tc>
          <w:tcPr>
            <w:tcW w:w="1417" w:type="dxa"/>
          </w:tcPr>
          <w:p>
            <w:pPr>
              <w:rPr>
                <w:noProof/>
              </w:rPr>
            </w:pPr>
            <w:r>
              <w:rPr>
                <w:noProof/>
              </w:rPr>
              <w:t>0,000</w:t>
            </w:r>
          </w:p>
        </w:tc>
      </w:tr>
      <w:tr>
        <w:trPr>
          <w:trHeight w:val="533"/>
        </w:trPr>
        <w:tc>
          <w:tcPr>
            <w:tcW w:w="6054" w:type="dxa"/>
            <w:gridSpan w:val="3"/>
            <w:vAlign w:val="center"/>
          </w:tcPr>
          <w:p>
            <w:pPr>
              <w:spacing w:beforeLines="20" w:before="48" w:afterLines="20" w:after="48"/>
              <w:jc w:val="center"/>
              <w:rPr>
                <w:noProof/>
                <w:sz w:val="14"/>
              </w:rPr>
            </w:pPr>
            <w:r>
              <w:rPr>
                <w:noProof/>
                <w:sz w:val="21"/>
              </w:rPr>
              <w:sym w:font="Wingdings" w:char="F09F"/>
            </w:r>
            <w:r>
              <w:rPr>
                <w:noProof/>
                <w:sz w:val="21"/>
              </w:rPr>
              <w:t xml:space="preserve"> Eriprogrammide vahenditest rahastatavad haldusassigneeringud KOKKU</w:t>
            </w:r>
          </w:p>
        </w:tc>
        <w:tc>
          <w:tcPr>
            <w:tcW w:w="1677" w:type="dxa"/>
            <w:vAlign w:val="center"/>
          </w:tcPr>
          <w:p>
            <w:pPr>
              <w:rPr>
                <w:b/>
                <w:noProof/>
                <w:sz w:val="20"/>
              </w:rPr>
            </w:pPr>
            <w:r>
              <w:rPr>
                <w:b/>
                <w:noProof/>
                <w:sz w:val="20"/>
              </w:rPr>
              <w:t>Ei kohaldata</w:t>
            </w:r>
          </w:p>
        </w:tc>
        <w:tc>
          <w:tcPr>
            <w:tcW w:w="1276" w:type="dxa"/>
            <w:vAlign w:val="center"/>
          </w:tcPr>
          <w:p>
            <w:pPr>
              <w:rPr>
                <w:b/>
                <w:noProof/>
                <w:sz w:val="20"/>
              </w:rPr>
            </w:pPr>
            <w:r>
              <w:rPr>
                <w:b/>
                <w:noProof/>
                <w:sz w:val="20"/>
              </w:rPr>
              <w:t>Ei kohaldata</w:t>
            </w:r>
          </w:p>
        </w:tc>
        <w:tc>
          <w:tcPr>
            <w:tcW w:w="1843" w:type="dxa"/>
            <w:vAlign w:val="center"/>
          </w:tcPr>
          <w:p>
            <w:pPr>
              <w:rPr>
                <w:b/>
                <w:noProof/>
                <w:sz w:val="20"/>
              </w:rPr>
            </w:pPr>
            <w:r>
              <w:rPr>
                <w:b/>
                <w:noProof/>
                <w:sz w:val="20"/>
              </w:rPr>
              <w:t>Ei kohaldata</w:t>
            </w:r>
          </w:p>
        </w:tc>
        <w:tc>
          <w:tcPr>
            <w:tcW w:w="1843" w:type="dxa"/>
            <w:vAlign w:val="center"/>
          </w:tcPr>
          <w:p>
            <w:pPr>
              <w:rPr>
                <w:b/>
                <w:noProof/>
                <w:sz w:val="20"/>
              </w:rPr>
            </w:pPr>
            <w:r>
              <w:rPr>
                <w:b/>
                <w:noProof/>
                <w:sz w:val="20"/>
              </w:rPr>
              <w:t>Ei kohaldata</w:t>
            </w:r>
          </w:p>
        </w:tc>
        <w:tc>
          <w:tcPr>
            <w:tcW w:w="1417" w:type="dxa"/>
            <w:vAlign w:val="center"/>
          </w:tcPr>
          <w:p>
            <w:pPr>
              <w:rPr>
                <w:b/>
                <w:noProof/>
                <w:sz w:val="20"/>
              </w:rPr>
            </w:pPr>
            <w:r>
              <w:rPr>
                <w:b/>
                <w:noProof/>
                <w:sz w:val="20"/>
              </w:rPr>
              <w:t>Ei kohaldata</w:t>
            </w:r>
          </w:p>
        </w:tc>
      </w:tr>
      <w:tr>
        <w:tc>
          <w:tcPr>
            <w:tcW w:w="3960" w:type="dxa"/>
            <w:shd w:val="thinDiagStripe" w:color="C0C0C0" w:fill="auto"/>
            <w:vAlign w:val="center"/>
          </w:tcPr>
          <w:p>
            <w:pPr>
              <w:jc w:val="center"/>
              <w:rPr>
                <w:b/>
                <w:noProof/>
                <w:sz w:val="22"/>
              </w:rPr>
            </w:pPr>
            <w:r>
              <w:rPr>
                <w:noProof/>
                <w:sz w:val="22"/>
              </w:rPr>
              <w:t>Mitmeaastase finantsraamistiku</w:t>
            </w:r>
            <w:r>
              <w:rPr>
                <w:noProof/>
              </w:rPr>
              <w:br/>
            </w:r>
            <w:r>
              <w:rPr>
                <w:b/>
                <w:noProof/>
                <w:sz w:val="22"/>
              </w:rPr>
              <w:t>RUBRIIGI 1B</w:t>
            </w:r>
            <w:r>
              <w:rPr>
                <w:noProof/>
                <w:sz w:val="22"/>
              </w:rPr>
              <w:br/>
            </w:r>
            <w:r>
              <w:rPr>
                <w:b/>
                <w:noProof/>
                <w:sz w:val="22"/>
              </w:rPr>
              <w:t>assigneeringud KOKKU</w:t>
            </w:r>
          </w:p>
        </w:tc>
        <w:tc>
          <w:tcPr>
            <w:tcW w:w="1440" w:type="dxa"/>
            <w:vAlign w:val="center"/>
          </w:tcPr>
          <w:p>
            <w:pPr>
              <w:rPr>
                <w:noProof/>
                <w:sz w:val="18"/>
              </w:rPr>
            </w:pPr>
            <w:r>
              <w:rPr>
                <w:noProof/>
                <w:sz w:val="18"/>
              </w:rPr>
              <w:t>Maksed</w:t>
            </w:r>
          </w:p>
        </w:tc>
        <w:tc>
          <w:tcPr>
            <w:tcW w:w="654" w:type="dxa"/>
            <w:vAlign w:val="center"/>
          </w:tcPr>
          <w:p>
            <w:pPr>
              <w:jc w:val="center"/>
              <w:rPr>
                <w:noProof/>
                <w:sz w:val="14"/>
              </w:rPr>
            </w:pPr>
          </w:p>
        </w:tc>
        <w:tc>
          <w:tcPr>
            <w:tcW w:w="1677" w:type="dxa"/>
          </w:tcPr>
          <w:p>
            <w:pPr>
              <w:rPr>
                <w:b/>
                <w:noProof/>
              </w:rPr>
            </w:pPr>
            <w:r>
              <w:rPr>
                <w:b/>
                <w:noProof/>
              </w:rPr>
              <w:t>-7 105,630</w:t>
            </w:r>
          </w:p>
        </w:tc>
        <w:tc>
          <w:tcPr>
            <w:tcW w:w="1276" w:type="dxa"/>
          </w:tcPr>
          <w:p>
            <w:pPr>
              <w:rPr>
                <w:b/>
                <w:noProof/>
              </w:rPr>
            </w:pPr>
            <w:r>
              <w:rPr>
                <w:b/>
                <w:noProof/>
              </w:rPr>
              <w:t>0,000</w:t>
            </w:r>
          </w:p>
        </w:tc>
        <w:tc>
          <w:tcPr>
            <w:tcW w:w="1843" w:type="dxa"/>
          </w:tcPr>
          <w:p>
            <w:pPr>
              <w:rPr>
                <w:b/>
                <w:noProof/>
              </w:rPr>
            </w:pPr>
            <w:r>
              <w:rPr>
                <w:b/>
                <w:noProof/>
              </w:rPr>
              <w:t>0,000</w:t>
            </w:r>
          </w:p>
        </w:tc>
        <w:tc>
          <w:tcPr>
            <w:tcW w:w="1843" w:type="dxa"/>
          </w:tcPr>
          <w:p>
            <w:pPr>
              <w:rPr>
                <w:b/>
                <w:noProof/>
              </w:rPr>
            </w:pPr>
            <w:r>
              <w:rPr>
                <w:b/>
                <w:noProof/>
              </w:rPr>
              <w:t>7 105,630</w:t>
            </w:r>
          </w:p>
        </w:tc>
        <w:tc>
          <w:tcPr>
            <w:tcW w:w="1417" w:type="dxa"/>
          </w:tcPr>
          <w:p>
            <w:pPr>
              <w:rPr>
                <w:b/>
                <w:noProof/>
              </w:rPr>
            </w:pPr>
            <w:r>
              <w:rPr>
                <w:b/>
                <w:noProof/>
              </w:rPr>
              <w:t>0,000</w:t>
            </w:r>
          </w:p>
        </w:tc>
      </w:tr>
    </w:tbl>
    <w:p>
      <w:pPr>
        <w:spacing w:after="40"/>
        <w:rPr>
          <w:b/>
          <w:noProof/>
          <w:sz w:val="22"/>
          <w:u w:val="single"/>
        </w:rPr>
      </w:pPr>
    </w:p>
    <w:p>
      <w:pPr>
        <w:spacing w:after="40"/>
        <w:rPr>
          <w:b/>
          <w:noProof/>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Mitmeaastase finantsraamistiku</w:t>
            </w:r>
            <w:r>
              <w:rPr>
                <w:noProof/>
              </w:rPr>
              <w:br/>
              <w:t xml:space="preserve"> </w:t>
            </w:r>
            <w:r>
              <w:rPr>
                <w:b/>
                <w:noProof/>
                <w:sz w:val="22"/>
              </w:rPr>
              <w:t>rubriik</w:t>
            </w:r>
            <w:r>
              <w:rPr>
                <w:noProof/>
              </w:rPr>
              <w:t xml:space="preserve"> </w:t>
            </w:r>
          </w:p>
        </w:tc>
        <w:tc>
          <w:tcPr>
            <w:tcW w:w="1080" w:type="dxa"/>
            <w:vAlign w:val="center"/>
          </w:tcPr>
          <w:p>
            <w:pPr>
              <w:spacing w:before="60" w:after="60"/>
              <w:jc w:val="center"/>
              <w:rPr>
                <w:b/>
                <w:noProof/>
                <w:sz w:val="22"/>
              </w:rPr>
            </w:pPr>
            <w:r>
              <w:rPr>
                <w:b/>
                <w:noProof/>
                <w:sz w:val="22"/>
              </w:rPr>
              <w:t>2</w:t>
            </w:r>
          </w:p>
        </w:tc>
        <w:tc>
          <w:tcPr>
            <w:tcW w:w="7817" w:type="dxa"/>
            <w:vAlign w:val="center"/>
          </w:tcPr>
          <w:p>
            <w:pPr>
              <w:spacing w:before="60" w:after="60"/>
              <w:rPr>
                <w:b/>
                <w:noProof/>
                <w:sz w:val="22"/>
              </w:rPr>
            </w:pPr>
            <w:r>
              <w:rPr>
                <w:b/>
                <w:noProof/>
                <w:color w:val="0000FF"/>
                <w:sz w:val="22"/>
              </w:rPr>
              <w:t>Jätkusuutlik majanduskasv:</w:t>
            </w:r>
            <w:r>
              <w:rPr>
                <w:noProof/>
                <w:color w:val="0000FF"/>
                <w:sz w:val="22"/>
              </w:rPr>
              <w:t xml:space="preserve"> </w:t>
            </w:r>
            <w:r>
              <w:rPr>
                <w:b/>
                <w:noProof/>
                <w:color w:val="0000FF"/>
                <w:sz w:val="22"/>
              </w:rPr>
              <w:t>loodusvarad</w:t>
            </w:r>
          </w:p>
        </w:tc>
      </w:tr>
    </w:tbl>
    <w:p>
      <w:pPr>
        <w:rPr>
          <w:noProof/>
          <w:sz w:val="16"/>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Merendus- ja kalandusasjade peadirektoraat</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Aasta</w:t>
            </w:r>
            <w:r>
              <w:rPr>
                <w:noProof/>
                <w:sz w:val="22"/>
              </w:rPr>
              <w:br/>
            </w:r>
            <w:r>
              <w:rPr>
                <w:b/>
                <w:noProof/>
                <w:sz w:val="20"/>
              </w:rPr>
              <w:t>2021</w:t>
            </w:r>
          </w:p>
        </w:tc>
        <w:tc>
          <w:tcPr>
            <w:tcW w:w="1418" w:type="dxa"/>
            <w:vAlign w:val="center"/>
          </w:tcPr>
          <w:p>
            <w:pPr>
              <w:jc w:val="center"/>
              <w:rPr>
                <w:noProof/>
                <w:sz w:val="20"/>
              </w:rPr>
            </w:pPr>
            <w:r>
              <w:rPr>
                <w:noProof/>
                <w:sz w:val="20"/>
              </w:rPr>
              <w:t>Aasta</w:t>
            </w:r>
            <w:r>
              <w:rPr>
                <w:noProof/>
                <w:sz w:val="22"/>
              </w:rPr>
              <w:br/>
            </w:r>
            <w:r>
              <w:rPr>
                <w:b/>
                <w:noProof/>
                <w:sz w:val="20"/>
              </w:rPr>
              <w:t>2022</w:t>
            </w:r>
          </w:p>
        </w:tc>
        <w:tc>
          <w:tcPr>
            <w:tcW w:w="1559" w:type="dxa"/>
            <w:vAlign w:val="center"/>
          </w:tcPr>
          <w:p>
            <w:pPr>
              <w:jc w:val="center"/>
              <w:rPr>
                <w:noProof/>
                <w:sz w:val="20"/>
              </w:rPr>
            </w:pPr>
            <w:r>
              <w:rPr>
                <w:noProof/>
                <w:sz w:val="20"/>
              </w:rPr>
              <w:t>Aasta</w:t>
            </w:r>
            <w:r>
              <w:rPr>
                <w:noProof/>
                <w:sz w:val="22"/>
              </w:rPr>
              <w:br/>
            </w:r>
            <w:r>
              <w:rPr>
                <w:b/>
                <w:noProof/>
                <w:sz w:val="20"/>
              </w:rPr>
              <w:t>2023</w:t>
            </w:r>
          </w:p>
        </w:tc>
        <w:tc>
          <w:tcPr>
            <w:tcW w:w="1985" w:type="dxa"/>
            <w:vAlign w:val="center"/>
          </w:tcPr>
          <w:p>
            <w:pPr>
              <w:jc w:val="center"/>
              <w:rPr>
                <w:noProof/>
                <w:sz w:val="20"/>
              </w:rPr>
            </w:pPr>
            <w:r>
              <w:rPr>
                <w:noProof/>
                <w:sz w:val="20"/>
              </w:rPr>
              <w:t>Aasta</w:t>
            </w:r>
            <w:r>
              <w:rPr>
                <w:noProof/>
                <w:sz w:val="22"/>
              </w:rPr>
              <w:br/>
            </w:r>
            <w:r>
              <w:rPr>
                <w:b/>
                <w:noProof/>
                <w:sz w:val="20"/>
              </w:rPr>
              <w:t>2024</w:t>
            </w:r>
          </w:p>
        </w:tc>
        <w:tc>
          <w:tcPr>
            <w:tcW w:w="141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vAlign w:val="center"/>
          </w:tcPr>
          <w:p>
            <w:pPr>
              <w:rPr>
                <w:noProof/>
                <w:sz w:val="22"/>
              </w:rPr>
            </w:pPr>
            <w:r>
              <w:rPr>
                <w:noProof/>
                <w:sz w:val="20"/>
              </w:rPr>
              <w:t>11 06 60</w:t>
            </w:r>
          </w:p>
        </w:tc>
        <w:tc>
          <w:tcPr>
            <w:tcW w:w="1440" w:type="dxa"/>
            <w:gridSpan w:val="2"/>
            <w:vAlign w:val="center"/>
          </w:tcPr>
          <w:p>
            <w:pPr>
              <w:spacing w:before="20" w:after="20"/>
              <w:rPr>
                <w:noProof/>
                <w:sz w:val="18"/>
              </w:rPr>
            </w:pPr>
            <w:r>
              <w:rPr>
                <w:noProof/>
                <w:sz w:val="18"/>
              </w:rPr>
              <w:t>Maksed</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-114,987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114,987</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15"/>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Ei kohaldata</w:t>
            </w:r>
          </w:p>
        </w:tc>
        <w:tc>
          <w:tcPr>
            <w:tcW w:w="1418" w:type="dxa"/>
            <w:vAlign w:val="center"/>
          </w:tcPr>
          <w:p>
            <w:pPr>
              <w:rPr>
                <w:b/>
                <w:noProof/>
                <w:sz w:val="20"/>
              </w:rPr>
            </w:pPr>
            <w:r>
              <w:rPr>
                <w:b/>
                <w:noProof/>
                <w:sz w:val="20"/>
              </w:rPr>
              <w:t>Ei kohaldata</w:t>
            </w:r>
          </w:p>
        </w:tc>
        <w:tc>
          <w:tcPr>
            <w:tcW w:w="1559" w:type="dxa"/>
            <w:vAlign w:val="center"/>
          </w:tcPr>
          <w:p>
            <w:pPr>
              <w:rPr>
                <w:b/>
                <w:noProof/>
                <w:sz w:val="20"/>
              </w:rPr>
            </w:pPr>
            <w:r>
              <w:rPr>
                <w:b/>
                <w:noProof/>
                <w:sz w:val="20"/>
              </w:rPr>
              <w:t>Ei kohaldata</w:t>
            </w:r>
          </w:p>
        </w:tc>
        <w:tc>
          <w:tcPr>
            <w:tcW w:w="1985" w:type="dxa"/>
            <w:vAlign w:val="center"/>
          </w:tcPr>
          <w:p>
            <w:pPr>
              <w:rPr>
                <w:b/>
                <w:noProof/>
                <w:sz w:val="20"/>
              </w:rPr>
            </w:pPr>
            <w:r>
              <w:rPr>
                <w:b/>
                <w:noProof/>
                <w:sz w:val="20"/>
              </w:rPr>
              <w:t>Ei kohaldata</w:t>
            </w:r>
          </w:p>
        </w:tc>
        <w:tc>
          <w:tcPr>
            <w:tcW w:w="1417" w:type="dxa"/>
            <w:vAlign w:val="center"/>
          </w:tcPr>
          <w:p>
            <w:pPr>
              <w:rPr>
                <w:b/>
                <w:noProof/>
                <w:sz w:val="20"/>
              </w:rPr>
            </w:pPr>
            <w:r>
              <w:rPr>
                <w:b/>
                <w:noProof/>
                <w:sz w:val="20"/>
              </w:rPr>
              <w:t>Ei kohaldata</w:t>
            </w:r>
          </w:p>
        </w:tc>
      </w:tr>
      <w:tr>
        <w:tc>
          <w:tcPr>
            <w:tcW w:w="3960" w:type="dxa"/>
            <w:vAlign w:val="center"/>
          </w:tcPr>
          <w:p>
            <w:pPr>
              <w:jc w:val="center"/>
              <w:rPr>
                <w:b/>
                <w:noProof/>
                <w:sz w:val="22"/>
              </w:rPr>
            </w:pPr>
            <w:r>
              <w:rPr>
                <w:b/>
                <w:noProof/>
                <w:sz w:val="22"/>
              </w:rPr>
              <w:t>Merendus- ja kalandusasjade peadirektoraadi assigneeringud</w:t>
            </w:r>
            <w:r>
              <w:rPr>
                <w:noProof/>
              </w:rPr>
              <w:br/>
            </w:r>
            <w:r>
              <w:rPr>
                <w:b/>
                <w:noProof/>
                <w:sz w:val="22"/>
              </w:rPr>
              <w:t>KOKKU</w:t>
            </w:r>
          </w:p>
        </w:tc>
        <w:tc>
          <w:tcPr>
            <w:tcW w:w="1440" w:type="dxa"/>
            <w:gridSpan w:val="2"/>
            <w:vAlign w:val="center"/>
          </w:tcPr>
          <w:p>
            <w:pPr>
              <w:rPr>
                <w:noProof/>
                <w:sz w:val="18"/>
              </w:rPr>
            </w:pPr>
            <w:r>
              <w:rPr>
                <w:noProof/>
                <w:sz w:val="18"/>
              </w:rPr>
              <w:t>Maksed</w:t>
            </w:r>
          </w:p>
        </w:tc>
        <w:tc>
          <w:tcPr>
            <w:tcW w:w="654" w:type="dxa"/>
            <w:vAlign w:val="center"/>
          </w:tcPr>
          <w:p>
            <w:pPr>
              <w:jc w:val="center"/>
              <w:rPr>
                <w:noProof/>
                <w:sz w:val="14"/>
              </w:rPr>
            </w:pPr>
          </w:p>
        </w:tc>
        <w:tc>
          <w:tcPr>
            <w:tcW w:w="1677" w:type="dxa"/>
          </w:tcPr>
          <w:p>
            <w:pPr>
              <w:rPr>
                <w:b/>
                <w:noProof/>
              </w:rPr>
            </w:pPr>
            <w:r>
              <w:rPr>
                <w:b/>
                <w:noProof/>
              </w:rPr>
              <w:t>-114,987</w:t>
            </w:r>
          </w:p>
        </w:tc>
        <w:tc>
          <w:tcPr>
            <w:tcW w:w="1418" w:type="dxa"/>
          </w:tcPr>
          <w:p>
            <w:pPr>
              <w:rPr>
                <w:b/>
                <w:noProof/>
              </w:rPr>
            </w:pPr>
            <w:r>
              <w:rPr>
                <w:b/>
                <w:noProof/>
              </w:rPr>
              <w:t>0,000</w:t>
            </w:r>
          </w:p>
        </w:tc>
        <w:tc>
          <w:tcPr>
            <w:tcW w:w="1559" w:type="dxa"/>
          </w:tcPr>
          <w:p>
            <w:pPr>
              <w:rPr>
                <w:b/>
                <w:noProof/>
              </w:rPr>
            </w:pPr>
            <w:r>
              <w:rPr>
                <w:b/>
                <w:noProof/>
              </w:rPr>
              <w:t>0,000</w:t>
            </w:r>
          </w:p>
        </w:tc>
        <w:tc>
          <w:tcPr>
            <w:tcW w:w="1985" w:type="dxa"/>
          </w:tcPr>
          <w:p>
            <w:pPr>
              <w:rPr>
                <w:b/>
                <w:noProof/>
              </w:rPr>
            </w:pPr>
            <w:r>
              <w:rPr>
                <w:b/>
                <w:noProof/>
              </w:rPr>
              <w:t>114,987</w:t>
            </w:r>
          </w:p>
        </w:tc>
        <w:tc>
          <w:tcPr>
            <w:tcW w:w="1417" w:type="dxa"/>
          </w:tcPr>
          <w:p>
            <w:pPr>
              <w:rPr>
                <w:b/>
                <w:noProof/>
              </w:rPr>
            </w:pPr>
            <w:r>
              <w:rPr>
                <w:b/>
                <w:noProof/>
              </w:rPr>
              <w:t>0,000</w:t>
            </w:r>
          </w:p>
        </w:tc>
      </w:tr>
    </w:tbl>
    <w:p>
      <w:pPr>
        <w:spacing w:after="40"/>
        <w:rPr>
          <w:b/>
          <w:noProof/>
          <w:sz w:val="22"/>
          <w:u w:val="single"/>
        </w:rPr>
      </w:pPr>
    </w:p>
    <w:p>
      <w:pPr>
        <w:spacing w:after="40"/>
        <w:rPr>
          <w:b/>
          <w:noProof/>
          <w:sz w:val="22"/>
          <w:u w:val="single"/>
        </w:rPr>
      </w:pPr>
    </w:p>
    <w:p>
      <w:pPr>
        <w:spacing w:after="40"/>
        <w:rPr>
          <w:b/>
          <w:noProof/>
          <w:sz w:val="22"/>
          <w:u w:val="single"/>
        </w:rPr>
      </w:pPr>
    </w:p>
    <w:p>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77"/>
        <w:gridCol w:w="1418"/>
        <w:gridCol w:w="1559"/>
        <w:gridCol w:w="1985"/>
        <w:gridCol w:w="1417"/>
      </w:tblGrid>
      <w:tr>
        <w:trPr>
          <w:trHeight w:val="277"/>
        </w:trPr>
        <w:tc>
          <w:tcPr>
            <w:tcW w:w="3960" w:type="dxa"/>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Tegevusassigneeringud KOKKU</w:t>
            </w:r>
          </w:p>
        </w:tc>
        <w:tc>
          <w:tcPr>
            <w:tcW w:w="1440" w:type="dxa"/>
            <w:tcBorders>
              <w:top w:val="single" w:sz="4" w:space="0" w:color="FF0000"/>
            </w:tcBorders>
            <w:vAlign w:val="center"/>
          </w:tcPr>
          <w:p>
            <w:pPr>
              <w:spacing w:beforeLines="20" w:before="48" w:afterLines="20" w:after="48"/>
              <w:rPr>
                <w:noProof/>
                <w:sz w:val="18"/>
              </w:rPr>
            </w:pPr>
            <w:r>
              <w:rPr>
                <w:noProof/>
                <w:sz w:val="18"/>
              </w:rPr>
              <w:t>Maksed</w:t>
            </w:r>
          </w:p>
        </w:tc>
        <w:tc>
          <w:tcPr>
            <w:tcW w:w="654" w:type="dxa"/>
            <w:tcBorders>
              <w:top w:val="single" w:sz="4" w:space="0" w:color="FF0000"/>
            </w:tcBorders>
            <w:vAlign w:val="center"/>
          </w:tcPr>
          <w:p>
            <w:pPr>
              <w:spacing w:beforeLines="20" w:before="48" w:afterLines="20" w:after="48"/>
              <w:jc w:val="center"/>
              <w:rPr>
                <w:noProof/>
                <w:sz w:val="14"/>
              </w:rPr>
            </w:pPr>
          </w:p>
        </w:tc>
        <w:tc>
          <w:tcPr>
            <w:tcW w:w="1677" w:type="dxa"/>
            <w:tcBorders>
              <w:top w:val="single" w:sz="4" w:space="0" w:color="FF0000"/>
            </w:tcBorders>
          </w:tcPr>
          <w:p>
            <w:pPr>
              <w:rPr>
                <w:noProof/>
              </w:rPr>
            </w:pPr>
            <w:r>
              <w:rPr>
                <w:noProof/>
              </w:rPr>
              <w:t>-7 220,617</w:t>
            </w:r>
          </w:p>
        </w:tc>
        <w:tc>
          <w:tcPr>
            <w:tcW w:w="1418" w:type="dxa"/>
            <w:tcBorders>
              <w:top w:val="single" w:sz="4" w:space="0" w:color="FF0000"/>
            </w:tcBorders>
          </w:tcPr>
          <w:p>
            <w:pPr>
              <w:rPr>
                <w:noProof/>
              </w:rPr>
            </w:pPr>
            <w:r>
              <w:rPr>
                <w:noProof/>
              </w:rPr>
              <w:t>0,000</w:t>
            </w:r>
          </w:p>
        </w:tc>
        <w:tc>
          <w:tcPr>
            <w:tcW w:w="1559" w:type="dxa"/>
            <w:tcBorders>
              <w:top w:val="single" w:sz="4" w:space="0" w:color="FF0000"/>
            </w:tcBorders>
          </w:tcPr>
          <w:p>
            <w:pPr>
              <w:rPr>
                <w:noProof/>
              </w:rPr>
            </w:pPr>
            <w:r>
              <w:rPr>
                <w:noProof/>
              </w:rPr>
              <w:t>0,000</w:t>
            </w:r>
          </w:p>
        </w:tc>
        <w:tc>
          <w:tcPr>
            <w:tcW w:w="1985" w:type="dxa"/>
            <w:tcBorders>
              <w:top w:val="single" w:sz="4" w:space="0" w:color="FF0000"/>
            </w:tcBorders>
          </w:tcPr>
          <w:p>
            <w:pPr>
              <w:rPr>
                <w:noProof/>
              </w:rPr>
            </w:pPr>
            <w:r>
              <w:rPr>
                <w:noProof/>
              </w:rPr>
              <w:t>7 220,617</w:t>
            </w:r>
          </w:p>
        </w:tc>
        <w:tc>
          <w:tcPr>
            <w:tcW w:w="1417" w:type="dxa"/>
            <w:tcBorders>
              <w:top w:val="single" w:sz="4" w:space="0" w:color="FF0000"/>
              <w:right w:val="single" w:sz="4" w:space="0" w:color="auto"/>
            </w:tcBorders>
          </w:tcPr>
          <w:p>
            <w:pPr>
              <w:rPr>
                <w:noProof/>
              </w:rPr>
            </w:pPr>
            <w:r>
              <w:rPr>
                <w:noProof/>
              </w:rPr>
              <w:t>0,000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w:t>
            </w:r>
          </w:p>
        </w:tc>
        <w:tc>
          <w:tcPr>
            <w:tcW w:w="654" w:type="dxa"/>
            <w:vAlign w:val="center"/>
          </w:tcPr>
          <w:p>
            <w:pPr>
              <w:spacing w:beforeLines="20" w:before="48" w:afterLines="20" w:after="48"/>
              <w:jc w:val="center"/>
              <w:rPr>
                <w:noProof/>
                <w:sz w:val="14"/>
              </w:rPr>
            </w:pPr>
          </w:p>
        </w:tc>
        <w:tc>
          <w:tcPr>
            <w:tcW w:w="1677" w:type="dxa"/>
            <w:vAlign w:val="center"/>
          </w:tcPr>
          <w:p>
            <w:pPr>
              <w:rPr>
                <w:b/>
                <w:noProof/>
                <w:sz w:val="20"/>
              </w:rPr>
            </w:pPr>
            <w:r>
              <w:rPr>
                <w:b/>
                <w:noProof/>
                <w:sz w:val="20"/>
              </w:rPr>
              <w:t>Ei kohaldata</w:t>
            </w:r>
          </w:p>
        </w:tc>
        <w:tc>
          <w:tcPr>
            <w:tcW w:w="1418" w:type="dxa"/>
            <w:vAlign w:val="center"/>
          </w:tcPr>
          <w:p>
            <w:pPr>
              <w:rPr>
                <w:b/>
                <w:noProof/>
                <w:sz w:val="20"/>
              </w:rPr>
            </w:pPr>
            <w:r>
              <w:rPr>
                <w:b/>
                <w:noProof/>
                <w:sz w:val="20"/>
              </w:rPr>
              <w:t>Ei kohaldata</w:t>
            </w:r>
          </w:p>
        </w:tc>
        <w:tc>
          <w:tcPr>
            <w:tcW w:w="1559" w:type="dxa"/>
            <w:vAlign w:val="center"/>
          </w:tcPr>
          <w:p>
            <w:pPr>
              <w:rPr>
                <w:b/>
                <w:noProof/>
                <w:sz w:val="20"/>
              </w:rPr>
            </w:pPr>
            <w:r>
              <w:rPr>
                <w:b/>
                <w:noProof/>
                <w:sz w:val="20"/>
              </w:rPr>
              <w:t>Ei kohaldata</w:t>
            </w:r>
          </w:p>
        </w:tc>
        <w:tc>
          <w:tcPr>
            <w:tcW w:w="1985" w:type="dxa"/>
            <w:vAlign w:val="center"/>
          </w:tcPr>
          <w:p>
            <w:pPr>
              <w:rPr>
                <w:b/>
                <w:noProof/>
                <w:sz w:val="20"/>
              </w:rPr>
            </w:pPr>
            <w:r>
              <w:rPr>
                <w:b/>
                <w:noProof/>
                <w:sz w:val="20"/>
              </w:rPr>
              <w:t>Ei kohaldata</w:t>
            </w:r>
          </w:p>
        </w:tc>
        <w:tc>
          <w:tcPr>
            <w:tcW w:w="1417" w:type="dxa"/>
            <w:vAlign w:val="center"/>
          </w:tcPr>
          <w:p>
            <w:pPr>
              <w:rPr>
                <w:b/>
                <w:noProof/>
                <w:sz w:val="20"/>
              </w:rPr>
            </w:pPr>
            <w:r>
              <w:rPr>
                <w:b/>
                <w:noProof/>
                <w:sz w:val="20"/>
              </w:rPr>
              <w:t>Ei kohaldata</w:t>
            </w:r>
          </w:p>
        </w:tc>
      </w:tr>
      <w:tr>
        <w:tc>
          <w:tcPr>
            <w:tcW w:w="3960" w:type="dxa"/>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Mitmeaastase finantsraamistiku</w:t>
            </w:r>
            <w:r>
              <w:rPr>
                <w:noProof/>
              </w:rPr>
              <w:br/>
            </w:r>
            <w:r>
              <w:rPr>
                <w:b/>
                <w:noProof/>
                <w:sz w:val="22"/>
              </w:rPr>
              <w:t>RUBRIIKIDE 1-4</w:t>
            </w:r>
            <w:r>
              <w:rPr>
                <w:noProof/>
                <w:sz w:val="22"/>
              </w:rPr>
              <w:br/>
            </w:r>
            <w:r>
              <w:rPr>
                <w:b/>
                <w:noProof/>
                <w:sz w:val="22"/>
              </w:rPr>
              <w:t>assigneeringud KOKKU</w:t>
            </w:r>
            <w:r>
              <w:rPr>
                <w:noProof/>
              </w:rPr>
              <w:br/>
            </w:r>
            <w:r>
              <w:rPr>
                <w:noProof/>
                <w:sz w:val="20"/>
              </w:rPr>
              <w:t>(võrdlussumma)</w:t>
            </w:r>
          </w:p>
        </w:tc>
        <w:tc>
          <w:tcPr>
            <w:tcW w:w="1440" w:type="dxa"/>
            <w:vAlign w:val="center"/>
          </w:tcPr>
          <w:p>
            <w:pPr>
              <w:rPr>
                <w:noProof/>
                <w:sz w:val="18"/>
              </w:rPr>
            </w:pPr>
            <w:r>
              <w:rPr>
                <w:noProof/>
                <w:sz w:val="18"/>
              </w:rPr>
              <w:t>Maksed</w:t>
            </w:r>
          </w:p>
        </w:tc>
        <w:tc>
          <w:tcPr>
            <w:tcW w:w="654" w:type="dxa"/>
            <w:vAlign w:val="center"/>
          </w:tcPr>
          <w:p>
            <w:pPr>
              <w:jc w:val="center"/>
              <w:rPr>
                <w:noProof/>
                <w:sz w:val="14"/>
              </w:rPr>
            </w:pPr>
          </w:p>
        </w:tc>
        <w:tc>
          <w:tcPr>
            <w:tcW w:w="1677" w:type="dxa"/>
          </w:tcPr>
          <w:p>
            <w:pPr>
              <w:rPr>
                <w:b/>
                <w:noProof/>
              </w:rPr>
            </w:pPr>
            <w:r>
              <w:rPr>
                <w:b/>
                <w:noProof/>
              </w:rPr>
              <w:t>-7 220,617</w:t>
            </w:r>
          </w:p>
        </w:tc>
        <w:tc>
          <w:tcPr>
            <w:tcW w:w="1418" w:type="dxa"/>
          </w:tcPr>
          <w:p>
            <w:pPr>
              <w:rPr>
                <w:b/>
                <w:noProof/>
              </w:rPr>
            </w:pPr>
            <w:r>
              <w:rPr>
                <w:b/>
                <w:noProof/>
              </w:rPr>
              <w:t>0,000</w:t>
            </w:r>
          </w:p>
        </w:tc>
        <w:tc>
          <w:tcPr>
            <w:tcW w:w="1559" w:type="dxa"/>
          </w:tcPr>
          <w:p>
            <w:pPr>
              <w:rPr>
                <w:b/>
                <w:noProof/>
              </w:rPr>
            </w:pPr>
            <w:r>
              <w:rPr>
                <w:b/>
                <w:noProof/>
              </w:rPr>
              <w:t>0,000</w:t>
            </w:r>
          </w:p>
        </w:tc>
        <w:tc>
          <w:tcPr>
            <w:tcW w:w="1985" w:type="dxa"/>
          </w:tcPr>
          <w:p>
            <w:pPr>
              <w:rPr>
                <w:b/>
                <w:noProof/>
              </w:rPr>
            </w:pPr>
            <w:r>
              <w:rPr>
                <w:b/>
                <w:noProof/>
              </w:rPr>
              <w:t>7 220,617</w:t>
            </w:r>
          </w:p>
        </w:tc>
        <w:tc>
          <w:tcPr>
            <w:tcW w:w="1417" w:type="dxa"/>
            <w:tcBorders>
              <w:right w:val="single" w:sz="4" w:space="0" w:color="auto"/>
            </w:tcBorders>
          </w:tcPr>
          <w:p>
            <w:pPr>
              <w:rPr>
                <w:b/>
                <w:noProof/>
              </w:rPr>
            </w:pPr>
            <w:r>
              <w:rPr>
                <w:b/>
                <w:noProof/>
              </w:rPr>
              <w:t>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noProof/>
              </w:rPr>
              <w:br w:type="page"/>
            </w:r>
            <w:r>
              <w:rPr>
                <w:b/>
                <w:noProof/>
                <w:sz w:val="22"/>
              </w:rPr>
              <w:t>Mitmeaastase finantsraamistiku</w:t>
            </w:r>
            <w:r>
              <w:rPr>
                <w:noProof/>
              </w:rPr>
              <w:br/>
              <w:t xml:space="preserve"> </w:t>
            </w:r>
            <w:r>
              <w:rPr>
                <w:b/>
                <w:noProof/>
                <w:sz w:val="22"/>
              </w:rPr>
              <w:t>rubriik</w:t>
            </w:r>
            <w:r>
              <w:rPr>
                <w:noProof/>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„Halduskulud“</w:t>
            </w:r>
          </w:p>
        </w:tc>
      </w:tr>
    </w:tbl>
    <w:p>
      <w:pPr>
        <w:jc w:val="right"/>
        <w:rPr>
          <w:noProof/>
          <w:sz w:val="20"/>
        </w:rPr>
      </w:pPr>
    </w:p>
    <w:p>
      <w:pPr>
        <w:spacing w:before="0" w:after="200" w:line="276" w:lineRule="auto"/>
        <w:jc w:val="left"/>
        <w:rPr>
          <w:noProof/>
          <w:sz w:val="20"/>
        </w:rPr>
      </w:pPr>
      <w:r>
        <w:rPr>
          <w:noProof/>
        </w:rPr>
        <w:br w:type="page"/>
      </w:r>
    </w:p>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N</w:t>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Lisage vajalik arv aastaid, et kajastada kogu finantsmõju kestust (vt punkt 1.6) </w:t>
            </w:r>
          </w:p>
        </w:tc>
        <w:tc>
          <w:tcPr>
            <w:tcW w:w="1777" w:type="dxa"/>
            <w:vAlign w:val="center"/>
          </w:tcPr>
          <w:p>
            <w:pPr>
              <w:jc w:val="center"/>
              <w:rPr>
                <w:b/>
                <w:noProof/>
                <w:sz w:val="20"/>
              </w:rPr>
            </w:pPr>
            <w:r>
              <w:rPr>
                <w:b/>
                <w:noProof/>
                <w:sz w:val="20"/>
              </w:rPr>
              <w:t>KOKKU</w:t>
            </w:r>
          </w:p>
        </w:tc>
      </w:tr>
      <w:tr>
        <w:trPr>
          <w:gridAfter w:val="10"/>
          <w:wAfter w:w="9947" w:type="dxa"/>
        </w:trPr>
        <w:tc>
          <w:tcPr>
            <w:tcW w:w="3960" w:type="dxa"/>
            <w:vAlign w:val="center"/>
          </w:tcPr>
          <w:p>
            <w:pPr>
              <w:spacing w:before="60" w:after="60"/>
              <w:jc w:val="center"/>
              <w:rPr>
                <w:noProof/>
                <w:sz w:val="22"/>
              </w:rPr>
            </w:pPr>
            <w:r>
              <w:rPr>
                <w:noProof/>
                <w:sz w:val="22"/>
              </w:rPr>
              <w:t>Peadirektoraat: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Personalikulud</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Muud halduskulud</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noProof/>
                <w:sz w:val="22"/>
              </w:rPr>
              <w:t xml:space="preserve">&lt;…….&gt; </w:t>
            </w:r>
            <w:r>
              <w:rPr>
                <w:b/>
                <w:noProof/>
                <w:sz w:val="22"/>
              </w:rPr>
              <w:t>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noProof/>
                <w:sz w:val="22"/>
              </w:rPr>
              <w:t>Mitmeaastase finantsraamistiku</w:t>
            </w:r>
            <w:r>
              <w:rPr>
                <w:noProof/>
              </w:rPr>
              <w:br/>
            </w:r>
            <w:r>
              <w:rPr>
                <w:b/>
                <w:noProof/>
                <w:sz w:val="22"/>
              </w:rPr>
              <w:t xml:space="preserve">RUBRIIGI 5 </w:t>
            </w:r>
            <w:r>
              <w:rPr>
                <w:noProof/>
                <w:sz w:val="22"/>
              </w:rPr>
              <w:br/>
              <w:t xml:space="preserve"> </w:t>
            </w:r>
            <w:r>
              <w:rPr>
                <w:b/>
                <w:noProof/>
                <w:sz w:val="22"/>
              </w:rPr>
              <w:t xml:space="preserve">assigneeringud KOKKU </w:t>
            </w:r>
          </w:p>
        </w:tc>
        <w:tc>
          <w:tcPr>
            <w:tcW w:w="2094" w:type="dxa"/>
            <w:vAlign w:val="center"/>
          </w:tcPr>
          <w:p>
            <w:pPr>
              <w:spacing w:before="40" w:after="40"/>
              <w:rPr>
                <w:noProof/>
                <w:sz w:val="22"/>
              </w:rPr>
            </w:pPr>
            <w:r>
              <w:rPr>
                <w:noProof/>
                <w:sz w:val="18"/>
              </w:rPr>
              <w:t>(Kulukohustuste kogusumma = maksete kogusumma)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N</w:t>
            </w:r>
            <w:r>
              <w:rPr>
                <w:rStyle w:val="FootnoteReference"/>
                <w:b/>
                <w:noProof/>
                <w:sz w:val="20"/>
              </w:rPr>
              <w:footnoteReference w:id="16"/>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2604" w:type="dxa"/>
            <w:gridSpan w:val="3"/>
            <w:vAlign w:val="center"/>
          </w:tcPr>
          <w:p>
            <w:pPr>
              <w:jc w:val="center"/>
              <w:rPr>
                <w:b/>
                <w:noProof/>
                <w:sz w:val="18"/>
              </w:rPr>
            </w:pPr>
            <w:r>
              <w:rPr>
                <w:noProof/>
                <w:sz w:val="18"/>
              </w:rPr>
              <w:t>Lisage vajalik arv aastaid, et kajastada kogu finantsmõju kestust (vt punkt 1.6)</w:t>
            </w:r>
          </w:p>
        </w:tc>
        <w:tc>
          <w:tcPr>
            <w:tcW w:w="1777"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sz w:val="22"/>
              </w:rPr>
            </w:pPr>
            <w:r>
              <w:rPr>
                <w:noProof/>
              </w:rPr>
              <w:t>Mitmeaastase finantsraamistiku</w:t>
            </w:r>
            <w:r>
              <w:rPr>
                <w:noProof/>
              </w:rPr>
              <w:br/>
            </w:r>
            <w:r>
              <w:rPr>
                <w:b/>
                <w:noProof/>
                <w:sz w:val="22"/>
              </w:rPr>
              <w:t>RUBRIIKIDE 1–5</w:t>
            </w:r>
            <w:r>
              <w:rPr>
                <w:noProof/>
                <w:sz w:val="22"/>
              </w:rPr>
              <w:br/>
              <w:t xml:space="preserve"> </w:t>
            </w:r>
            <w:r>
              <w:rPr>
                <w:b/>
                <w:noProof/>
                <w:sz w:val="22"/>
              </w:rPr>
              <w:t xml:space="preserve">assigneeringud KOKKU </w:t>
            </w:r>
          </w:p>
        </w:tc>
        <w:tc>
          <w:tcPr>
            <w:tcW w:w="2094" w:type="dxa"/>
            <w:gridSpan w:val="2"/>
            <w:vAlign w:val="center"/>
          </w:tcPr>
          <w:p>
            <w:pPr>
              <w:rPr>
                <w:noProof/>
                <w:sz w:val="14"/>
              </w:rPr>
            </w:pPr>
            <w:r>
              <w:rPr>
                <w:noProof/>
                <w:sz w:val="18"/>
              </w:rPr>
              <w:t>Kulukohustused</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A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Aasta</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Aasta</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Aasta</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Aasta</w:t>
            </w:r>
            <w:r>
              <w:rPr>
                <w:noProof/>
                <w:sz w:val="22"/>
              </w:rPr>
              <w:br/>
            </w:r>
            <w:r>
              <w:rPr>
                <w:b/>
                <w:noProof/>
                <w:sz w:val="18"/>
              </w:rPr>
              <w:t>N+3</w:t>
            </w:r>
          </w:p>
        </w:tc>
        <w:tc>
          <w:tcPr>
            <w:tcW w:w="3600" w:type="dxa"/>
            <w:gridSpan w:val="6"/>
            <w:vAlign w:val="center"/>
          </w:tcPr>
          <w:p>
            <w:pPr>
              <w:jc w:val="center"/>
              <w:rPr>
                <w:noProof/>
                <w:sz w:val="18"/>
                <w:szCs w:val="18"/>
              </w:rPr>
            </w:pPr>
            <w:r>
              <w:rPr>
                <w:noProof/>
                <w:sz w:val="18"/>
              </w:rPr>
              <w:t>Lisage vajalik arv aastaid, et kajastada kogu finantsmõju kestust (vt punkt 1.6)</w:t>
            </w: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17"/>
            </w:r>
          </w:p>
          <w:p>
            <w:pPr>
              <w:spacing w:before="0" w:after="0"/>
              <w:jc w:val="center"/>
              <w:rPr>
                <w:noProof/>
                <w:sz w:val="18"/>
                <w:szCs w:val="18"/>
              </w:rPr>
            </w:pPr>
          </w:p>
        </w:tc>
        <w:tc>
          <w:tcPr>
            <w:tcW w:w="701" w:type="dxa"/>
            <w:vAlign w:val="center"/>
          </w:tcPr>
          <w:p>
            <w:pPr>
              <w:jc w:val="center"/>
              <w:rPr>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noProof/>
                <w:sz w:val="18"/>
                <w:szCs w:val="18"/>
              </w:rPr>
            </w:pPr>
            <w:r>
              <w:rPr>
                <w:noProof/>
                <w:sz w:val="18"/>
              </w:rPr>
              <w:t>ERIEESMÄRK nr 1</w:t>
            </w:r>
            <w:r>
              <w:rPr>
                <w:rStyle w:val="FootnoteReference"/>
                <w:noProof/>
                <w:sz w:val="18"/>
              </w:rPr>
              <w:footnoteReference w:id="18"/>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ERIEESMÄRK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Erieesmärk nr 2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Kokkuvõte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A8"/>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w:t>
            </w:r>
            <w:r>
              <w:rPr>
                <w:rStyle w:val="FootnoteReference"/>
                <w:b/>
                <w:noProof/>
                <w:sz w:val="16"/>
              </w:rPr>
              <w:footnoteReference w:id="19"/>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Lisage vajalik arv aastaid, et kajastada kogu finantsmõju kestust (vt punkt 1.6)</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RUBRIIGI 5 vahesumma</w:t>
            </w:r>
            <w:r>
              <w:rPr>
                <w:noProof/>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Mitmeaastase finantsraamistiku RUBRIIGIST 5</w:t>
            </w:r>
            <w:r>
              <w:rPr>
                <w:rStyle w:val="FootnoteReference"/>
                <w:b/>
                <w:noProof/>
                <w:sz w:val="16"/>
              </w:rPr>
              <w:footnoteReference w:id="20"/>
            </w:r>
            <w:r>
              <w:rPr>
                <w:noProof/>
                <w:sz w:val="22"/>
              </w:rPr>
              <w:br/>
            </w:r>
            <w:r>
              <w:rPr>
                <w:b/>
                <w:noProof/>
                <w:sz w:val="16"/>
              </w:rPr>
              <w:t>välja jäävad kulud</w:t>
            </w:r>
            <w:r>
              <w:rPr>
                <w:noProof/>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Muud</w:t>
            </w:r>
            <w:r>
              <w:rPr>
                <w:noProof/>
                <w:sz w:val="22"/>
              </w:rPr>
              <w:br/>
            </w:r>
            <w:r>
              <w:rPr>
                <w:noProof/>
                <w:sz w:val="16"/>
              </w:rPr>
              <w:t>halduskulud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RUBRIIGIST 5</w:t>
            </w:r>
            <w:r>
              <w:rPr>
                <w:noProof/>
                <w:sz w:val="22"/>
              </w:rPr>
              <w:br/>
            </w:r>
            <w:r>
              <w:rPr>
                <w:b/>
                <w:noProof/>
                <w:sz w:val="16"/>
              </w:rPr>
              <w:t>väljajäävate kulude vahesumma</w:t>
            </w:r>
            <w:r>
              <w:rPr>
                <w:noProof/>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Personali ja muude halduskuludega seotud assigneeringute vajadused kaetakse asjaomase peadirektoraadi poolt kõnealuse meetme haldamiseks juba antud ja/või ümberpaigutatud assigneeringute raames, täiendades neid vajaduse korral täiendavate assigneeringutega, mida võidakse anda haldavale peadirektoraadile iga-aastase vahendite eraldamise menetluse käigus, arvestades eelarvepiirangutega.</w:t>
      </w:r>
      <w:r>
        <w:rPr>
          <w:noProof/>
        </w:rPr>
        <w:tab/>
      </w: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A8"/>
      </w:r>
      <w:r>
        <w:rPr>
          <w:noProof/>
        </w:rPr>
        <w:tab/>
        <w:t>Ettepanek/algatus hõlmab personali kasutamist, mis toimub järgmiselt:</w:t>
      </w:r>
    </w:p>
    <w:p>
      <w:pPr>
        <w:spacing w:after="60"/>
        <w:jc w:val="right"/>
        <w:rPr>
          <w:i/>
          <w:noProof/>
          <w:sz w:val="20"/>
        </w:rPr>
      </w:pPr>
      <w:r>
        <w:rPr>
          <w:i/>
          <w:noProof/>
          <w:sz w:val="20"/>
        </w:rPr>
        <w:t>Hinnanguline täistööajale taandatud töötajate arv</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Aasta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Aasta </w:t>
            </w:r>
            <w:r>
              <w:rPr>
                <w:b/>
                <w:noProof/>
                <w:sz w:val="16"/>
              </w:rPr>
              <w:t>N+3</w:t>
            </w:r>
          </w:p>
        </w:tc>
        <w:tc>
          <w:tcPr>
            <w:tcW w:w="345" w:type="pct"/>
            <w:gridSpan w:val="3"/>
            <w:shd w:val="clear" w:color="auto" w:fill="auto"/>
            <w:vAlign w:val="center"/>
          </w:tcPr>
          <w:p>
            <w:pPr>
              <w:jc w:val="center"/>
              <w:rPr>
                <w:b/>
                <w:noProof/>
                <w:sz w:val="16"/>
                <w:szCs w:val="16"/>
              </w:rPr>
            </w:pPr>
            <w:r>
              <w:rPr>
                <w:noProof/>
                <w:sz w:val="16"/>
              </w:rPr>
              <w:t>Lisage vajalik arv aastaid, et kajastada kogu finantsmõju kestust (vt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(komisjoni peakorteris ja esindustes)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w:t>
            </w:r>
            <w:r>
              <w:rPr>
                <w:noProof/>
              </w:rPr>
              <w:t xml:space="preserve"> </w:t>
            </w:r>
            <w:r>
              <w:rPr>
                <w:b/>
                <w:noProof/>
                <w:sz w:val="16"/>
              </w:rPr>
              <w:t>töötajad)</w:t>
            </w:r>
            <w:r>
              <w:rPr>
                <w:rStyle w:val="FootnoteReference"/>
                <w:b/>
                <w:noProof/>
                <w:sz w:val="16"/>
              </w:rPr>
              <w:footnoteReference w:id="2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renditööjõud)</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renditööjõud ja noored eksperdid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renditööjõud kaudse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eelarverida (täpsustage)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Kolmandate isikute rahaline osalus </w:t>
      </w:r>
    </w:p>
    <w:p>
      <w:pPr>
        <w:pStyle w:val="ListDash1"/>
        <w:rPr>
          <w:noProof/>
        </w:rPr>
      </w:pPr>
      <w:r>
        <w:rPr>
          <w:noProof/>
        </w:rPr>
        <w:t xml:space="preserve">Ettepanek/algatus ei hõlma kolmandate isikute poolset kaasrahastamist </w:t>
      </w:r>
    </w:p>
    <w:p>
      <w:pPr>
        <w:pStyle w:val="ListDash1"/>
        <w:rPr>
          <w:noProof/>
        </w:rPr>
      </w:pPr>
      <w:r>
        <w:rPr>
          <w:noProof/>
        </w:rPr>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sz w:val="22"/>
              </w:rPr>
              <w:br/>
            </w:r>
            <w:r>
              <w:rPr>
                <w:b/>
                <w:noProof/>
                <w:sz w:val="20"/>
              </w:rPr>
              <w:t>N</w:t>
            </w:r>
          </w:p>
        </w:tc>
        <w:tc>
          <w:tcPr>
            <w:tcW w:w="964" w:type="dxa"/>
            <w:vAlign w:val="center"/>
          </w:tcPr>
          <w:p>
            <w:pPr>
              <w:jc w:val="center"/>
              <w:rPr>
                <w:noProof/>
                <w:sz w:val="20"/>
              </w:rPr>
            </w:pPr>
            <w:r>
              <w:rPr>
                <w:noProof/>
                <w:sz w:val="20"/>
              </w:rPr>
              <w:t>Aasta</w:t>
            </w:r>
            <w:r>
              <w:rPr>
                <w:noProof/>
                <w:sz w:val="22"/>
              </w:rPr>
              <w:br/>
            </w:r>
            <w:r>
              <w:rPr>
                <w:b/>
                <w:noProof/>
                <w:sz w:val="20"/>
              </w:rPr>
              <w:t>N+1</w:t>
            </w:r>
          </w:p>
        </w:tc>
        <w:tc>
          <w:tcPr>
            <w:tcW w:w="964" w:type="dxa"/>
            <w:vAlign w:val="center"/>
          </w:tcPr>
          <w:p>
            <w:pPr>
              <w:jc w:val="center"/>
              <w:rPr>
                <w:noProof/>
                <w:sz w:val="20"/>
              </w:rPr>
            </w:pPr>
            <w:r>
              <w:rPr>
                <w:noProof/>
                <w:sz w:val="20"/>
              </w:rPr>
              <w:t>Aasta</w:t>
            </w:r>
            <w:r>
              <w:rPr>
                <w:noProof/>
                <w:sz w:val="22"/>
              </w:rPr>
              <w:br/>
            </w:r>
            <w:r>
              <w:rPr>
                <w:b/>
                <w:noProof/>
                <w:sz w:val="20"/>
              </w:rPr>
              <w:t>N+2</w:t>
            </w:r>
          </w:p>
        </w:tc>
        <w:tc>
          <w:tcPr>
            <w:tcW w:w="964" w:type="dxa"/>
            <w:vAlign w:val="center"/>
          </w:tcPr>
          <w:p>
            <w:pPr>
              <w:jc w:val="center"/>
              <w:rPr>
                <w:noProof/>
                <w:sz w:val="20"/>
              </w:rPr>
            </w:pPr>
            <w:r>
              <w:rPr>
                <w:noProof/>
                <w:sz w:val="20"/>
              </w:rPr>
              <w:t>Aasta</w:t>
            </w:r>
            <w:r>
              <w:rPr>
                <w:noProof/>
                <w:sz w:val="22"/>
              </w:rPr>
              <w:br/>
            </w:r>
            <w:r>
              <w:rPr>
                <w:b/>
                <w:noProof/>
                <w:sz w:val="20"/>
              </w:rPr>
              <w:t>N+3</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sz w:val="22"/>
              </w:rPr>
            </w:pPr>
            <w:r>
              <w:rPr>
                <w:noProof/>
                <w:sz w:val="20"/>
              </w:rPr>
              <w:t>Täpsustage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 Hinnanguline mõju tuludele </w:t>
      </w:r>
    </w:p>
    <w:p>
      <w:pPr>
        <w:pStyle w:val="ListDash1"/>
        <w:rPr>
          <w:noProof/>
        </w:rPr>
      </w:pPr>
      <w:r>
        <w:rPr>
          <w:noProof/>
        </w:rPr>
        <w:sym w:font="Wingdings" w:char="F0A8"/>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Täpsustage tuludele avalduva mõju arvutusmeetod.</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Ettepanek: Euroopa Parlamendi ja nõukogu määrus, millega kehtestatakse ühissätted Euroopa Regionaalarengu Fondi, Euroopa Sotsiaalfondi+, Ühtekuuluvusfondi ning Euroopa Merendus- ja Kalandusfondi kohta ning nende ja Varjupaiga-, Rände- ja Integratsioonifondi, Sisejulgeolekufondi ning piirihalduse ja viisade rahastamisvahendi suhtes kohaldatavad finantseeskirjad, COM(2018) 375 final, 29.5.2018. Eelmaksete kord on sätestatud artiklis 84. Kuna ajavahemikuks 2021–2027 on kavandatud ainult ühte liiki eelmaksed, ei eristata kasutatud mõistetes „esialgseid“ ja „iga-aastaseid“ eelmakseid. Kavandatud eelmaksete kord sarnaneb siiski määruses (EL) nr 1303/2013 sätestatud „esialgsete eelmaksete“ korraga.</w:t>
      </w:r>
    </w:p>
  </w:footnote>
  <w:footnote w:id="2">
    <w:p>
      <w:pPr>
        <w:pStyle w:val="FootnoteText"/>
      </w:pPr>
      <w:r>
        <w:rPr>
          <w:rStyle w:val="FootnoteReference"/>
        </w:rPr>
        <w:footnoteRef/>
      </w:r>
      <w:r>
        <w:tab/>
        <w:t xml:space="preserve">Komisjoni teatise Euroopa Parlamendile, Euroopa Ülemkogule, nõukogule, Euroopa Majandus- ja Sotsiaalkomiteele ning Regioonide Komiteele „Tänapäevane eelarve liidu jaoks, mis hoiab, kaitseb ja avardab võimalusi“ (COM(2018) 321 final, 2.5.2018) lisa ning Euroopa Parlamendi ja nõukogu määruse ettepaneku (millega kehtestatakse ühissätted Euroopa Regionaalarengu Fondi, Euroopa Sotsiaalfondi+, Ühtekuuluvusfondi ning Euroopa Merendus- ja Kalandusfondi kohta ning nende ja Varjupaiga-, Rände- ja Integratsioonifondi, Sisejulgeolekufondi ning piirihalduse ja viisade rahastamisvahendi suhtes kohaldatavad finantseeskirjad; </w:t>
      </w:r>
      <w:r>
        <w:fldChar w:fldCharType="begin"/>
      </w:r>
      <w:r>
        <w:instrText>QUOTE "</w:instrText>
      </w:r>
      <w:r>
        <w:fldChar w:fldCharType="end"/>
      </w:r>
      <w:r>
        <w:t>, 29.5.2018) seletuskirja punkt 5.</w:t>
      </w:r>
    </w:p>
  </w:footnote>
  <w:footnote w:id="3">
    <w:p>
      <w:pPr>
        <w:pStyle w:val="FootnoteText"/>
      </w:pPr>
      <w:r>
        <w:rPr>
          <w:rStyle w:val="FootnoteReference"/>
        </w:rPr>
        <w:footnoteRef/>
      </w:r>
      <w:r>
        <w:tab/>
        <w:t>Euroopa Parlamendi ja nõukogu 17. detsembri 2013. aasta määrus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 nagu seda on viimati muudetud Euroopa Parlamendi ja nõukogu 12. detsembri 2017. aasta määrusega (EL) 2017/2305, millega muudetakse määrust (EL) nr 1303/2013 seoses majandusliku, sotsiaalse ja territoriaalse ühtekuuluvuse vahendite ning majanduskasvu ja tööhõivesse investeerimise eesmärgi ning Euroopa territoriaalse koostöö eesmärgi jaoks ette nähtud vahendite muutmisega (ELT L 335, 15.12.2017, lk 1).</w:t>
      </w:r>
    </w:p>
  </w:footnote>
  <w:footnote w:id="4">
    <w:p>
      <w:pPr>
        <w:pStyle w:val="FootnoteText"/>
      </w:pPr>
      <w:r>
        <w:rPr>
          <w:rStyle w:val="FootnoteReference"/>
        </w:rPr>
        <w:footnoteRef/>
      </w:r>
      <w:r>
        <w:tab/>
        <w:t>ELT C , , lk .</w:t>
      </w:r>
    </w:p>
  </w:footnote>
  <w:footnote w:id="5">
    <w:p>
      <w:pPr>
        <w:pStyle w:val="FootnoteText"/>
      </w:pPr>
      <w:r>
        <w:rPr>
          <w:rStyle w:val="FootnoteReference"/>
        </w:rPr>
        <w:footnoteRef/>
      </w:r>
      <w:r>
        <w:tab/>
        <w:t>ELT C , , lk .</w:t>
      </w:r>
    </w:p>
  </w:footnote>
  <w:footnote w:id="6">
    <w:p>
      <w:pPr>
        <w:pStyle w:val="FootnoteText"/>
      </w:pPr>
      <w:r>
        <w:rPr>
          <w:rStyle w:val="FootnoteReference"/>
        </w:rPr>
        <w:footnoteRef/>
      </w:r>
      <w:r>
        <w:tab/>
        <w:t>Euroopa Parlamendi ja nõukogu 17. detsembri 2013. aasta määrus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footnote>
  <w:footnote w:id="7">
    <w:p>
      <w:pPr>
        <w:pStyle w:val="FootnoteText"/>
        <w:rPr>
          <w:szCs w:val="24"/>
        </w:rPr>
      </w:pPr>
      <w:r>
        <w:rPr>
          <w:rStyle w:val="FootnoteReference"/>
        </w:rPr>
        <w:footnoteRef/>
      </w:r>
      <w:r>
        <w:tab/>
        <w:t>ABM: tegevuspõhine juhtimine; ABB: tegevuspõhine eelarvestamine.</w:t>
      </w:r>
    </w:p>
  </w:footnote>
  <w:footnote w:id="8">
    <w:p>
      <w:pPr>
        <w:pStyle w:val="FootnoteText"/>
        <w:rPr>
          <w:szCs w:val="24"/>
        </w:rPr>
      </w:pPr>
      <w:r>
        <w:rPr>
          <w:rStyle w:val="FootnoteReference"/>
        </w:rPr>
        <w:footnoteRef/>
      </w:r>
      <w:r>
        <w:tab/>
        <w:t>Vastavalt finantsmääruse artikli 54 lõike 2 punktile a või b.</w:t>
      </w:r>
    </w:p>
  </w:footnote>
  <w:footnote w:id="9">
    <w:p>
      <w:pPr>
        <w:pStyle w:val="FootnoteText"/>
        <w:rPr>
          <w:szCs w:val="24"/>
        </w:rPr>
      </w:pPr>
      <w:r>
        <w:rPr>
          <w:rStyle w:val="FootnoteReference"/>
        </w:rPr>
        <w:footnoteRef/>
      </w:r>
      <w:r>
        <w:tab/>
        <w:t xml:space="preserve">Eelarve täitmise viise koos viidetega finantsmäärusele on selgitatud veebisaidil </w:t>
      </w:r>
      <w:hyperlink r:id="rId1">
        <w:r>
          <w:rPr>
            <w:rStyle w:val="Hyperlink"/>
            <w:sz w:val="18"/>
          </w:rPr>
          <w:t>http://www.cc.cec/budg/man/budgmanag/budgmanag_en.html</w:t>
        </w:r>
        <w:r>
          <w:rPr>
            <w:rStyle w:val="Hyperlink"/>
            <w:sz w:val="18"/>
            <w:u w:val="none"/>
          </w:rPr>
          <w:t>.</w:t>
        </w:r>
      </w:hyperlink>
    </w:p>
  </w:footnote>
  <w:footnote w:id="10">
    <w:p>
      <w:pPr>
        <w:pStyle w:val="FootnoteText"/>
        <w:rPr>
          <w:szCs w:val="24"/>
        </w:rPr>
      </w:pPr>
      <w:r>
        <w:rPr>
          <w:rStyle w:val="FootnoteReference"/>
        </w:rPr>
        <w:footnoteRef/>
      </w:r>
      <w:r>
        <w:tab/>
        <w:t>Liigendatud assigneeringud / liigendamata assigneeringud.</w:t>
      </w:r>
    </w:p>
  </w:footnote>
  <w:footnote w:id="11">
    <w:p>
      <w:pPr>
        <w:pStyle w:val="FootnoteText"/>
        <w:rPr>
          <w:szCs w:val="24"/>
        </w:rPr>
      </w:pPr>
      <w:r>
        <w:rPr>
          <w:rStyle w:val="FootnoteReference"/>
        </w:rPr>
        <w:footnoteRef/>
      </w:r>
      <w:r>
        <w:tab/>
        <w:t xml:space="preserve">EFTA: Euroopa Vabakaubanduse Assotsiatsioon. </w:t>
      </w:r>
    </w:p>
  </w:footnote>
  <w:footnote w:id="12">
    <w:p>
      <w:pPr>
        <w:pStyle w:val="FootnoteText"/>
        <w:rPr>
          <w:szCs w:val="24"/>
        </w:rPr>
      </w:pPr>
      <w:r>
        <w:rPr>
          <w:rStyle w:val="FootnoteReference"/>
        </w:rPr>
        <w:footnoteRef/>
      </w:r>
      <w:r>
        <w:tab/>
        <w:t>Kandidaatriigid ja vajaduse korral Lääne-Balkani potentsiaalsed kandidaatriigid.</w:t>
      </w:r>
    </w:p>
  </w:footnote>
  <w:footnote w:id="13">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14">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15">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16">
    <w:p>
      <w:pPr>
        <w:pStyle w:val="FootnoteText"/>
        <w:rPr>
          <w:szCs w:val="24"/>
        </w:rPr>
      </w:pPr>
      <w:r>
        <w:rPr>
          <w:rStyle w:val="FootnoteReference"/>
        </w:rPr>
        <w:footnoteRef/>
      </w:r>
      <w:r>
        <w:tab/>
        <w:t>Aasta N, mil alustatakse ettepaneku/algatuse rakendamist.</w:t>
      </w:r>
    </w:p>
  </w:footnote>
  <w:footnote w:id="17">
    <w:p>
      <w:pPr>
        <w:pStyle w:val="FootnoteText"/>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8">
    <w:p>
      <w:pPr>
        <w:pStyle w:val="FootnoteText"/>
        <w:rPr>
          <w:szCs w:val="24"/>
        </w:rPr>
      </w:pPr>
      <w:r>
        <w:rPr>
          <w:rStyle w:val="FootnoteReference"/>
        </w:rPr>
        <w:footnoteRef/>
      </w:r>
      <w:r>
        <w:tab/>
        <w:t xml:space="preserve">Vastavalt punktis 1.4.2 nimetatud erieesmärkidele. </w:t>
      </w:r>
    </w:p>
  </w:footnote>
  <w:footnote w:id="19">
    <w:p>
      <w:pPr>
        <w:pStyle w:val="FootnoteText"/>
        <w:rPr>
          <w:szCs w:val="24"/>
        </w:rPr>
      </w:pPr>
      <w:r>
        <w:rPr>
          <w:rStyle w:val="FootnoteReference"/>
        </w:rPr>
        <w:footnoteRef/>
      </w:r>
      <w:r>
        <w:tab/>
        <w:t>Aasta N, mil alustatakse ettepaneku/algatuse rakendamist.</w:t>
      </w:r>
    </w:p>
  </w:footnote>
  <w:footnote w:id="20">
    <w:p>
      <w:pPr>
        <w:pStyle w:val="FootnoteText"/>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21">
    <w:p>
      <w:pPr>
        <w:pStyle w:val="FootnoteText"/>
        <w:rPr>
          <w:szCs w:val="24"/>
        </w:rPr>
      </w:pPr>
      <w:r>
        <w:rPr>
          <w:rStyle w:val="FootnoteReference"/>
        </w:rPr>
        <w:footnoteRef/>
      </w:r>
      <w:r>
        <w:tab/>
        <w:t xml:space="preserve">Lepingulised töötajad, kohalikud töötajad, riikide lähetatud eksperdid, renditööjõud, noored eksperdid delegatsioonides. </w:t>
      </w:r>
    </w:p>
  </w:footnote>
  <w:footnote w:id="22">
    <w:p>
      <w:pPr>
        <w:pStyle w:val="FootnoteText"/>
        <w:rPr>
          <w:szCs w:val="24"/>
        </w:rPr>
      </w:pPr>
      <w:r>
        <w:rPr>
          <w:rStyle w:val="FootnoteReference"/>
        </w:rPr>
        <w:footnoteRef/>
      </w:r>
      <w:r>
        <w:tab/>
        <w:t>Tegevusassigneeringutest rahastatavate koosseisuväliste töötajate ülempiiri arvestades (endised BA read).</w:t>
      </w:r>
    </w:p>
  </w:footnote>
  <w:footnote w:id="23">
    <w:p>
      <w:pPr>
        <w:pStyle w:val="FootnoteText"/>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A07E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9601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04F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AA1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74A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9C084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4"/>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9"/>
  </w:num>
  <w:num w:numId="15">
    <w:abstractNumId w:val="11"/>
  </w:num>
  <w:num w:numId="16">
    <w:abstractNumId w:val="22"/>
  </w:num>
  <w:num w:numId="17">
    <w:abstractNumId w:val="10"/>
  </w:num>
  <w:num w:numId="18">
    <w:abstractNumId w:val="12"/>
  </w:num>
  <w:num w:numId="19">
    <w:abstractNumId w:val="8"/>
  </w:num>
  <w:num w:numId="20">
    <w:abstractNumId w:val="21"/>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4"/>
  </w:num>
  <w:num w:numId="28">
    <w:abstractNumId w:val="19"/>
  </w:num>
  <w:num w:numId="29">
    <w:abstractNumId w:val="11"/>
  </w:num>
  <w:num w:numId="30">
    <w:abstractNumId w:val="22"/>
  </w:num>
  <w:num w:numId="31">
    <w:abstractNumId w:val="10"/>
  </w:num>
  <w:num w:numId="32">
    <w:abstractNumId w:val="12"/>
  </w:num>
  <w:num w:numId="33">
    <w:abstractNumId w:val="8"/>
  </w:num>
  <w:num w:numId="34">
    <w:abstractNumId w:val="21"/>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03 11:21: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525F0BF7-661D-4091-8A25-906814F73E45"/>
    <w:docVar w:name="LW_COVERPAGE_TYPE" w:val="1"/>
    <w:docVar w:name="LW_CROSSREFERENCE" w:val="&lt;UNUSED&gt;"/>
    <w:docVar w:name="LW_DocType" w:val="COM"/>
    <w:docVar w:name="LW_EMISSION" w:val="7.9.2018"/>
    <w:docVar w:name="LW_EMISSION_ISODATE" w:val="2018-09-07"/>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22"/>
    <w:docVar w:name="LW_REF.II.NEW.CP_YEAR" w:val="2018"/>
    <w:docVar w:name="LW_REF.INST.NEW" w:val="COM"/>
    <w:docVar w:name="LW_REF.INST.NEW_ADOPTED" w:val="final"/>
    <w:docVar w:name="LW_REF.INST.NEW_TEXT" w:val="(2018) 6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määrust (EL) nr 1303/2013 seoses iga-aastaste eelmaksete korrigeerimisega aastateks 2021\u8211?2023"/>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4774">
      <w:bodyDiv w:val="1"/>
      <w:marLeft w:val="0"/>
      <w:marRight w:val="0"/>
      <w:marTop w:val="0"/>
      <w:marBottom w:val="0"/>
      <w:divBdr>
        <w:top w:val="none" w:sz="0" w:space="0" w:color="auto"/>
        <w:left w:val="none" w:sz="0" w:space="0" w:color="auto"/>
        <w:bottom w:val="none" w:sz="0" w:space="0" w:color="auto"/>
        <w:right w:val="none" w:sz="0" w:space="0" w:color="auto"/>
      </w:divBdr>
    </w:div>
    <w:div w:id="1222863103">
      <w:bodyDiv w:val="1"/>
      <w:marLeft w:val="0"/>
      <w:marRight w:val="0"/>
      <w:marTop w:val="0"/>
      <w:marBottom w:val="0"/>
      <w:divBdr>
        <w:top w:val="none" w:sz="0" w:space="0" w:color="auto"/>
        <w:left w:val="none" w:sz="0" w:space="0" w:color="auto"/>
        <w:bottom w:val="none" w:sz="0" w:space="0" w:color="auto"/>
        <w:right w:val="none" w:sz="0" w:space="0" w:color="auto"/>
      </w:divBdr>
    </w:div>
    <w:div w:id="1708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D0A-9B82-44D5-B7AF-001F4062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2749</Words>
  <Characters>20982</Characters>
  <Application>Microsoft Office Word</Application>
  <DocSecurity>0</DocSecurity>
  <Lines>1498</Lines>
  <Paragraphs>697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2018-06-12T08:51:00Z</cp:lastPrinted>
  <dcterms:created xsi:type="dcterms:W3CDTF">2018-08-13T09:05:00Z</dcterms:created>
  <dcterms:modified xsi:type="dcterms:W3CDTF">2018-09-03T09:21:00Z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