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6FC6A0E2-CEB0-487E-86F9-A6AA9FA0FB11" style="width:450.75pt;height:351.75pt">
            <v:imagedata r:id="rId9" o:title=""/>
          </v:shape>
        </w:pict>
      </w:r>
    </w:p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Przyczyny i cele wniosku</w:t>
      </w:r>
    </w:p>
    <w:p>
      <w:pPr>
        <w:rPr>
          <w:rFonts w:eastAsia="Arial Unicode MS"/>
          <w:noProof/>
        </w:rPr>
      </w:pPr>
      <w:r>
        <w:rPr>
          <w:noProof/>
        </w:rPr>
        <w:t>Z dowodów wynika, że po dokonaniu rocznych płatności zaliczkowych na rzecz państw członkowskich za dany rok obrachunkowy i ich rozliczeniu przy zatwierdzeniu zestawienia wydatków wydawane są roczne nakazy odzyskania środków o znacznej wysokości (na przykład w 2017 r. było to 6,6 mld EUR). W praktyce oznacza to, że państwa członkowskie wzywa się do wniesienia środków w celu sfinansowania środków na płatności w ramach budżetu Unii, które są następnie wypłacane państwom członkowskim jako roczne płatności zaliczkowe, a rok później znaczna część tych płatności musi być odzyskiwana.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W związku z tym, aby zwiększyć przejrzystość i przyczynić się do przewidywalnego planowania budżetowego oraz do bardziej stabilnego i przewidywalnego profilu płatności, proponuje się, aby przez ostatnie trzy lata bieżącego okresu wdrażania 2021–2023, które nakładają się na kolejny okres wdrażania rozpoczynający się w 2021 r., roczne płatności zaliczkowe zostały zmniejszone do niezbędnego minimum. Podejście to uwzględnia również potrzeby w zakresie płatności wynikające z ustaleń dotyczących płatności zaliczkowych proponowanych w odniesieniu do programów na lata 2021–2027, zgodnie z którymi jedynie początkowe płatności zaliczkowe będą wypłacane w sześciu rocznych transzach</w:t>
      </w:r>
      <w:r>
        <w:rPr>
          <w:rStyle w:val="FootnoteReference"/>
          <w:noProof/>
        </w:rPr>
        <w:footnoteReference w:id="1"/>
      </w:r>
      <w:r>
        <w:rPr>
          <w:noProof/>
        </w:rPr>
        <w:t>. Zamiar ten był już sygnalizowany przez Komisję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przepisami obowiązującymi w tej dziedzinie polityki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Wniosek jest spójny z przepisami dotyczącymi zarządzania budżetem europejskich funduszy strukturalnych i inwestycyjnych (ESI) określonymi w rozporządzeniu (UE) nr 1303/2013</w:t>
      </w:r>
      <w:r>
        <w:rPr>
          <w:rStyle w:val="FootnoteReference"/>
          <w:noProof/>
          <w:sz w:val="23"/>
        </w:rPr>
        <w:footnoteReference w:id="3"/>
      </w:r>
      <w:r>
        <w:rPr>
          <w:noProof/>
          <w:sz w:val="23"/>
        </w:rPr>
        <w:t>. Zmiana ta nie modyfikuje struktury tych przepisów.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Spójność z innymi politykami Unii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  <w:r>
        <w:rPr>
          <w:noProof/>
        </w:rPr>
        <w:t>Wniosek jest spójny z </w:t>
      </w:r>
      <w:r>
        <w:rPr>
          <w:noProof/>
          <w:sz w:val="23"/>
        </w:rPr>
        <w:t>innymi wnioskami i inicjatywami przyjętymi przez Komisję Europejską</w:t>
      </w:r>
      <w:r>
        <w:rPr>
          <w:noProof/>
        </w:rPr>
        <w:t>.</w:t>
      </w:r>
      <w:r>
        <w:rPr>
          <w:noProof/>
          <w:sz w:val="23"/>
        </w:rPr>
        <w:t xml:space="preserve"> Jest on również zgodny z wymogami należytego zarządzania budżetem.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Podstawa prawna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sz w:val="23"/>
        </w:rPr>
        <w:t>Rozporządzeniem (UE) nr 1303/2013 ustanowiono wspólne przepisy mające zastosowanie do EFSI. W oparciu o zasadę zarządzania dzielonego między Komisję i państwa członkowskie niniejsze rozporządzenie zawiera przepisy dotyczące procesu programowania, jak również ustalenia dotyczące zarządzania programami (w tym zarządzania finansowego), ich monitorowania, kontroli finansowej i oceny projektów.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Pomocniczość (w przypadku kompetencji niewyłącznych)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 xml:space="preserve">Wniosek dotyczy zmniejszenia rocznych płatności zaliczkowych dokonywanych przez Komisję z budżetu Unii na rzecz państw członkowskich. Stawki rocznych płatności zaliczkowych są określone na poziomie Unii w rozporządzeniu (UE) nr 1303/2013. W związku z tym zmiana przepisów określonych w tym rozporządzeniu wymaga jego zmiany. Środki krajowe lub regionalne nie są odpowiednie, aby rozwiązać przedmiotowy problem. W związku z powyższym niniejszy wniosek jest zgodny z zasadą pomocniczości.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Proporcjonalność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Wniosek jest zgodny z zasadą proporcjonalności, ponieważ ogranicza się do minimum wymaganego do osiągnięcia wymienionych celów na szczeblu unijnym i nie wykracza poza to, co jest konieczne do realizacji tych celów. Stawka rocznych płatności zaliczkowych jest zmniejszana, aby była proporcjonalna do potrzeb w zakresie przepływów pieniężnych, z uwzględnieniem szybszego tempa przepływu środków pieniężnych na podstawie wniosków o płatności okresowe w związku z przyspieszonym wdrażaniem EFSI. Przy ustalaniu proponowanej wysokości stawki Komisja wzięła pod uwagę fakt, że w przypadku odnośnych lat podstawa, do której odnoszą się wartości procentowe, obejmuje już rezerwę wykonania, a zatem niższa wartość procentowa może gwarantować taką samą kwotę płatności zaliczkowych.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Wybór instrumentu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sz w:val="23"/>
        </w:rPr>
        <w:t xml:space="preserve">Proponowany instrument: zmiana obecnego rozporządzenia. </w:t>
      </w:r>
      <w:r>
        <w:rPr>
          <w:noProof/>
        </w:rPr>
        <w:t>Komisja przeanalizowała możliwości działania określone w ramach prawnych i uważa za konieczne zaproponowanie zmian w rozporządzeniu (UE) nr 1303/2013.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WYNIKI OCEN EX POST, KONSULTACJI Z ZAINTERESOWANYMI STRONAMI I OCEN SKUTKÓW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 xml:space="preserve">Oceny </w:t>
      </w:r>
      <w:r>
        <w:rPr>
          <w:i/>
          <w:noProof/>
        </w:rPr>
        <w:t>ex post</w:t>
      </w:r>
      <w:r>
        <w:rPr>
          <w:noProof/>
        </w:rPr>
        <w:t>/kontrole sprawności obowiązującego prawodawstwa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sz w:val="23"/>
        </w:rPr>
        <w:t xml:space="preserve">Nie przeprowadzono oceny </w:t>
      </w:r>
      <w:r>
        <w:rPr>
          <w:i/>
          <w:noProof/>
          <w:sz w:val="23"/>
        </w:rPr>
        <w:t>ex post</w:t>
      </w:r>
      <w:r>
        <w:rPr>
          <w:noProof/>
          <w:sz w:val="23"/>
        </w:rPr>
        <w:t xml:space="preserve"> ani kontroli sprawności obowiązującego prawodawstwa.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Konsultacje z zainteresowanymi stronami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Nie przeprowadzono konsultacji z zainteresowanymi podmiotami zewnętrznymi.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Gromadzenie i wykorzystanie wiedzy eksperckiej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sz w:val="23"/>
        </w:rPr>
        <w:t>Nie zaistniała potrzeba skorzystania z pomocy ekspertów zewnętrznych.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Ocena skutków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 xml:space="preserve">Nie przewiduje się, aby wniosek miał znaczące skutki gospodarcze, społeczne lub środowiskowe. Wniosek spowoduje zmniejszenie rocznych płatności zaliczkowych z 3 % kwoty wsparcia z funduszy i z Europejskiego Funduszu Morskiego i Rybackiego („EFMR”) na cały okres programowania dla programu operacyjnego do 1 % w latach 2021–2023, która to wartość procentowa </w:t>
      </w:r>
      <w:r>
        <w:rPr>
          <w:noProof/>
        </w:rPr>
        <w:t>lepiej odpowiada potrzebom w zakresie przepływów pieniężnych związanym z realizacją programu. Te niższe płatności zaliczkowe uwzględniają spodziewane szybsze przedkładanie wniosków o płatności okresowe oraz fakt, że w tych latach podstawa do obliczenia kwoty rocznych płatności zaliczkowych jest zwiększona o wielkość rezerwy wykonania – która do tego czasu zostanie ostatecznie przyznana – a także o płatności zaliczkowe dostępne dla państw członkowskich z okresu programowania 2021–2027.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Biorąc pod uwagę fakt, że roczne płatności zaliczkowe są udostępniane w roku obrachunkowym, który obejmuje dwa (jednoroczne) lata budżetowe, nadwyżka wypłacona w roku N jako roczna płatność zaliczkowa jest rozliczana w roku N +1, co prowadzi do zbędnych przepływów płatności bez żadnej wartości dodanej. Zmniejszenie stawki rocznych płatności zaliczkowych w proponowanych latach przyczyni się do zwiększenia</w:t>
      </w:r>
      <w:r>
        <w:rPr>
          <w:noProof/>
        </w:rPr>
        <w:t xml:space="preserve"> przewidywalności planowania budżetowego, do bardziej stabilnego i przewidywalnego profilu płatności, do zmniejszenia ryzyka zaległości w płatnościach, do większej przejrzystości potrzeb w zakresie płatności, a tym samym do lepszego zarządzania budżetem.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Sprawność regulacyjna i uproszczenie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sz w:val="23"/>
        </w:rPr>
        <w:t>Nie jest to inicjatywa w ramach programu sprawności i wydajności regulacyjnej (REFIT).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Prawa podstawowe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sz w:val="23"/>
        </w:rPr>
        <w:t>Wniosek nie ma skutków dla ochrony praw podstawowych.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 xml:space="preserve">Brak jest wpływu na środki na zobowiązania, ponieważ nie proponuje się zmiany maksymalnych kwot finansowania ze środków EFSI przewidzianych w programach operacyjnych w okresie programowania 2014–2020.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 xml:space="preserve">Łączny wpływ na środki na płatności jest zneutralizowany. Jak opisano w ocenie skutków finansowych załączonej do wniosku, proponowana zmiana przyczyni się do zmniejszenia środków na płatności w odniesieniu do roku 2021 wyłącznie dzięki zmniejszeniu kwot rocznych płatności zaliczkowych; zmniejszenie to zostanie wyrównane wyższymi potrzebami w zakresie płatności w 2024 r. W latach 2022 i 2023 niższe roczne płatności zaliczkowe zostaną skompensowane w ramach analizy i zatwierdzania zestawień wydatków, a zatem skutek zmiany jest neutralny. 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ELEMENTY FAKULTATYWNE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Plany wdrożenia i monitorowanie, ocena i sprawozdania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sz w:val="23"/>
        </w:rPr>
        <w:t>Nie dotyczy. Istniejące systemy wdrażania w ramach EFSI mogą zostać wykorzystane do monitorowania wdrożenia tego wniosku.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Dokumenty wyjaśniające (w przypadku dyrektyw)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  <w:sz w:val="23"/>
        </w:rPr>
        <w:t>Nie dotyczy.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Szczegółowe objaśnienia poszczególnych przepisów wniosku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  <w:sz w:val="23"/>
          <w:szCs w:val="23"/>
        </w:rPr>
      </w:pPr>
      <w:r>
        <w:rPr>
          <w:noProof/>
          <w:sz w:val="23"/>
        </w:rPr>
        <w:t>Art. 134 ust. 2 zostanie zmieniony, aby określić poziom rocznych płatności zaliczkowych w latach 2021–2023 jako 1 % kwoty wsparcia z funduszy i z EFMR na cały okres programowania dla programu operacyjnego, podczas gdy obecnie obowiązuje poziom 3 %. Roczne płatności zaliczkowe w 2020 r. utrzymuje się na poziomie 3 % kwoty wsparcia z funduszy i z EFMR na cały okres programowania dla programu operacyjnego</w:t>
      </w:r>
      <w:r>
        <w:rPr>
          <w:noProof/>
        </w:rPr>
        <w:t>.</w:t>
      </w:r>
    </w:p>
    <w:p>
      <w:pPr>
        <w:rPr>
          <w:noProof/>
        </w:rPr>
        <w:sectPr>
          <w:footerReference w:type="default" r:id="rId16"/>
          <w:footerReference w:type="first" r:id="rId17"/>
          <w:footnotePr>
            <w:numRestart w:val="eachSect"/>
          </w:footnote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2018/0322 (COD)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ROZPORZĄDZENIE PARLAMENTU EUROPEJSKIEGO I RADY</w:t>
      </w:r>
    </w:p>
    <w:p>
      <w:pPr>
        <w:pStyle w:val="Titreobjet"/>
        <w:rPr>
          <w:noProof/>
        </w:rPr>
      </w:pPr>
      <w:r>
        <w:rPr>
          <w:noProof/>
        </w:rPr>
        <w:t>zmieniające rozporządzenie (UE) nr 1303/2013 w zakresie dostosowania rocznych płatności zaliczkowych w latach 2021–2023</w:t>
      </w:r>
    </w:p>
    <w:p>
      <w:pPr>
        <w:pStyle w:val="Institutionquiagit"/>
        <w:rPr>
          <w:noProof/>
        </w:rPr>
      </w:pPr>
      <w:r>
        <w:rPr>
          <w:noProof/>
        </w:rPr>
        <w:t>PARLAMENT EUROPEJSKI I RADA UNII EUROPEJSKIEJ,</w:t>
      </w:r>
    </w:p>
    <w:p>
      <w:pPr>
        <w:rPr>
          <w:noProof/>
        </w:rPr>
      </w:pPr>
      <w:r>
        <w:rPr>
          <w:noProof/>
        </w:rPr>
        <w:t>uwzględniając Traktat o funkcjonowaniu Unii Europejskiej, w szczególności jego art. 177,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po przekazaniu projektu aktu ustawodawczego parlamentom narodowym,</w:t>
      </w:r>
    </w:p>
    <w:p>
      <w:pPr>
        <w:rPr>
          <w:noProof/>
        </w:rPr>
      </w:pPr>
      <w:r>
        <w:rPr>
          <w:noProof/>
        </w:rPr>
        <w:t>uwzględniając opinię Europejskiego Komitetu Ekonomiczno-Społecznego</w:t>
      </w:r>
      <w:r>
        <w:rPr>
          <w:rStyle w:val="FootnoteReference"/>
          <w:noProof/>
        </w:rPr>
        <w:footnoteReference w:id="4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uwzględniając opinię Komitetu Regionów</w:t>
      </w:r>
      <w:r>
        <w:rPr>
          <w:rStyle w:val="FootnoteReference"/>
          <w:noProof/>
        </w:rPr>
        <w:footnoteReference w:id="5"/>
      </w:r>
      <w:r>
        <w:rPr>
          <w:noProof/>
        </w:rPr>
        <w:t>,</w:t>
      </w:r>
    </w:p>
    <w:p>
      <w:pPr>
        <w:rPr>
          <w:noProof/>
        </w:rPr>
      </w:pPr>
      <w:r>
        <w:rPr>
          <w:noProof/>
        </w:rPr>
        <w:t>stanowiąc zgodnie ze zwykłą procedurą ustawodawczą,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Rozporządzeniem Parlamentu Europejskiego i Rady (UE) nr 1303/2013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ustanowiono wspólne i ogólne przepisy mające zastosowanie do europejskich funduszy strukturalnych i inwestycyjnych.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Dowody wskazują, że roczne płatności zaliczkowe określono na bardzo wysokim poziomie w porównaniu z wymogami w zakresie zarządzania finansowego związanymi z realizacją programów operacyjnych; dotyczy to zwłaszcza lat budżetowych 2021–2023.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Aby zmniejszyć presję na środki na płatności w budżecie Unii na lata budżetowe 2021–2023 oraz zwiększyć przewidywalność potrzeb płatniczych, a tym samym przyczynić się do bardziej przejrzystego planowania budżetowego i do bardziej uporządkowanego profilu płatności, należy obniżyć stopę rocznych płatności zaliczkowych w tych latach. </w:t>
      </w:r>
    </w:p>
    <w:p>
      <w:pPr>
        <w:pStyle w:val="ManualConsidrant"/>
        <w:rPr>
          <w:noProof/>
          <w:szCs w:val="24"/>
        </w:rPr>
      </w:pPr>
      <w:r>
        <w:t>(4)</w:t>
      </w:r>
      <w:r>
        <w:tab/>
      </w:r>
      <w:r>
        <w:rPr>
          <w:noProof/>
        </w:rPr>
        <w:t>Należy zatem odpowiednio zmienić rozporządzenie (UE) nr 1303/2013,</w:t>
      </w:r>
    </w:p>
    <w:p>
      <w:pPr>
        <w:pStyle w:val="Formuledadoption"/>
        <w:rPr>
          <w:noProof/>
        </w:rPr>
      </w:pPr>
      <w:r>
        <w:rPr>
          <w:noProof/>
        </w:rPr>
        <w:t>PRZYJMUJĄ NINIEJSZE ROZPORZĄDZENIE: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keepNext/>
        <w:jc w:val="left"/>
        <w:rPr>
          <w:noProof/>
        </w:rPr>
      </w:pPr>
      <w:r>
        <w:rPr>
          <w:noProof/>
        </w:rPr>
        <w:t>W art. 134 ust. 2 do rozporządzenia (UE) nr 1303/2013 wprowadza się następujące zmiany:</w:t>
      </w:r>
    </w:p>
    <w:p>
      <w:pPr>
        <w:rPr>
          <w:noProof/>
        </w:rPr>
      </w:pPr>
      <w:r>
        <w:rPr>
          <w:noProof/>
        </w:rPr>
        <w:t>a)</w:t>
      </w:r>
      <w:r>
        <w:rPr>
          <w:noProof/>
        </w:rPr>
        <w:tab/>
        <w:t>tiret piąte otrzymuje brzmienie:</w:t>
      </w:r>
    </w:p>
    <w:p>
      <w:pPr>
        <w:pStyle w:val="Text1"/>
        <w:rPr>
          <w:noProof/>
        </w:rPr>
      </w:pPr>
      <w:r>
        <w:rPr>
          <w:noProof/>
        </w:rPr>
        <w:t>„— 2020: 3 %”;</w:t>
      </w:r>
    </w:p>
    <w:p>
      <w:pPr>
        <w:rPr>
          <w:noProof/>
        </w:rPr>
      </w:pPr>
      <w:r>
        <w:rPr>
          <w:noProof/>
        </w:rPr>
        <w:t>b)</w:t>
      </w:r>
      <w:r>
        <w:rPr>
          <w:noProof/>
        </w:rPr>
        <w:tab/>
        <w:t>dodaje się tiret w brzmieniu:</w:t>
      </w:r>
    </w:p>
    <w:p>
      <w:pPr>
        <w:pStyle w:val="Text1"/>
        <w:rPr>
          <w:noProof/>
        </w:rPr>
      </w:pPr>
      <w:r>
        <w:rPr>
          <w:noProof/>
        </w:rPr>
        <w:t>„— 2021–2023: 1 %”.</w:t>
      </w: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rPr>
          <w:noProof/>
        </w:rPr>
      </w:pPr>
      <w:r>
        <w:rPr>
          <w:noProof/>
        </w:rPr>
        <w:t>Niniejsze rozporządzenie wchodzi w życie dwudziestego dnia po jego opublikowaniu w </w:t>
      </w:r>
      <w:r>
        <w:rPr>
          <w:i/>
          <w:noProof/>
        </w:rPr>
        <w:t>Dzienniku Urzędowym Unii Europejskiej</w:t>
      </w:r>
      <w:r>
        <w:rPr>
          <w:noProof/>
        </w:rPr>
        <w:t>.</w:t>
      </w:r>
    </w:p>
    <w:p>
      <w:pPr>
        <w:pStyle w:val="Applicationdirecte"/>
        <w:rPr>
          <w:noProof/>
        </w:rPr>
      </w:pPr>
      <w:r>
        <w:rPr>
          <w:noProof/>
        </w:rPr>
        <w:t>Niniejsze rozporządzenie wiąże w całości i jest bezpośrednio stosowane we wszystkich państwach członkowskich.</w:t>
      </w:r>
    </w:p>
    <w:p>
      <w:pPr>
        <w:pStyle w:val="Fait"/>
        <w:rPr>
          <w:noProof/>
        </w:rPr>
      </w:pPr>
      <w:r>
        <w:t xml:space="preserve">Sporządzono w Brukseli dnia </w:t>
      </w:r>
      <w:r>
        <w:rPr>
          <w:rStyle w:val="Marker"/>
        </w:rPr>
        <w:t>[…]</w:t>
      </w:r>
      <w:r>
        <w:t xml:space="preserve"> r.</w:t>
      </w:r>
    </w:p>
    <w:p>
      <w:pPr>
        <w:pStyle w:val="Institutionquisigne"/>
        <w:rPr>
          <w:noProof/>
        </w:rPr>
      </w:pPr>
      <w:r>
        <w:rPr>
          <w:noProof/>
        </w:rPr>
        <w:t>W imieniu Parlamentu Europejskiego</w:t>
      </w: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>Przewodniczący</w:t>
      </w:r>
      <w:r>
        <w:rPr>
          <w:noProof/>
        </w:rPr>
        <w:tab/>
        <w:t>Przewodniczący</w:t>
      </w:r>
    </w:p>
    <w:p>
      <w:pPr>
        <w:rPr>
          <w:noProof/>
        </w:rPr>
        <w:sectPr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Fichefinanciretitre"/>
        <w:rPr>
          <w:noProof/>
        </w:rPr>
      </w:pPr>
      <w:r>
        <w:rPr>
          <w:noProof/>
        </w:rPr>
        <w:t>OCENA SKUTKÓW FINANSOWYCH REGULACJI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STRUKTURA WNIOSKU/INICJATYWY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Tytuł wniosku/inicjatywy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Dziedziny polityki w strukturze ABM/ABB, których dotyczy wniosek/inicjatywa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Charakter wniosku/inicjatywy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Cel(e)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Uzasadnienie wniosku/inicjatywy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Okres trwania działania i jego wpływ finansowy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Planowane tryby zarządzania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ŚRODKI ZARZĄDZANIA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Zasady nadzoru i sprawozdawczości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System zarządzania i kontroli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Środki zapobiegania nadużyciom finansowym i nieprawidłowościom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SZACUNKOWY WPŁYW FINANSOWY WNIOSKU/INICJATYWY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 xml:space="preserve">Działy wieloletnich ram finansowych i linie budżetowe po stronie wydatków, na które wniosek/inicjatywa ma wpływ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Szacunkowy wpływ na wydatki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Synteza szacunkowego wpływu na wydatki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Szacunkowy wpływ na środki operacyjne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Szacunkowy wpływ na środki administracyjne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Zgodność z obowiązującymi wieloletnimi ramami finansowymi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Udział osób trzecich w finansowaniu </w:t>
      </w:r>
    </w:p>
    <w:p>
      <w:pPr>
        <w:pStyle w:val="ManualHeading2"/>
        <w:jc w:val="left"/>
        <w:rPr>
          <w:b w:val="0"/>
          <w:noProof/>
        </w:rPr>
        <w:sectPr>
          <w:footnotePr>
            <w:numRestart w:val="eachSect"/>
          </w:footnote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Szacunkowy wpływ na dochody</w:t>
      </w:r>
    </w:p>
    <w:p>
      <w:pPr>
        <w:jc w:val="center"/>
        <w:rPr>
          <w:noProof/>
        </w:rPr>
      </w:pPr>
      <w:r>
        <w:rPr>
          <w:b/>
          <w:noProof/>
          <w:u w:val="single"/>
        </w:rPr>
        <w:t>OCENA SKUTKÓW FINANSOWYCH REGULACJI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 xml:space="preserve">STRUKTURA WNIOSKU/INICJATYWY </w:t>
      </w:r>
    </w:p>
    <w:p>
      <w:pPr>
        <w:pStyle w:val="ManualHeading2"/>
        <w:rPr>
          <w:noProof/>
        </w:rPr>
      </w:pPr>
      <w:r>
        <w:t>1.1.</w:t>
      </w:r>
      <w:r>
        <w:tab/>
      </w:r>
      <w:r>
        <w:rPr>
          <w:noProof/>
        </w:rPr>
        <w:t xml:space="preserve">Tytuł wniosku/inicjatywy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Wniosek dotyczący rozporządzenia Parlamentu Europejskiego i Rady zmieniającego rozporządzenie (UE) nr 1303/2013 w zakresie dostosowania rocznych płatności zaliczkowych w latach 2021–2023</w:t>
      </w:r>
    </w:p>
    <w:p>
      <w:pPr>
        <w:pStyle w:val="ManualHeading2"/>
        <w:rPr>
          <w:noProof/>
          <w:szCs w:val="24"/>
        </w:rPr>
      </w:pPr>
      <w:r>
        <w:t>1.2.</w:t>
      </w:r>
      <w:r>
        <w:tab/>
      </w:r>
      <w:r>
        <w:rPr>
          <w:noProof/>
        </w:rPr>
        <w:t>Dziedziny polityki w strukturze ABM/ABB, których dotyczy wniosek/inicjatywa</w:t>
      </w:r>
      <w:r>
        <w:rPr>
          <w:rStyle w:val="FootnoteReference"/>
          <w:noProof/>
        </w:rPr>
        <w:footnoteReference w:id="7"/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ZATRUDNIENIE, SPRAWY SPOŁECZNE I WŁĄCZENIE SPOŁECZNE POLITYKA REGIONALNA I MIEJSKA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GOSPODARKA MORSKA I RYBOŁÓWSTWO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ManualHeading2"/>
        <w:rPr>
          <w:bCs/>
          <w:noProof/>
          <w:szCs w:val="24"/>
        </w:rPr>
      </w:pPr>
      <w:r>
        <w:t>1.3.</w:t>
      </w:r>
      <w:r>
        <w:tab/>
      </w:r>
      <w:r>
        <w:rPr>
          <w:noProof/>
        </w:rPr>
        <w:t xml:space="preserve">Charakter wniosku/inicjatywy </w:t>
      </w:r>
    </w:p>
    <w:p>
      <w:pPr>
        <w:pStyle w:val="Text1"/>
        <w:rPr>
          <w:b/>
          <w:noProof/>
          <w:sz w:val="22"/>
        </w:rPr>
      </w:pPr>
      <w:r>
        <w:rPr>
          <w:noProof/>
          <w:sz w:val="22"/>
        </w:rPr>
        <w:sym w:font="Wingdings" w:char="F078"/>
      </w:r>
      <w:r>
        <w:rPr>
          <w:b/>
          <w:i/>
          <w:noProof/>
          <w:sz w:val="22"/>
        </w:rPr>
        <w:t xml:space="preserve"> </w:t>
      </w:r>
      <w:r>
        <w:rPr>
          <w:noProof/>
        </w:rPr>
        <w:t xml:space="preserve">Wniosek/inicjatywa dotyczy </w:t>
      </w:r>
      <w:r>
        <w:rPr>
          <w:b/>
          <w:noProof/>
        </w:rPr>
        <w:t>nowego działania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Wniosek/inicjatywa dotyczy </w:t>
      </w:r>
      <w:r>
        <w:rPr>
          <w:b/>
          <w:noProof/>
        </w:rPr>
        <w:t>nowego działania będącego następstwem projektu pilotażowego/działania przygotowawczego</w:t>
      </w:r>
      <w:r>
        <w:rPr>
          <w:rStyle w:val="FootnoteReference"/>
          <w:b/>
          <w:noProof/>
        </w:rPr>
        <w:footnoteReference w:id="8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>Wniosek/inicjatywa wiąże się z </w:t>
      </w:r>
      <w:r>
        <w:rPr>
          <w:b/>
          <w:noProof/>
        </w:rPr>
        <w:t>przedłużeniem bieżącego działania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Wniosek/inicjatywa dotyczy </w:t>
      </w:r>
      <w:r>
        <w:rPr>
          <w:b/>
          <w:noProof/>
        </w:rPr>
        <w:t>działania, które zostało przekształcone pod kątem nowego działania</w:t>
      </w:r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r>
        <w:t>1.4.</w:t>
      </w:r>
      <w:r>
        <w:tab/>
      </w:r>
      <w:r>
        <w:rPr>
          <w:noProof/>
        </w:rPr>
        <w:t>Cel(e)</w:t>
      </w:r>
    </w:p>
    <w:p>
      <w:pPr>
        <w:pStyle w:val="ManualHeading3"/>
        <w:rPr>
          <w:noProof/>
        </w:rPr>
      </w:pPr>
      <w:r>
        <w:t>1.4.1.</w:t>
      </w:r>
      <w:r>
        <w:tab/>
      </w:r>
      <w:r>
        <w:rPr>
          <w:noProof/>
        </w:rPr>
        <w:t xml:space="preserve">Wieloletnie cele strategiczne Komisji wskazane we wniosku/inicjatywie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nd.</w:t>
      </w:r>
    </w:p>
    <w:p>
      <w:pPr>
        <w:pStyle w:val="ManualHeading3"/>
        <w:rPr>
          <w:bCs/>
          <w:noProof/>
          <w:szCs w:val="24"/>
        </w:rPr>
      </w:pPr>
      <w:r>
        <w:t>1.4.2.</w:t>
      </w:r>
      <w:r>
        <w:tab/>
      </w:r>
      <w:r>
        <w:rPr>
          <w:noProof/>
        </w:rPr>
        <w:t xml:space="preserve">Cele szczegółowe i działania ABM/ABB, których dotyczy wniosek/inicjatywa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Cel szczegółowy nr: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nd.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Działania ABM/ABB, których dotyczy wniosek/inicjatywa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nd.</w:t>
      </w:r>
    </w:p>
    <w:p>
      <w:pPr>
        <w:pStyle w:val="ManualHeading3"/>
        <w:rPr>
          <w:bCs/>
          <w:noProof/>
          <w:szCs w:val="24"/>
        </w:rPr>
      </w:pPr>
      <w:r>
        <w:rPr>
          <w:noProof/>
        </w:rPr>
        <w:br w:type="page"/>
      </w:r>
      <w:r>
        <w:t>1.4.3.</w:t>
      </w:r>
      <w:r>
        <w:tab/>
      </w:r>
      <w:r>
        <w:rPr>
          <w:noProof/>
        </w:rPr>
        <w:t>Oczekiwane wyniki i wpływ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Należy wskazać, jakie efekty przyniesie wniosek/inicjatywa beneficjentom/grupie docelowej.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nd.</w:t>
      </w:r>
    </w:p>
    <w:p>
      <w:pPr>
        <w:pStyle w:val="ManualHeading3"/>
        <w:rPr>
          <w:bCs/>
          <w:noProof/>
          <w:szCs w:val="24"/>
        </w:rPr>
      </w:pPr>
      <w:r>
        <w:t>1.4.4.</w:t>
      </w:r>
      <w:r>
        <w:tab/>
      </w:r>
      <w:r>
        <w:rPr>
          <w:noProof/>
        </w:rPr>
        <w:t xml:space="preserve">Wskaźniki wyników i wpływu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Należy określić wskaźniki, które umożliwią monitorowanie realizacji wniosku/inicjatywy.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nd.</w:t>
      </w:r>
    </w:p>
    <w:p>
      <w:pPr>
        <w:pStyle w:val="ManualHeading2"/>
        <w:rPr>
          <w:bCs/>
          <w:noProof/>
          <w:szCs w:val="24"/>
        </w:rPr>
      </w:pPr>
      <w:r>
        <w:t>1.5.</w:t>
      </w:r>
      <w:r>
        <w:tab/>
      </w:r>
      <w:r>
        <w:rPr>
          <w:noProof/>
        </w:rPr>
        <w:t xml:space="preserve">Uzasadnienie wniosku/inicjatywy </w:t>
      </w:r>
    </w:p>
    <w:p>
      <w:pPr>
        <w:pStyle w:val="ManualHeading3"/>
        <w:rPr>
          <w:noProof/>
        </w:rPr>
      </w:pPr>
      <w:r>
        <w:t>1.5.1.</w:t>
      </w:r>
      <w:r>
        <w:tab/>
      </w:r>
      <w:r>
        <w:rPr>
          <w:noProof/>
        </w:rPr>
        <w:t xml:space="preserve">Potrzeby, które należy zaspokoić w perspektywie krótko- lub długoterminowej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nd.</w:t>
      </w:r>
    </w:p>
    <w:p>
      <w:pPr>
        <w:pStyle w:val="ManualHeading3"/>
        <w:rPr>
          <w:bCs/>
          <w:noProof/>
          <w:szCs w:val="24"/>
        </w:rPr>
      </w:pPr>
      <w:r>
        <w:t>1.5.2.</w:t>
      </w:r>
      <w:r>
        <w:tab/>
      </w:r>
      <w:r>
        <w:rPr>
          <w:noProof/>
        </w:rPr>
        <w:t>Wartość dodana z tytułu zaangażowania Unii Europejskiej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nd.</w:t>
      </w:r>
    </w:p>
    <w:p>
      <w:pPr>
        <w:pStyle w:val="ManualHeading3"/>
        <w:rPr>
          <w:bCs/>
          <w:noProof/>
          <w:szCs w:val="24"/>
        </w:rPr>
      </w:pPr>
      <w:r>
        <w:t>1.5.3.</w:t>
      </w:r>
      <w:r>
        <w:tab/>
      </w:r>
      <w:r>
        <w:rPr>
          <w:noProof/>
        </w:rPr>
        <w:t>Główne wnioski wyciągnięte z podobnych działań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nd.</w:t>
      </w:r>
    </w:p>
    <w:p>
      <w:pPr>
        <w:pStyle w:val="ManualHeading3"/>
        <w:rPr>
          <w:bCs/>
          <w:noProof/>
          <w:szCs w:val="24"/>
        </w:rPr>
      </w:pPr>
      <w:r>
        <w:t>1.5.4.</w:t>
      </w:r>
      <w:r>
        <w:tab/>
      </w:r>
      <w:r>
        <w:rPr>
          <w:noProof/>
        </w:rPr>
        <w:t>Spójność z innymi właściwymi instrumentami oraz możliwa synergia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nd.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1.6.</w:t>
      </w:r>
      <w:r>
        <w:tab/>
      </w:r>
      <w:r>
        <w:rPr>
          <w:noProof/>
        </w:rPr>
        <w:t xml:space="preserve">Okres trwania działania i jego wpływ finansowy </w:t>
      </w:r>
    </w:p>
    <w:p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>Wniosek/inicjatywa o </w:t>
      </w:r>
      <w:r>
        <w:rPr>
          <w:b/>
          <w:noProof/>
        </w:rPr>
        <w:t xml:space="preserve">ograniczonym okresie trwania 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>Okres trwania wniosku/inicjatywy: od 2021 r. do 2024 r.</w:t>
      </w:r>
    </w:p>
    <w:p>
      <w:pPr>
        <w:pStyle w:val="ListDash2"/>
        <w:rPr>
          <w:noProof/>
        </w:rPr>
      </w:pPr>
      <w:r>
        <w:rPr>
          <w:noProof/>
        </w:rPr>
        <w:sym w:font="Wingdings" w:char="F078"/>
      </w:r>
      <w:r>
        <w:rPr>
          <w:noProof/>
        </w:rPr>
        <w:tab/>
        <w:t xml:space="preserve">Okres trwania wpływu finansowego: od 2021 r. do 2024 r.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Wniosek/inicjatywa o </w:t>
      </w:r>
      <w:r>
        <w:rPr>
          <w:b/>
          <w:noProof/>
        </w:rPr>
        <w:t>nieograniczonym okresie trwania</w:t>
      </w:r>
    </w:p>
    <w:p>
      <w:pPr>
        <w:pStyle w:val="ListDash1"/>
        <w:rPr>
          <w:noProof/>
        </w:rPr>
      </w:pPr>
      <w:r>
        <w:rPr>
          <w:noProof/>
        </w:rPr>
        <w:t>Wprowadzenie w życie z okresem rozruchu od RRRR r. do RRRR r.,</w:t>
      </w:r>
    </w:p>
    <w:p>
      <w:pPr>
        <w:pStyle w:val="ListDash1"/>
        <w:rPr>
          <w:noProof/>
        </w:rPr>
      </w:pPr>
      <w:r>
        <w:rPr>
          <w:noProof/>
        </w:rPr>
        <w:t>po którym następuje faza operacyjna.</w:t>
      </w:r>
    </w:p>
    <w:p>
      <w:pPr>
        <w:pStyle w:val="ManualHeading2"/>
        <w:rPr>
          <w:bCs/>
          <w:noProof/>
          <w:szCs w:val="24"/>
        </w:rPr>
      </w:pPr>
      <w:r>
        <w:t>1.7.</w:t>
      </w:r>
      <w:r>
        <w:tab/>
      </w:r>
      <w:r>
        <w:rPr>
          <w:noProof/>
        </w:rPr>
        <w:t>Planowane tryby zarządzania</w:t>
      </w:r>
      <w:r>
        <w:rPr>
          <w:rStyle w:val="FootnoteReference"/>
          <w:noProof/>
        </w:rPr>
        <w:footnoteReference w:id="9"/>
      </w:r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noProof/>
        </w:rPr>
        <w:t xml:space="preserve"> Bezpośrednie zarządzanie</w:t>
      </w:r>
      <w:r>
        <w:rPr>
          <w:noProof/>
        </w:rPr>
        <w:t xml:space="preserve"> przez Komisję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w ramach jej służb, w tym za pośrednictwem jej pracowników w delegaturach Unii;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przez agencje wykonawcze; </w:t>
      </w:r>
    </w:p>
    <w:p>
      <w:pPr>
        <w:pStyle w:val="Text1"/>
        <w:rPr>
          <w:noProof/>
        </w:rPr>
      </w:pPr>
      <w:r>
        <w:rPr>
          <w:noProof/>
        </w:rPr>
        <w:sym w:font="Wingdings" w:char="F078"/>
      </w:r>
      <w:r>
        <w:rPr>
          <w:b/>
          <w:i/>
          <w:noProof/>
        </w:rPr>
        <w:t xml:space="preserve"> </w:t>
      </w:r>
      <w:r>
        <w:rPr>
          <w:b/>
          <w:noProof/>
        </w:rPr>
        <w:t>Zarządzanie dzielone</w:t>
      </w:r>
      <w:r>
        <w:rPr>
          <w:noProof/>
        </w:rPr>
        <w:t xml:space="preserve"> z państwami członkowskimi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noProof/>
        </w:rPr>
        <w:t xml:space="preserve"> Zarządzanie pośrednie</w:t>
      </w:r>
      <w:r>
        <w:rPr>
          <w:noProof/>
        </w:rPr>
        <w:t xml:space="preserve"> poprzez przekazanie zadań związanych z wykonaniem budżetu: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państwom trzecim lub organom przez nie wyznaczonym;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organizacjom międzynarodowym i ich agencjom (należy wyszczególnić);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EBI oraz Europejskiemu Funduszowi Inwestycyjnemu;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organom, o których mowa w art. 208 i 209 rozporządzenia finansowego;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organom prawa publicznego;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podmiotom podlegającym prawu prywatnemu, które świadczą usługi użyteczności publicznej, o ile zapewniają one odpowiednie gwarancje finansowe;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podmiotom podlegającym prawu prywatnemu państwa członkowskiego, którym powierzono realizację partnerstwa publiczno-prywatnego oraz które zapewniają odpowiednie gwarancje finansowe;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osobom odpowiedzialnym za wykonanie określonych działań w dziedzinie wspólnej polityki zagranicznej i bezpieczeństwa na mocy tytułu V Traktatu o Unii Europejskiej oraz określonym we właściwym podstawowym akcie prawnym.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W przypadku wskazania więcej niż jednego trybu należy podać dodatkowe informacje w części „Uwagi”.</w:t>
      </w:r>
    </w:p>
    <w:p>
      <w:pPr>
        <w:rPr>
          <w:noProof/>
        </w:rPr>
      </w:pPr>
      <w:r>
        <w:rPr>
          <w:noProof/>
        </w:rPr>
        <w:t xml:space="preserve">Uwagi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nd.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t>2.</w:t>
      </w:r>
      <w:r>
        <w:tab/>
      </w:r>
      <w:r>
        <w:rPr>
          <w:noProof/>
        </w:rPr>
        <w:t xml:space="preserve">ŚRODKI ZARZĄDZANIA 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Zasady nadzoru i sprawozdawczości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Określić częstotliwość i warunki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nd.</w:t>
      </w:r>
    </w:p>
    <w:p>
      <w:pPr>
        <w:pStyle w:val="ManualHeading2"/>
        <w:rPr>
          <w:bCs/>
          <w:noProof/>
          <w:szCs w:val="24"/>
        </w:rPr>
      </w:pPr>
      <w:r>
        <w:t>2.2.</w:t>
      </w:r>
      <w:r>
        <w:tab/>
      </w:r>
      <w:r>
        <w:rPr>
          <w:noProof/>
        </w:rPr>
        <w:t xml:space="preserve">System zarządzania i kontroli </w:t>
      </w:r>
    </w:p>
    <w:p>
      <w:pPr>
        <w:pStyle w:val="ManualHeading3"/>
        <w:rPr>
          <w:noProof/>
        </w:rPr>
      </w:pPr>
      <w:r>
        <w:t>2.2.1.</w:t>
      </w:r>
      <w:r>
        <w:tab/>
      </w:r>
      <w:r>
        <w:rPr>
          <w:noProof/>
        </w:rPr>
        <w:t xml:space="preserve">Zidentyfikowane ryzyko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nd.</w:t>
      </w:r>
    </w:p>
    <w:p>
      <w:pPr>
        <w:pStyle w:val="ManualHeading3"/>
        <w:rPr>
          <w:bCs/>
          <w:noProof/>
          <w:szCs w:val="24"/>
        </w:rPr>
      </w:pPr>
      <w:r>
        <w:t>2.2.2.</w:t>
      </w:r>
      <w:r>
        <w:tab/>
      </w:r>
      <w:r>
        <w:rPr>
          <w:noProof/>
        </w:rPr>
        <w:t>Informacje dotyczące struktury wewnętrznego systemu kontroli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nd.</w:t>
      </w:r>
    </w:p>
    <w:p>
      <w:pPr>
        <w:pStyle w:val="ManualHeading3"/>
        <w:rPr>
          <w:noProof/>
        </w:rPr>
      </w:pPr>
      <w:r>
        <w:t>2.2.3.</w:t>
      </w:r>
      <w:r>
        <w:tab/>
      </w:r>
      <w:r>
        <w:rPr>
          <w:noProof/>
        </w:rPr>
        <w:t xml:space="preserve">Oszacowanie kosztów i korzyści wynikających z kontroli i ocena prawdopodobnego ryzyka błędu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nd.</w:t>
      </w:r>
    </w:p>
    <w:p>
      <w:pPr>
        <w:pStyle w:val="ManualHeading2"/>
        <w:rPr>
          <w:bCs/>
          <w:noProof/>
          <w:szCs w:val="24"/>
        </w:rPr>
      </w:pPr>
      <w:r>
        <w:t>2.3.</w:t>
      </w:r>
      <w:r>
        <w:tab/>
      </w:r>
      <w:r>
        <w:rPr>
          <w:noProof/>
        </w:rPr>
        <w:t xml:space="preserve">Środki zapobiegania nadużyciom finansowym i nieprawidłowościom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Określić istniejące lub przewidywane środki zapobiegania i ochrony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nd.</w:t>
      </w:r>
    </w:p>
    <w:p>
      <w:pPr>
        <w:rPr>
          <w:noProof/>
        </w:rPr>
        <w:sectPr>
          <w:footnotePr>
            <w:numRestart w:val="eachSect"/>
          </w:footnote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t>3.</w:t>
      </w:r>
      <w:r>
        <w:tab/>
      </w:r>
      <w:r>
        <w:rPr>
          <w:noProof/>
        </w:rPr>
        <w:t xml:space="preserve">SZACUNKOWY WPŁYW FINANSOWY WNIOSKU/INICJATYWY </w:t>
      </w:r>
    </w:p>
    <w:p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 xml:space="preserve">Działy wieloletnich ram finansowych i linie budżetowe po stronie wydatków, na które wniosek/inicjatywa ma wpływ </w:t>
      </w:r>
    </w:p>
    <w:p>
      <w:pPr>
        <w:pStyle w:val="ListBullet1"/>
        <w:rPr>
          <w:noProof/>
        </w:rPr>
      </w:pPr>
      <w:r>
        <w:rPr>
          <w:noProof/>
        </w:rPr>
        <w:t xml:space="preserve">Istniejące linie budżetowe </w:t>
      </w:r>
    </w:p>
    <w:p>
      <w:pPr>
        <w:pStyle w:val="Text1"/>
        <w:rPr>
          <w:noProof/>
        </w:rPr>
      </w:pPr>
      <w:r>
        <w:rPr>
          <w:noProof/>
          <w:u w:val="single"/>
        </w:rPr>
        <w:t>Według</w:t>
      </w:r>
      <w:r>
        <w:rPr>
          <w:noProof/>
        </w:rPr>
        <w:t xml:space="preserve"> działów wieloletnich ram finansowych i linii budżetowych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3546"/>
        <w:gridCol w:w="1080"/>
        <w:gridCol w:w="956"/>
        <w:gridCol w:w="1080"/>
        <w:gridCol w:w="956"/>
        <w:gridCol w:w="1448"/>
      </w:tblGrid>
      <w:tr>
        <w:tc>
          <w:tcPr>
            <w:tcW w:w="1494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Dział wieloletnich ram finansowych</w:t>
            </w:r>
          </w:p>
        </w:tc>
        <w:tc>
          <w:tcPr>
            <w:tcW w:w="3546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Linia budżetowa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Rodzaj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środków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Wkład </w:t>
            </w:r>
          </w:p>
        </w:tc>
      </w:tr>
      <w:tr>
        <w:tc>
          <w:tcPr>
            <w:tcW w:w="1494" w:type="dxa"/>
            <w:vMerge/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546" w:type="dxa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Numer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Zróżn. / niezróżn.</w:t>
            </w:r>
            <w:r>
              <w:rPr>
                <w:rStyle w:val="FootnoteReference"/>
                <w:noProof/>
                <w:sz w:val="18"/>
              </w:rPr>
              <w:footnoteReference w:id="10"/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państw EFTA</w:t>
            </w:r>
            <w:r>
              <w:rPr>
                <w:rStyle w:val="FootnoteReference"/>
                <w:noProof/>
                <w:sz w:val="18"/>
              </w:rPr>
              <w:footnoteReference w:id="11"/>
            </w:r>
          </w:p>
          <w:p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krajów kandydujących</w:t>
            </w:r>
            <w:r>
              <w:rPr>
                <w:rStyle w:val="FootnoteReference"/>
                <w:noProof/>
                <w:sz w:val="18"/>
              </w:rPr>
              <w:footnoteReference w:id="12"/>
            </w:r>
          </w:p>
          <w:p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państw trzecich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6"/>
              </w:rPr>
              <w:t xml:space="preserve">w rozumieniu art. 21 ust. 2 lit. b) rozporządzenia finansowego </w:t>
            </w:r>
          </w:p>
        </w:tc>
      </w:tr>
      <w:t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1B - </w:t>
            </w:r>
            <w:r>
              <w:rPr>
                <w:noProof/>
                <w:sz w:val="22"/>
              </w:rPr>
              <w:br/>
              <w:t>Spójność gospodarcza, społeczna i terytorialna</w:t>
            </w:r>
          </w:p>
        </w:tc>
        <w:tc>
          <w:tcPr>
            <w:tcW w:w="3546" w:type="dxa"/>
            <w:vAlign w:val="center"/>
          </w:tcPr>
          <w:p>
            <w:pPr>
              <w:spacing w:before="60"/>
              <w:rPr>
                <w:noProof/>
                <w:sz w:val="22"/>
              </w:rPr>
            </w:pPr>
            <w:r>
              <w:rPr>
                <w:noProof/>
              </w:rPr>
              <w:t>04 02 60 – Europejski Fundusz Społeczny — Regiony słabiej rozwinięte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Zróżnicowane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</w:tr>
      <w:tr>
        <w:tc>
          <w:tcPr>
            <w:tcW w:w="1494" w:type="dxa"/>
            <w:vMerge/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546" w:type="dxa"/>
            <w:vAlign w:val="center"/>
          </w:tcPr>
          <w:p>
            <w:pPr>
              <w:spacing w:before="60"/>
            </w:pPr>
            <w:r>
              <w:rPr>
                <w:noProof/>
              </w:rPr>
              <w:t>04 02 61 – Europejski Fundusz Społeczny — Regiony w okresie przejściowym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Zróżnicowane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</w:tr>
      <w:tr>
        <w:tc>
          <w:tcPr>
            <w:tcW w:w="1494" w:type="dxa"/>
            <w:vMerge/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546" w:type="dxa"/>
            <w:vAlign w:val="center"/>
          </w:tcPr>
          <w:p>
            <w:pPr>
              <w:spacing w:before="60"/>
            </w:pPr>
            <w:r>
              <w:rPr>
                <w:noProof/>
              </w:rPr>
              <w:t>04 02 62 – Europejski Fundusz Społeczny — Regiony lepiej rozwinięte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Zróżnicowane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</w:tr>
      <w:tr>
        <w:tc>
          <w:tcPr>
            <w:tcW w:w="1494" w:type="dxa"/>
            <w:vMerge/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546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04 02 64 – Inicjatywa na rzecz</w:t>
            </w:r>
          </w:p>
          <w:p>
            <w:pPr>
              <w:spacing w:before="60"/>
            </w:pPr>
            <w:r>
              <w:rPr>
                <w:noProof/>
              </w:rPr>
              <w:t>zatrudnienia ludzi młodych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Zróżnicowane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</w:tr>
      <w:tr>
        <w:tc>
          <w:tcPr>
            <w:tcW w:w="1494" w:type="dxa"/>
            <w:vMerge/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546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13 03 60 – Europejski Fundusz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Rozwoju Regionalnego — Regiony</w:t>
            </w:r>
          </w:p>
          <w:p>
            <w:pPr>
              <w:spacing w:before="60"/>
            </w:pPr>
            <w:r>
              <w:rPr>
                <w:noProof/>
              </w:rPr>
              <w:t>słabiej rozwinięte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Zróżnicowane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</w:tr>
      <w:tr>
        <w:tc>
          <w:tcPr>
            <w:tcW w:w="1494" w:type="dxa"/>
            <w:vMerge/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546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13 03 61 – Europejski Fundusz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Rozwoju Regionalnego — Regiony</w:t>
            </w:r>
          </w:p>
          <w:p>
            <w:pPr>
              <w:spacing w:before="60"/>
            </w:pPr>
            <w:r>
              <w:rPr>
                <w:noProof/>
              </w:rPr>
              <w:t>w okresie przejściowym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Zróżnicowane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</w:tr>
      <w:tr>
        <w:tc>
          <w:tcPr>
            <w:tcW w:w="1494" w:type="dxa"/>
            <w:vMerge/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546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13 03 62 – Europejski Fundusz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Rozwoju Regionalnego — Regiony</w:t>
            </w:r>
          </w:p>
          <w:p>
            <w:pPr>
              <w:spacing w:before="60"/>
            </w:pPr>
            <w:r>
              <w:rPr>
                <w:noProof/>
              </w:rPr>
              <w:t>bardziej rozwinięte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Zróżnicowane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</w:tr>
      <w:tr>
        <w:tc>
          <w:tcPr>
            <w:tcW w:w="1494" w:type="dxa"/>
            <w:vMerge/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546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13 03 63 – Europejski Fundusz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Rozwoju Regionalnego — Dodatkowy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przydział środków dla najbardziej oddalonych</w:t>
            </w:r>
          </w:p>
          <w:p>
            <w:pPr>
              <w:spacing w:before="60"/>
            </w:pPr>
            <w:r>
              <w:rPr>
                <w:noProof/>
              </w:rPr>
              <w:t>i słabo zaludnionych regionów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Zróżnicowane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</w:tr>
      <w:tr>
        <w:tc>
          <w:tcPr>
            <w:tcW w:w="1494" w:type="dxa"/>
            <w:vMerge/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546" w:type="dxa"/>
            <w:vAlign w:val="center"/>
          </w:tcPr>
          <w:p>
            <w:pPr>
              <w:spacing w:before="60"/>
            </w:pPr>
            <w:r>
              <w:rPr>
                <w:noProof/>
              </w:rPr>
              <w:t>13 03 64 01 – Europejski Fundusz Rozwoju Regionalnego — Europejska współpraca terytorialna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Zróżnicowane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</w:tr>
      <w:tr>
        <w:tc>
          <w:tcPr>
            <w:tcW w:w="1494" w:type="dxa"/>
            <w:vMerge/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546" w:type="dxa"/>
            <w:vAlign w:val="center"/>
          </w:tcPr>
          <w:p>
            <w:pPr>
              <w:spacing w:before="60"/>
            </w:pPr>
            <w:r>
              <w:rPr>
                <w:noProof/>
              </w:rPr>
              <w:t>13 04 60 – Fundusz Spójności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Zróżnicowane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</w:tr>
      <w:tr>
        <w:tc>
          <w:tcPr>
            <w:tcW w:w="1494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2 - Trwały wzrost gospodarczy: zasoby naturalne</w:t>
            </w:r>
          </w:p>
        </w:tc>
        <w:tc>
          <w:tcPr>
            <w:tcW w:w="3546" w:type="dxa"/>
            <w:vAlign w:val="center"/>
          </w:tcPr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11 06 60 – Promowanie zrównoważonego i konkurencyjnego rybołówstwa i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akwakultury, zrównoważonego i sprzyjającego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włączeniu społecznemu rozwoju terytorialnego</w:t>
            </w:r>
          </w:p>
          <w:p>
            <w:pPr>
              <w:spacing w:before="60"/>
              <w:rPr>
                <w:noProof/>
              </w:rPr>
            </w:pPr>
            <w:r>
              <w:rPr>
                <w:noProof/>
              </w:rPr>
              <w:t>obszarów rybackich oraz wspieranie procesu wdrażania wspólnej</w:t>
            </w:r>
          </w:p>
          <w:p>
            <w:pPr>
              <w:spacing w:before="60"/>
            </w:pPr>
            <w:r>
              <w:rPr>
                <w:noProof/>
              </w:rPr>
              <w:t>polityki rybołówstwa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Zróżnicowane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NIE</w:t>
            </w:r>
          </w:p>
        </w:tc>
      </w:tr>
    </w:tbl>
    <w:p>
      <w:pPr>
        <w:pStyle w:val="ListBullet1"/>
        <w:rPr>
          <w:noProof/>
        </w:rPr>
      </w:pPr>
      <w:r>
        <w:rPr>
          <w:noProof/>
        </w:rPr>
        <w:t>Nowe linie budżetowe, o których utworzenie się wnioskuje: nd.</w:t>
      </w:r>
    </w:p>
    <w:p>
      <w:pPr>
        <w:rPr>
          <w:noProof/>
        </w:rPr>
        <w:sectPr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2"/>
        <w:rPr>
          <w:bCs/>
          <w:noProof/>
          <w:szCs w:val="24"/>
        </w:rPr>
      </w:pPr>
      <w:r>
        <w:t>3.2.</w:t>
      </w:r>
      <w:r>
        <w:tab/>
      </w:r>
      <w:r>
        <w:rPr>
          <w:noProof/>
        </w:rPr>
        <w:t xml:space="preserve">Szacunkowy wpływ na wydatki </w:t>
      </w:r>
    </w:p>
    <w:p>
      <w:pPr>
        <w:pStyle w:val="ManualHeading3"/>
        <w:rPr>
          <w:noProof/>
          <w:u w:val="single"/>
        </w:rPr>
      </w:pPr>
      <w:r>
        <w:t>3.2.1.</w:t>
      </w:r>
      <w:r>
        <w:tab/>
      </w:r>
      <w:r>
        <w:rPr>
          <w:noProof/>
        </w:rPr>
        <w:t xml:space="preserve">Synteza szacunkowego wpływu na wydatki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w mln EUR (do trzech miejsc po przecinku)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Dział wieloletnich ram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finansowych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1B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b/>
                <w:noProof/>
                <w:sz w:val="22"/>
              </w:rPr>
            </w:pPr>
            <w:r>
              <w:rPr>
                <w:noProof/>
              </w:rPr>
              <w:t>Spójność gospodarcza, społeczna i terytorialna</w:t>
            </w:r>
          </w:p>
        </w:tc>
      </w:tr>
    </w:tbl>
    <w:p>
      <w:pPr>
        <w:rPr>
          <w:noProof/>
          <w:sz w:val="16"/>
        </w:rPr>
      </w:pP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362"/>
        <w:gridCol w:w="78"/>
        <w:gridCol w:w="654"/>
        <w:gridCol w:w="1677"/>
        <w:gridCol w:w="1418"/>
        <w:gridCol w:w="1559"/>
        <w:gridCol w:w="1985"/>
        <w:gridCol w:w="1417"/>
      </w:tblGrid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DG EMPL</w:t>
            </w:r>
          </w:p>
        </w:tc>
        <w:tc>
          <w:tcPr>
            <w:tcW w:w="1362" w:type="dxa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732" w:type="dxa"/>
            <w:gridSpan w:val="2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OGÓŁEM</w:t>
            </w:r>
          </w:p>
        </w:tc>
      </w:tr>
      <w:tr>
        <w:trPr>
          <w:trHeight w:val="213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Środki operacyjne</w:t>
            </w:r>
          </w:p>
        </w:tc>
        <w:tc>
          <w:tcPr>
            <w:tcW w:w="1677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3960" w:type="dxa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04 02 60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167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-1 013,958</w:t>
            </w:r>
          </w:p>
        </w:tc>
        <w:tc>
          <w:tcPr>
            <w:tcW w:w="141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9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1 013,958</w:t>
            </w:r>
          </w:p>
        </w:tc>
        <w:tc>
          <w:tcPr>
            <w:tcW w:w="141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</w:tr>
      <w:tr>
        <w:tc>
          <w:tcPr>
            <w:tcW w:w="3960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04 02 61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167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-249 832</w:t>
            </w:r>
          </w:p>
        </w:tc>
        <w:tc>
          <w:tcPr>
            <w:tcW w:w="141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9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249 832</w:t>
            </w:r>
          </w:p>
        </w:tc>
        <w:tc>
          <w:tcPr>
            <w:tcW w:w="141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</w:tr>
      <w:tr>
        <w:tc>
          <w:tcPr>
            <w:tcW w:w="3960" w:type="dxa"/>
            <w:vAlign w:val="center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04 02 62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167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-504 477</w:t>
            </w:r>
          </w:p>
        </w:tc>
        <w:tc>
          <w:tcPr>
            <w:tcW w:w="141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9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504 477</w:t>
            </w:r>
          </w:p>
        </w:tc>
        <w:tc>
          <w:tcPr>
            <w:tcW w:w="141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</w:tr>
      <w:tr>
        <w:tc>
          <w:tcPr>
            <w:tcW w:w="3960" w:type="dxa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04 02 64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167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-88 224</w:t>
            </w:r>
          </w:p>
        </w:tc>
        <w:tc>
          <w:tcPr>
            <w:tcW w:w="141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9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88 224</w:t>
            </w:r>
          </w:p>
        </w:tc>
        <w:tc>
          <w:tcPr>
            <w:tcW w:w="141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</w:tr>
      <w:tr>
        <w:trPr>
          <w:trHeight w:val="231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1"/>
              </w:rPr>
              <w:t>Środki administracyjne finansowane ze środków przydzielonych na określone programy operacyjne</w:t>
            </w:r>
            <w:r>
              <w:rPr>
                <w:rStyle w:val="FootnoteReference"/>
                <w:noProof/>
                <w:sz w:val="21"/>
              </w:rPr>
              <w:footnoteReference w:id="13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  <w:sz w:val="22"/>
              </w:rPr>
            </w:pPr>
          </w:p>
        </w:tc>
        <w:tc>
          <w:tcPr>
            <w:tcW w:w="1677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418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559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985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dla DG EMPL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167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-1 856,491</w:t>
            </w:r>
          </w:p>
        </w:tc>
        <w:tc>
          <w:tcPr>
            <w:tcW w:w="141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9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1 856,491</w:t>
            </w:r>
          </w:p>
        </w:tc>
        <w:tc>
          <w:tcPr>
            <w:tcW w:w="141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</w:tr>
    </w:tbl>
    <w:p>
      <w:pPr>
        <w:rPr>
          <w:noProof/>
        </w:rPr>
      </w:pPr>
      <w:r>
        <w:rPr>
          <w:noProof/>
        </w:rPr>
        <w:br/>
      </w:r>
    </w:p>
    <w:p>
      <w:pPr>
        <w:rPr>
          <w:noProof/>
        </w:rPr>
      </w:pP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362"/>
        <w:gridCol w:w="78"/>
        <w:gridCol w:w="654"/>
        <w:gridCol w:w="1677"/>
        <w:gridCol w:w="1418"/>
        <w:gridCol w:w="1559"/>
        <w:gridCol w:w="1985"/>
        <w:gridCol w:w="1417"/>
      </w:tblGrid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DG REGIO</w:t>
            </w:r>
          </w:p>
        </w:tc>
        <w:tc>
          <w:tcPr>
            <w:tcW w:w="1362" w:type="dxa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732" w:type="dxa"/>
            <w:gridSpan w:val="2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OGÓŁEM</w:t>
            </w:r>
          </w:p>
        </w:tc>
      </w:tr>
      <w:tr>
        <w:trPr>
          <w:trHeight w:val="213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Środki operacyjne</w:t>
            </w:r>
          </w:p>
        </w:tc>
        <w:tc>
          <w:tcPr>
            <w:tcW w:w="1677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396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13 03 60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167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-2 608,675</w:t>
            </w:r>
          </w:p>
        </w:tc>
        <w:tc>
          <w:tcPr>
            <w:tcW w:w="141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9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2 608,675</w:t>
            </w:r>
          </w:p>
        </w:tc>
        <w:tc>
          <w:tcPr>
            <w:tcW w:w="141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</w:tr>
      <w:tr>
        <w:tc>
          <w:tcPr>
            <w:tcW w:w="396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13 03 61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167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-509 195</w:t>
            </w:r>
          </w:p>
        </w:tc>
        <w:tc>
          <w:tcPr>
            <w:tcW w:w="141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9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509 195</w:t>
            </w:r>
          </w:p>
        </w:tc>
        <w:tc>
          <w:tcPr>
            <w:tcW w:w="141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</w:tr>
      <w:tr>
        <w:tc>
          <w:tcPr>
            <w:tcW w:w="396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13 03 62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167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-647 801</w:t>
            </w:r>
          </w:p>
        </w:tc>
        <w:tc>
          <w:tcPr>
            <w:tcW w:w="141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9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647 801</w:t>
            </w:r>
          </w:p>
        </w:tc>
        <w:tc>
          <w:tcPr>
            <w:tcW w:w="141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</w:tr>
      <w:tr>
        <w:tc>
          <w:tcPr>
            <w:tcW w:w="396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13 03 63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167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-31 108</w:t>
            </w:r>
          </w:p>
        </w:tc>
        <w:tc>
          <w:tcPr>
            <w:tcW w:w="141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9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31 108</w:t>
            </w:r>
          </w:p>
        </w:tc>
        <w:tc>
          <w:tcPr>
            <w:tcW w:w="141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</w:tr>
      <w:tr>
        <w:tc>
          <w:tcPr>
            <w:tcW w:w="396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13 03 64 01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167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-186 707</w:t>
            </w:r>
          </w:p>
        </w:tc>
        <w:tc>
          <w:tcPr>
            <w:tcW w:w="141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9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186 707</w:t>
            </w:r>
          </w:p>
        </w:tc>
        <w:tc>
          <w:tcPr>
            <w:tcW w:w="141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</w:tr>
      <w:tr>
        <w:tc>
          <w:tcPr>
            <w:tcW w:w="3960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13 04 60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167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-1 265,652</w:t>
            </w:r>
          </w:p>
        </w:tc>
        <w:tc>
          <w:tcPr>
            <w:tcW w:w="141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9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1 265,652</w:t>
            </w:r>
          </w:p>
        </w:tc>
        <w:tc>
          <w:tcPr>
            <w:tcW w:w="141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</w:tr>
      <w:tr>
        <w:trPr>
          <w:trHeight w:val="231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1"/>
              </w:rPr>
              <w:t>Środki administracyjne finansowane ze środków przydzielonych na określone programy operacyjne</w:t>
            </w:r>
            <w:r>
              <w:rPr>
                <w:rStyle w:val="FootnoteReference"/>
                <w:noProof/>
                <w:sz w:val="21"/>
              </w:rPr>
              <w:footnoteReference w:id="14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  <w:sz w:val="22"/>
              </w:rPr>
            </w:pPr>
          </w:p>
        </w:tc>
        <w:tc>
          <w:tcPr>
            <w:tcW w:w="1677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418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559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985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dla DG REGIO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167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-5 249,139</w:t>
            </w:r>
          </w:p>
        </w:tc>
        <w:tc>
          <w:tcPr>
            <w:tcW w:w="141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9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5 249,139</w:t>
            </w:r>
          </w:p>
        </w:tc>
        <w:tc>
          <w:tcPr>
            <w:tcW w:w="141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</w:tr>
    </w:tbl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rPr>
          <w:noProof/>
        </w:rPr>
      </w:pP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1677"/>
        <w:gridCol w:w="1276"/>
        <w:gridCol w:w="1843"/>
        <w:gridCol w:w="1843"/>
        <w:gridCol w:w="1417"/>
      </w:tblGrid>
      <w:tr>
        <w:trPr>
          <w:trHeight w:val="277"/>
        </w:trPr>
        <w:tc>
          <w:tcPr>
            <w:tcW w:w="3960" w:type="dxa"/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OGÓŁEM środki operacyjne</w:t>
            </w:r>
          </w:p>
        </w:tc>
        <w:tc>
          <w:tcPr>
            <w:tcW w:w="1440" w:type="dxa"/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</w:p>
        </w:tc>
        <w:tc>
          <w:tcPr>
            <w:tcW w:w="167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-7 105,630</w:t>
            </w:r>
          </w:p>
        </w:tc>
        <w:tc>
          <w:tcPr>
            <w:tcW w:w="1276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84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843" w:type="dxa"/>
          </w:tcPr>
          <w:p>
            <w:pPr>
              <w:rPr>
                <w:noProof/>
              </w:rPr>
            </w:pPr>
            <w:r>
              <w:rPr>
                <w:noProof/>
              </w:rPr>
              <w:t>7 105,630</w:t>
            </w:r>
          </w:p>
        </w:tc>
        <w:tc>
          <w:tcPr>
            <w:tcW w:w="141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</w:tr>
      <w:tr>
        <w:trPr>
          <w:trHeight w:val="533"/>
        </w:trPr>
        <w:tc>
          <w:tcPr>
            <w:tcW w:w="6054" w:type="dxa"/>
            <w:gridSpan w:val="3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OGÓŁEM środki administracyjne finansowane ze środków przydzielonych na określone programy operacyjne</w:t>
            </w:r>
          </w:p>
        </w:tc>
        <w:tc>
          <w:tcPr>
            <w:tcW w:w="1677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276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843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843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</w:tr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na DZIAŁ 1B</w:t>
            </w:r>
            <w:r>
              <w:rPr>
                <w:noProof/>
                <w:sz w:val="22"/>
              </w:rPr>
              <w:br/>
              <w:t>wieloletnich ram finansowych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1677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-7 105,630</w:t>
            </w:r>
          </w:p>
        </w:tc>
        <w:tc>
          <w:tcPr>
            <w:tcW w:w="1276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0 000</w:t>
            </w:r>
          </w:p>
        </w:tc>
        <w:tc>
          <w:tcPr>
            <w:tcW w:w="1843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0 000</w:t>
            </w:r>
          </w:p>
        </w:tc>
        <w:tc>
          <w:tcPr>
            <w:tcW w:w="1843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7 105,630</w:t>
            </w:r>
          </w:p>
        </w:tc>
        <w:tc>
          <w:tcPr>
            <w:tcW w:w="1417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0 000</w:t>
            </w:r>
          </w:p>
        </w:tc>
      </w:tr>
    </w:tbl>
    <w:p>
      <w:pPr>
        <w:spacing w:after="40"/>
        <w:rPr>
          <w:b/>
          <w:noProof/>
          <w:sz w:val="22"/>
          <w:u w:val="single"/>
        </w:rPr>
      </w:pPr>
    </w:p>
    <w:p>
      <w:pPr>
        <w:spacing w:after="40"/>
        <w:rPr>
          <w:b/>
          <w:noProof/>
          <w:sz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Dział wieloletnich ram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finansowych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2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b/>
                <w:noProof/>
                <w:sz w:val="22"/>
              </w:rPr>
            </w:pPr>
            <w:r>
              <w:rPr>
                <w:b/>
                <w:noProof/>
                <w:color w:val="0000FF"/>
                <w:sz w:val="22"/>
              </w:rPr>
              <w:t>Trwały wzrost gospodarczy: zasoby naturalne</w:t>
            </w:r>
          </w:p>
        </w:tc>
      </w:tr>
    </w:tbl>
    <w:p>
      <w:pPr>
        <w:rPr>
          <w:noProof/>
          <w:sz w:val="16"/>
        </w:rPr>
      </w:pP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362"/>
        <w:gridCol w:w="78"/>
        <w:gridCol w:w="654"/>
        <w:gridCol w:w="1677"/>
        <w:gridCol w:w="1418"/>
        <w:gridCol w:w="1559"/>
        <w:gridCol w:w="1985"/>
        <w:gridCol w:w="1417"/>
      </w:tblGrid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DG MARE</w:t>
            </w:r>
          </w:p>
        </w:tc>
        <w:tc>
          <w:tcPr>
            <w:tcW w:w="1362" w:type="dxa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732" w:type="dxa"/>
            <w:gridSpan w:val="2"/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OGÓŁEM</w:t>
            </w:r>
          </w:p>
        </w:tc>
      </w:tr>
      <w:tr>
        <w:trPr>
          <w:trHeight w:val="213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Środki operacyjne</w:t>
            </w:r>
          </w:p>
        </w:tc>
        <w:tc>
          <w:tcPr>
            <w:tcW w:w="1677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b/>
                <w:noProof/>
                <w:sz w:val="20"/>
              </w:rPr>
            </w:pPr>
          </w:p>
        </w:tc>
      </w:tr>
      <w:tr>
        <w:trPr>
          <w:trHeight w:val="277"/>
        </w:trPr>
        <w:tc>
          <w:tcPr>
            <w:tcW w:w="3960" w:type="dxa"/>
            <w:vAlign w:val="center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11 06 60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167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-114 987</w:t>
            </w:r>
          </w:p>
        </w:tc>
        <w:tc>
          <w:tcPr>
            <w:tcW w:w="1418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559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985" w:type="dxa"/>
          </w:tcPr>
          <w:p>
            <w:pPr>
              <w:rPr>
                <w:noProof/>
              </w:rPr>
            </w:pPr>
            <w:r>
              <w:rPr>
                <w:noProof/>
              </w:rPr>
              <w:t>114 987</w:t>
            </w:r>
          </w:p>
        </w:tc>
        <w:tc>
          <w:tcPr>
            <w:tcW w:w="1417" w:type="dxa"/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</w:tr>
      <w:tr>
        <w:trPr>
          <w:trHeight w:val="231"/>
        </w:trPr>
        <w:tc>
          <w:tcPr>
            <w:tcW w:w="6054" w:type="dxa"/>
            <w:gridSpan w:val="4"/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1"/>
              </w:rPr>
              <w:t>Środki administracyjne finansowane ze środków przydzielonych na określone programy operacyjne</w:t>
            </w:r>
            <w:r>
              <w:rPr>
                <w:rStyle w:val="FootnoteReference"/>
                <w:noProof/>
                <w:sz w:val="21"/>
              </w:rPr>
              <w:footnoteReference w:id="15"/>
            </w:r>
            <w:r>
              <w:rPr>
                <w:noProof/>
                <w:sz w:val="21"/>
              </w:rPr>
              <w:t xml:space="preserve"> </w:t>
            </w:r>
          </w:p>
          <w:p>
            <w:pPr>
              <w:spacing w:before="0" w:after="0"/>
              <w:rPr>
                <w:noProof/>
                <w:sz w:val="22"/>
              </w:rPr>
            </w:pPr>
          </w:p>
        </w:tc>
        <w:tc>
          <w:tcPr>
            <w:tcW w:w="1677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418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559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985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dla DG MARE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1677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-114 987</w:t>
            </w:r>
          </w:p>
        </w:tc>
        <w:tc>
          <w:tcPr>
            <w:tcW w:w="1418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0 000</w:t>
            </w:r>
          </w:p>
        </w:tc>
        <w:tc>
          <w:tcPr>
            <w:tcW w:w="1559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0 000</w:t>
            </w:r>
          </w:p>
        </w:tc>
        <w:tc>
          <w:tcPr>
            <w:tcW w:w="1985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114 987</w:t>
            </w:r>
          </w:p>
        </w:tc>
        <w:tc>
          <w:tcPr>
            <w:tcW w:w="1417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0 000</w:t>
            </w:r>
          </w:p>
        </w:tc>
      </w:tr>
    </w:tbl>
    <w:p>
      <w:pPr>
        <w:spacing w:after="40"/>
        <w:rPr>
          <w:b/>
          <w:noProof/>
          <w:sz w:val="22"/>
          <w:u w:val="single"/>
        </w:rPr>
      </w:pPr>
    </w:p>
    <w:p>
      <w:pPr>
        <w:spacing w:after="40"/>
        <w:rPr>
          <w:b/>
          <w:noProof/>
          <w:sz w:val="22"/>
          <w:u w:val="single"/>
        </w:rPr>
      </w:pPr>
    </w:p>
    <w:p>
      <w:pPr>
        <w:spacing w:after="40"/>
        <w:rPr>
          <w:b/>
          <w:noProof/>
          <w:sz w:val="22"/>
          <w:u w:val="single"/>
        </w:rPr>
      </w:pPr>
    </w:p>
    <w:p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Jeżeli wpływ wniosku/inicjatywy nie ogranicza się do jednego działu: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1677"/>
        <w:gridCol w:w="1418"/>
        <w:gridCol w:w="1559"/>
        <w:gridCol w:w="1985"/>
        <w:gridCol w:w="1417"/>
      </w:tblGrid>
      <w:tr>
        <w:trPr>
          <w:trHeight w:val="277"/>
        </w:trPr>
        <w:tc>
          <w:tcPr>
            <w:tcW w:w="396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OGÓŁEM środki operacyjne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vAlign w:val="center"/>
          </w:tcPr>
          <w:p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tcBorders>
              <w:top w:val="single" w:sz="4" w:space="0" w:color="FF0000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</w:p>
        </w:tc>
        <w:tc>
          <w:tcPr>
            <w:tcW w:w="1677" w:type="dxa"/>
            <w:tcBorders>
              <w:top w:val="single" w:sz="4" w:space="0" w:color="FF0000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-7 220,617</w:t>
            </w:r>
          </w:p>
        </w:tc>
        <w:tc>
          <w:tcPr>
            <w:tcW w:w="1418" w:type="dxa"/>
            <w:tcBorders>
              <w:top w:val="single" w:sz="4" w:space="0" w:color="FF0000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559" w:type="dxa"/>
            <w:tcBorders>
              <w:top w:val="single" w:sz="4" w:space="0" w:color="FF0000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  <w:tc>
          <w:tcPr>
            <w:tcW w:w="1985" w:type="dxa"/>
            <w:tcBorders>
              <w:top w:val="single" w:sz="4" w:space="0" w:color="FF0000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7 220,617</w:t>
            </w:r>
          </w:p>
        </w:tc>
        <w:tc>
          <w:tcPr>
            <w:tcW w:w="1417" w:type="dxa"/>
            <w:tcBorders>
              <w:top w:val="single" w:sz="4" w:space="0" w:color="FF0000"/>
              <w:right w:val="single" w:sz="4" w:space="0" w:color="auto"/>
            </w:tcBorders>
          </w:tcPr>
          <w:p>
            <w:pPr>
              <w:rPr>
                <w:noProof/>
              </w:rPr>
            </w:pPr>
            <w:r>
              <w:rPr>
                <w:noProof/>
              </w:rPr>
              <w:t>0 000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>
            <w:pPr>
              <w:spacing w:beforeLines="20" w:before="48" w:afterLines="20" w:after="48"/>
              <w:rPr>
                <w:noProof/>
                <w:sz w:val="22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OGÓŁEM środki administracyjne finansowane ze środków przydzielonych na określone programy operacyjne</w:t>
            </w:r>
          </w:p>
        </w:tc>
        <w:tc>
          <w:tcPr>
            <w:tcW w:w="654" w:type="dxa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</w:p>
        </w:tc>
        <w:tc>
          <w:tcPr>
            <w:tcW w:w="1677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418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559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985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  <w:tc>
          <w:tcPr>
            <w:tcW w:w="1417" w:type="dxa"/>
            <w:vAlign w:val="center"/>
          </w:tcPr>
          <w:p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nd.</w:t>
            </w:r>
          </w:p>
        </w:tc>
      </w:tr>
      <w:tr>
        <w:tc>
          <w:tcPr>
            <w:tcW w:w="3960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na DZIAŁY 1 do 4</w:t>
            </w:r>
            <w:r>
              <w:rPr>
                <w:noProof/>
                <w:sz w:val="22"/>
              </w:rPr>
              <w:br/>
              <w:t>wieloletnich ram finansowych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(kwota referencyjna)</w:t>
            </w:r>
          </w:p>
        </w:tc>
        <w:tc>
          <w:tcPr>
            <w:tcW w:w="1440" w:type="dxa"/>
            <w:vAlign w:val="center"/>
          </w:tcPr>
          <w:p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1677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-7 220,617</w:t>
            </w:r>
          </w:p>
        </w:tc>
        <w:tc>
          <w:tcPr>
            <w:tcW w:w="1418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0 000</w:t>
            </w:r>
          </w:p>
        </w:tc>
        <w:tc>
          <w:tcPr>
            <w:tcW w:w="1559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0 000</w:t>
            </w:r>
          </w:p>
        </w:tc>
        <w:tc>
          <w:tcPr>
            <w:tcW w:w="1985" w:type="dxa"/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7 220,617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>
            <w:pPr>
              <w:rPr>
                <w:b/>
                <w:noProof/>
              </w:rPr>
            </w:pPr>
            <w:r>
              <w:rPr>
                <w:b/>
                <w:noProof/>
              </w:rPr>
              <w:t>0 000</w:t>
            </w:r>
          </w:p>
        </w:tc>
      </w:tr>
    </w:tbl>
    <w:p>
      <w:pPr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>Dział wieloletnich ram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finansowych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„Wydatki administracyjne”</w:t>
            </w:r>
          </w:p>
        </w:tc>
      </w:tr>
    </w:tbl>
    <w:p>
      <w:pPr>
        <w:jc w:val="right"/>
        <w:rPr>
          <w:noProof/>
          <w:sz w:val="20"/>
        </w:rPr>
      </w:pPr>
    </w:p>
    <w:p>
      <w:pPr>
        <w:spacing w:before="0" w:after="200" w:line="276" w:lineRule="auto"/>
        <w:jc w:val="left"/>
        <w:rPr>
          <w:noProof/>
          <w:sz w:val="20"/>
        </w:rPr>
      </w:pPr>
      <w:r>
        <w:rPr>
          <w:noProof/>
        </w:rPr>
        <w:br w:type="page"/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w mln EUR (do trzech miejsc po przecinku)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 xml:space="preserve">Wprowadzić taką liczbę kolumn dla poszczególnych lat, jaka jest niezbędna, by odzwierciedlić cały okres wpływu (por. pkt 1.6)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OGÓŁEM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Dyrekcja Generalna: &lt;…….&gt;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Zasoby ludzkie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Pozostałe wydatki administracyjne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OGÓŁEM Dyrekcja Generalna</w:t>
            </w:r>
            <w:r>
              <w:rPr>
                <w:noProof/>
              </w:rPr>
              <w:t xml:space="preserve"> </w:t>
            </w:r>
            <w:r>
              <w:rPr>
                <w:noProof/>
                <w:sz w:val="22"/>
              </w:rPr>
              <w:t>&lt;….&gt;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Środki 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na DZIAŁ 5</w:t>
            </w:r>
            <w:r>
              <w:rPr>
                <w:noProof/>
                <w:sz w:val="22"/>
              </w:rPr>
              <w:br/>
              <w:t>wieloletnich ram finansowych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vAlign w:val="center"/>
          </w:tcPr>
          <w:p>
            <w:pPr>
              <w:spacing w:before="40" w:after="40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(Środki na zobowiązania ogółem = środki na płatności ogółem)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w mln EUR (do trzech miejsc po przecinku)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  <w:r>
              <w:rPr>
                <w:rStyle w:val="FootnoteReference"/>
                <w:b/>
                <w:noProof/>
                <w:sz w:val="20"/>
              </w:rPr>
              <w:footnoteReference w:id="16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Wprowadzić taką liczbę kolumn dla poszczególnych lat, jaka jest niezbędna, by odzwierciedlić cały okres wpływu (por. pkt 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OGÓŁEM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OGÓŁEM środki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na DZIAŁY 1 do 5</w:t>
            </w:r>
            <w:r>
              <w:rPr>
                <w:noProof/>
                <w:sz w:val="22"/>
              </w:rPr>
              <w:br/>
              <w:t>wieloletnich ram finansowych</w:t>
            </w:r>
            <w:r>
              <w:rPr>
                <w:b/>
                <w:noProof/>
                <w:sz w:val="22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headerReference w:type="default" r:id="rId18"/>
          <w:footerReference w:type="default" r:id="rId19"/>
          <w:headerReference w:type="first" r:id="rId20"/>
          <w:footerReference w:type="first" r:id="rId21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3.2.2.</w:t>
      </w:r>
      <w:r>
        <w:tab/>
      </w:r>
      <w:r>
        <w:rPr>
          <w:noProof/>
        </w:rPr>
        <w:t xml:space="preserve">Szacunkowy wpływ na środki operacyjne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Wniosek/inicjatywa nie wiąże się z koniecznością wykorzystania środków operacyjnych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wiąże się z koniecznością wykorzystania środków operacyjnych, jak określono poniżej: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Środki na zobowiązania w mln EUR (do trzech miejsc po przecinku)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51"/>
        <w:gridCol w:w="669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Określić cele i produkty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Wprowadzić taką liczbę kolumn dla poszczególnych lat, jaka jest niezbędna, by odzwierciedlić cały okres wpływu (por. pkt 1.6)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OGÓŁEM</w:t>
            </w:r>
          </w:p>
        </w:tc>
      </w:tr>
      <w:tr>
        <w:trPr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185" w:type="dxa"/>
            <w:gridSpan w:val="19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PRODUKT</w:t>
            </w: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Rodzaj</w:t>
            </w:r>
            <w:r>
              <w:rPr>
                <w:rStyle w:val="FootnoteReference"/>
                <w:noProof/>
                <w:sz w:val="18"/>
              </w:rPr>
              <w:footnoteReference w:id="17"/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Średni koszt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 ogółem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 całkowity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CEL SZCZEGÓŁOWY nr 1</w:t>
            </w:r>
            <w:r>
              <w:rPr>
                <w:rStyle w:val="FootnoteReference"/>
                <w:noProof/>
                <w:sz w:val="18"/>
              </w:rPr>
              <w:footnoteReference w:id="18"/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Produkt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Produkt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Produkt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Cel szczegółowy nr 1 – suma cząstkowa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CEL SZCZEGÓŁOWY nr 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Produkt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Cel szczegółowy nr 2 – suma cząstkowa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KOSZT OGÓŁEM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</w:tbl>
    <w:p>
      <w:pPr>
        <w:rPr>
          <w:noProof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3.2.3.</w:t>
      </w:r>
      <w:r>
        <w:tab/>
      </w:r>
      <w:r>
        <w:rPr>
          <w:noProof/>
        </w:rPr>
        <w:t>Szacunkowy wpływ na środki administracyjne</w:t>
      </w:r>
    </w:p>
    <w:p>
      <w:pPr>
        <w:pStyle w:val="ManualHeading4"/>
        <w:rPr>
          <w:noProof/>
        </w:rPr>
      </w:pPr>
      <w:r>
        <w:t>3.2.3.1.</w:t>
      </w:r>
      <w:r>
        <w:tab/>
      </w:r>
      <w:r>
        <w:rPr>
          <w:noProof/>
        </w:rPr>
        <w:t xml:space="preserve">Streszczenie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Wniosek/inicjatywa nie wiąże się z koniecznością wykorzystania środków administracyjnych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wiąże się z koniecznością wykorzystania środków administracyjnych, jak określono poniżej:</w:t>
      </w:r>
    </w:p>
    <w:p>
      <w:pPr>
        <w:rPr>
          <w:noProof/>
          <w:sz w:val="20"/>
        </w:rPr>
      </w:pPr>
      <w:r>
        <w:rPr>
          <w:noProof/>
          <w:sz w:val="20"/>
        </w:rPr>
        <w:t>w mln EUR (do trzech miejsc po przecinku)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</w:t>
            </w:r>
            <w:r>
              <w:rPr>
                <w:rStyle w:val="FootnoteReference"/>
                <w:b/>
                <w:noProof/>
                <w:sz w:val="16"/>
              </w:rPr>
              <w:footnoteReference w:id="19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Wprowadzić taką liczbę kolumn dla poszczególnych lat, jaka jest niezbędna, by odzwierciedlić cały okres wpływu (por. pkt 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OGÓŁEM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DZIAŁ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wieloletnich ram finansowych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Zasoby ludzkie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Pozostałe wydatki administracyjne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Suma cząstkowa DZIAŁU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wieloletnich ram finansowych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Poza DZIAŁEM 5</w:t>
            </w:r>
            <w:r>
              <w:rPr>
                <w:rStyle w:val="FootnoteReference"/>
                <w:b/>
                <w:noProof/>
                <w:sz w:val="16"/>
              </w:rPr>
              <w:footnoteReference w:id="20"/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wieloletnich ram finansowych </w:t>
            </w:r>
          </w:p>
          <w:p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Zasoby ludzkie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Pozostałe wydatki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administracyjne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Suma cząstkowa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poza DZIAŁEM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wieloletnich ram finansowych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OGÓŁEM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  <w:sectPr>
          <w:headerReference w:type="default" r:id="rId22"/>
          <w:footerReference w:type="default" r:id="rId23"/>
          <w:headerReference w:type="first" r:id="rId24"/>
          <w:footerReference w:type="first" r:id="rId25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>Potrzeby w zakresie środków na zasoby ludzkie i inne wydatki o charakterze administracyjnym zostaną pokryte z zasobów dyrekcji generalnej już przydzielonych na zarządzanie tym działaniem lub przesuniętych w ramach dyrekcji generalnej, uzupełnionych w razie potrzeby wszelkimi dodatkowymi zasobami, które mogą zostać przydzielone zarządzającej dyrekcji generalnej w ramach procedury rocznego przydziału środków oraz w świetle istniejących ograniczeń budżetowych.</w:t>
      </w:r>
      <w:r>
        <w:rPr>
          <w:noProof/>
        </w:rPr>
        <w:tab/>
      </w:r>
    </w:p>
    <w:p>
      <w:pPr>
        <w:pStyle w:val="ManualHeading4"/>
        <w:rPr>
          <w:bCs/>
          <w:noProof/>
          <w:szCs w:val="24"/>
        </w:rPr>
      </w:pPr>
      <w:r>
        <w:t>3.2.3.2.</w:t>
      </w:r>
      <w:r>
        <w:tab/>
      </w:r>
      <w:r>
        <w:rPr>
          <w:noProof/>
        </w:rPr>
        <w:t>Szacowane zapotrzebowanie na zasoby ludzkie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Wniosek/inicjatywa nie wiąże się z koniecznością wykorzystania zasobów ludzkich.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wiąże się z koniecznością wykorzystania zasobów ludzkich, jak określono poniżej: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Wartości szacunkowe należy wyrazić w ekwiwalentach pełnego czasu pracy</w:t>
      </w:r>
    </w:p>
    <w:tbl>
      <w:tblPr>
        <w:tblW w:w="554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952"/>
        <w:gridCol w:w="1954"/>
        <w:gridCol w:w="655"/>
        <w:gridCol w:w="655"/>
        <w:gridCol w:w="3894"/>
        <w:gridCol w:w="465"/>
        <w:gridCol w:w="237"/>
        <w:gridCol w:w="237"/>
        <w:gridCol w:w="236"/>
      </w:tblGrid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Rok </w:t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Rok </w:t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Wprowadzić taką liczbę kolumn dla poszczególnych lat, jaka jest niezbędna, by odzwierciedlić cały okres wpływu (por. pkt 1.6)</w:t>
            </w: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4424" w:type="pct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sym w:font="Wingdings" w:char="F09F"/>
            </w:r>
            <w:r>
              <w:rPr>
                <w:b/>
                <w:noProof/>
                <w:sz w:val="16"/>
                <w:szCs w:val="16"/>
              </w:rPr>
              <w:t xml:space="preserve"> Stanowiska przewidziane w planie zatrudnienia (stanowiska urzędników i pracowników zatrudnionych na czas określony)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01 (w centrali i w biurach przedstawicielstw Komisji)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(w delegaturach)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 (pośrednie badania naukowe)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(bezpośrednie badania naukowe)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After w:val="4"/>
          <w:wAfter w:w="570" w:type="pct"/>
          <w:trHeight w:val="248"/>
          <w:jc w:val="center"/>
        </w:trPr>
        <w:tc>
          <w:tcPr>
            <w:tcW w:w="4430" w:type="pct"/>
            <w:gridSpan w:val="6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sym w:font="Wingdings" w:char="F09F"/>
            </w:r>
            <w:r>
              <w:rPr>
                <w:noProof/>
                <w:sz w:val="16"/>
                <w:szCs w:val="16"/>
              </w:rPr>
              <w:t xml:space="preserve"> </w:t>
            </w:r>
            <w:r>
              <w:rPr>
                <w:b/>
                <w:noProof/>
                <w:sz w:val="16"/>
                <w:szCs w:val="16"/>
              </w:rPr>
              <w:t>Personel zewnętrzny (w ekwiwalentach pełnego czasu pracy:</w:t>
            </w:r>
            <w:r>
              <w:rPr>
                <w:b/>
                <w:noProof/>
                <w:sz w:val="16"/>
              </w:rPr>
              <w:t xml:space="preserve"> EPC)</w:t>
            </w:r>
            <w:r>
              <w:rPr>
                <w:rStyle w:val="FootnoteReference"/>
                <w:b/>
                <w:noProof/>
                <w:sz w:val="16"/>
              </w:rPr>
              <w:footnoteReference w:id="21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01 (CA, SNE, INT z globalnej koperty finansowej)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02 02 (CA, LA, SNE, INT i JED w delegaturach)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XX</w:t>
            </w:r>
            <w:r>
              <w:rPr>
                <w:noProof/>
                <w:sz w:val="16"/>
                <w:szCs w:val="16"/>
              </w:rPr>
              <w:t xml:space="preserve"> 01 04 </w:t>
            </w:r>
            <w:r>
              <w:rPr>
                <w:b/>
                <w:noProof/>
                <w:sz w:val="16"/>
                <w:szCs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22"/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w centrali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948" w:type="pct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w delegaturach 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XX</w:t>
            </w:r>
            <w:r>
              <w:rPr>
                <w:noProof/>
                <w:sz w:val="16"/>
                <w:szCs w:val="16"/>
              </w:rPr>
              <w:t xml:space="preserve"> 01 05 02 (CA, SNE, INT – pośrednie badania naukowe)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(CA, INT, SNE – bezpośrednie badania naukowe)</w:t>
            </w: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Inne linie budżetowe (określić)</w:t>
            </w: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Before w:val="1"/>
          <w:wBefore w:w="6" w:type="pct"/>
          <w:trHeight w:val="289"/>
          <w:jc w:val="center"/>
        </w:trPr>
        <w:tc>
          <w:tcPr>
            <w:tcW w:w="1897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OGÓŁEM</w:t>
            </w: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8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  <w:szCs w:val="18"/>
        </w:rPr>
        <w:t>XX</w:t>
      </w:r>
      <w:r>
        <w:rPr>
          <w:noProof/>
        </w:rPr>
        <w:t xml:space="preserve"> </w:t>
      </w:r>
      <w:r>
        <w:rPr>
          <w:noProof/>
          <w:sz w:val="18"/>
          <w:szCs w:val="18"/>
        </w:rPr>
        <w:t>oznacza odpowiednią dziedzinę polityki lub odpowiedni tytuł w budżecie.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  <w:szCs w:val="18"/>
        </w:rPr>
        <w:t>Potrzeby</w:t>
      </w:r>
      <w:r>
        <w:rPr>
          <w:noProof/>
          <w:sz w:val="18"/>
        </w:rPr>
        <w:t xml:space="preserve"> w zakresie zasobów ludzkich zostaną pokryte z zasobów dyrekcji generalnej już przydzielonych na zarządzanie tym działaniem lub przesuniętych w ramach dyrekcji generalnej, uzupełnionych w razie potrzeby wszelkimi dodatkowymi zasobami, które mogą zostać przydzielone zarządzającej dyrekcji generalnej w ramach procedury rocznego przydziału środków oraz w świetle istniejących ograniczeń budżetowych.</w:t>
      </w:r>
    </w:p>
    <w:p>
      <w:pPr>
        <w:rPr>
          <w:noProof/>
          <w:sz w:val="20"/>
        </w:rPr>
      </w:pPr>
      <w:r>
        <w:rPr>
          <w:noProof/>
          <w:sz w:val="20"/>
        </w:rPr>
        <w:t>Opis zadań do wykonania: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>
        <w:tc>
          <w:tcPr>
            <w:tcW w:w="3240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Urzędnicy i pracownicy zatrudnieni na czas określony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  <w:tr>
        <w:tc>
          <w:tcPr>
            <w:tcW w:w="3240" w:type="dxa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Personel zewnętrzny</w:t>
            </w:r>
          </w:p>
        </w:tc>
        <w:tc>
          <w:tcPr>
            <w:tcW w:w="7200" w:type="dxa"/>
          </w:tcPr>
          <w:p>
            <w:pPr>
              <w:rPr>
                <w:noProof/>
                <w:sz w:val="20"/>
              </w:rPr>
            </w:pP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3.2.4.</w:t>
      </w:r>
      <w:r>
        <w:tab/>
      </w:r>
      <w:r>
        <w:rPr>
          <w:noProof/>
        </w:rPr>
        <w:t xml:space="preserve">Zgodność z obowiązującymi wieloletnimi ramami finansowymi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jest zgodny(-a) z obowiązującymi wieloletnimi ramami finansowymi.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wymaga przeprogramowania odpowiedniego działu w wieloletnich ramach finansowych.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Należy wyjaśnić, na czym ma polegać przeprogramowanie, określając linie budżetowe, których ma ono dotyczyć, oraz podając odpowiednie kwoty.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wymaga zastosowania instrumentu elastyczności lub zmiany wieloletnich ram finansowych.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Należy wyjaśnić, który wariant jest konieczny, określając linie budżetowe, których ma on dotyczyć, oraz podając odpowiednie kwoty.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ManualHeading3"/>
        <w:rPr>
          <w:bCs/>
          <w:noProof/>
          <w:szCs w:val="24"/>
        </w:rPr>
      </w:pPr>
      <w:r>
        <w:t>3.2.5.</w:t>
      </w:r>
      <w:r>
        <w:tab/>
      </w:r>
      <w:r>
        <w:rPr>
          <w:noProof/>
        </w:rPr>
        <w:t xml:space="preserve">Udział osób trzecich w finansowaniu </w:t>
      </w:r>
    </w:p>
    <w:p>
      <w:pPr>
        <w:pStyle w:val="ListDash1"/>
        <w:rPr>
          <w:noProof/>
        </w:rPr>
      </w:pPr>
      <w:r>
        <w:rPr>
          <w:noProof/>
        </w:rPr>
        <w:t xml:space="preserve">Wniosek/inicjatywa nie przewiduje współfinansowania ze strony osób trzecich </w:t>
      </w:r>
    </w:p>
    <w:p>
      <w:pPr>
        <w:pStyle w:val="ListDash1"/>
        <w:rPr>
          <w:noProof/>
        </w:rPr>
      </w:pPr>
      <w:r>
        <w:rPr>
          <w:noProof/>
        </w:rPr>
        <w:t>Wniosek/inicjatywa przewiduje współfinansowanie szacowane zgodnie z poniższym: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Środki w mln EUR (do trzech miejsc po przecinku)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Wprowadzić taką liczbę kolumn dla poszczególnych lat, jaka jest niezbędna, by odzwierciedlić cały okres wpływu (por. pkt 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Ogółem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Określić organ współfinansujący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OGÓŁEM środki objęte współfinansowaniem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br/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3.3.</w:t>
      </w:r>
      <w:r>
        <w:tab/>
      </w:r>
      <w:r>
        <w:rPr>
          <w:noProof/>
        </w:rPr>
        <w:t xml:space="preserve"> Szacunkowy wpływ na dochody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nie ma wpływu finansowego na dochody.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ma wpływ finansowy określony poniżej: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wpływ na zasoby własne </w:t>
      </w:r>
    </w:p>
    <w:p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wpływ na dochody różne 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w mln EUR (do trzech miejsc po przecinku)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Linia budżetowa po stronie dochodów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zapisane w budżecie na bieżący rok budżetowy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Wpływ wniosku/inicjatywy</w:t>
            </w:r>
            <w:r>
              <w:rPr>
                <w:rStyle w:val="FootnoteReference"/>
                <w:noProof/>
                <w:sz w:val="18"/>
              </w:rPr>
              <w:footnoteReference w:id="23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Wprowadzić taką liczbę kolumn dla poszczególnych lat, jaka jest niezbędna, by odzwierciedlić cały okres wpływu (por. pkt 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Artykuł …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W przypadku wpływu na dochody różne „przeznaczone na określony cel” należy wskazać linie budżetowe po stronie wydatków, które ten wpływ obejmie.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Text1"/>
        <w:rPr>
          <w:noProof/>
          <w:sz w:val="20"/>
        </w:rPr>
      </w:pPr>
      <w:r>
        <w:rPr>
          <w:noProof/>
          <w:sz w:val="20"/>
        </w:rPr>
        <w:t>Należy określić metodę obliczania wpływu na dochody.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sectPr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19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PL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ab/>
        <w:t>Wniosek dotyczący rozporządzenia Parlamentu Europejskiego i Rady ustanawiającego wspólne przepisy dotyczące Europejskiego Funduszu Rozwoju Regionalnego, Europejskiego Funduszu Społecznego Plus, Funduszu Spójności i Europejskiego Funduszu Morskiego i Rybackiego, a także przepisy finansowe na potrzeby tych funduszy oraz na potrzeby Funduszu Azylu i Migracji, Funduszu Bezpieczeństwa Wewnętrznego i Instrumentu na rzecz Zarządzania Granicami i Wiz, COM(2018) 375 final, 29.5.2018. W art. 84 określono ustalenia dotyczące płatności zaliczkowych. Ponieważ na lata 2021–2027 proponuje się tylko jeden rodzaj płatności zaliczkowych, stosowana terminologia nie rozróżnia między „początkowymi” a „rocznymi” płatnościami zaliczkowymi. Proponowane ustalenia dotyczące płatności zaliczkowych są jednak podobne do ustaleń dotyczących „początkowych płatności zaliczkowych” w rozporządzeniu (UE) nr 1303/2013.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>Załącznik do komunikatu Komisji do Parlamentu Europejskiego, Rady Europejskiej, Rady, Europejskiego Komitetu Ekonomiczno-Społecznego i Komitetu Regionów „Nowoczesny budżet dla Unii, która chroni, wspiera i broni” COM(2018) 321 final z 2.5.2018 oraz sekcja 5 uzasadnienia towarzyszącego wnioskowi dotyczącemu rozporządzenia Parlamentu Europejskiego i Rady ustanawiającego wspólne przepisy dotyczące Europejskiego Funduszu Rozwoju Regionalnego, Europejskiego Funduszu Społecznego Plus, Funduszu Spójności i Europejskiego Funduszu Morskiego i Rybackiego, a także przepisy finansowe na potrzeby tych funduszy oraz na potrzeby Funduszu Azylu i Migracji, Funduszu Bezpieczeństwa Wewnętrznego i Instrumentu na rzecz Zarządzania Granicami i Wiz</w:t>
      </w:r>
      <w:r>
        <w:fldChar w:fldCharType="begin"/>
      </w:r>
      <w:r>
        <w:instrText>QUOTE "</w:instrText>
      </w:r>
      <w:r>
        <w:fldChar w:fldCharType="end"/>
      </w:r>
      <w:r>
        <w:t>, 29.5.2018.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Rady (UE) nr 1303/2013 z dnia 17 grudnia 2013 r. ustanawiające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 Rybackiego oraz uchylające rozporządzenie Rady (WE) nr 1083/2006 (Dz.U. L 347 z 20.12.2013, s. 320) ostatnio zmienione rozporządzeniem Parlamentu Europejskiego i Rady (UE) 2017/2305 z dnia 12 grudnia 2017 r. zmieniającym rozporządzenie (UE) nr 1303/2013 w odniesieniu do zmian zasobów na rzecz spójności gospodarczej, społecznej i terytorialnej oraz zasobów na cel „Inwestycje na rzecz wzrostu i zatrudnienia” i na cel „Europejska współpraca terytorialna” (Dz.U L 335 z 15.12.2017, s. 1).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Dz.U. C  z , s. 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Dz.U. C  z , s. 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Rozporządzenie Parlamentu Europejskiego i Rady (UE) nr 1303/2013 z dnia 17 grudnia 2013 r. ustanawiające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 Rybackiego oraz uchylające rozporządzenie Rady (WE) nr 1083/2006 (Dz.U. L 347 z 20.12.2013, s. 320).</w:t>
      </w:r>
    </w:p>
  </w:footnote>
  <w:footnote w:id="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ABM: activity-based management: zarządzanie kosztami działań; ABB: activity-based budgeting: budżet zadaniowy.</w:t>
      </w:r>
    </w:p>
  </w:footnote>
  <w:footnote w:id="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O którym mowa w art. 54 ust. 2 lit. a) lub b) rozporządzenia finansowego.</w:t>
      </w:r>
    </w:p>
  </w:footnote>
  <w:footnote w:id="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Wyjaśnienia dotyczące trybów zarządzania oraz odniesienia do rozporządzenia finansowego znajdują się na następującej stronie: </w:t>
      </w:r>
      <w:hyperlink r:id="rId1">
        <w:r>
          <w:rPr>
            <w:rStyle w:val="Hyperlink"/>
            <w:sz w:val="18"/>
          </w:rPr>
          <w:t>http://www.cc.cec/budg/man/budgmanag/budgmanag_en.html</w:t>
        </w:r>
      </w:hyperlink>
    </w:p>
  </w:footnote>
  <w:footnote w:id="1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Środki zróżnicowane / środki niezróżnicowane</w:t>
      </w:r>
    </w:p>
  </w:footnote>
  <w:footnote w:id="1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EFTA: Europejskie Stowarzyszenie Wolnego Handlu </w:t>
      </w:r>
    </w:p>
  </w:footnote>
  <w:footnote w:id="1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Kraje kandydujące oraz w stosownych przypadkach potencjalne kraje kandydujące Bałkanów Zachodnich.</w:t>
      </w:r>
    </w:p>
  </w:footnote>
  <w:footnote w:id="1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Wsparcie techniczne lub administracyjne oraz wydatki na wsparcie w zakresie wprowadzania w życie programów lub działań UE (dawne linie „BA”), pośrednie badania naukowe, bezpośrednie badania naukowe.</w:t>
      </w:r>
    </w:p>
  </w:footnote>
  <w:footnote w:id="1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Wsparcie techniczne lub administracyjne oraz wydatki na wsparcie w zakresie wprowadzania w życie programów lub działań UE (dawne linie „BA”), pośrednie badania naukowe, bezpośrednie badania naukowe.</w:t>
      </w:r>
    </w:p>
  </w:footnote>
  <w:footnote w:id="1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Wsparcie techniczne lub administracyjne oraz wydatki na wsparcie w zakresie wprowadzania w życie programów lub działań UE (dawne linie „BA”), pośrednie badania naukowe, bezpośrednie badania naukowe.</w:t>
      </w:r>
    </w:p>
  </w:footnote>
  <w:footnote w:id="1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Rok N jest rokiem, w którym rozpoczyna się wprowadzanie w życie wniosku/inicjatywy.</w:t>
      </w:r>
    </w:p>
  </w:footnote>
  <w:footnote w:id="1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Produkty odnoszą się do produktów i usług, które zostaną zapewnione (np. liczba sfinansowanych wymian studentów, liczba kilometrów zbudowanych dróg itp.).</w:t>
      </w:r>
    </w:p>
  </w:footnote>
  <w:footnote w:id="1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Zgodnie z opisem w pkt 1.4.2. „Cele szczegółowe …”. </w:t>
      </w:r>
    </w:p>
  </w:footnote>
  <w:footnote w:id="1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Rok N jest rokiem, w którym rozpoczyna się wprowadzanie w życie wniosku/inicjatywy.</w:t>
      </w:r>
    </w:p>
  </w:footnote>
  <w:footnote w:id="2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Wsparcie techniczne lub administracyjne oraz wydatki na wsparcie w zakresie wprowadzania w życie programów lub działań UE (dawne linie „BA”), pośrednie badania naukowe, bezpośrednie badania naukowe.</w:t>
      </w:r>
    </w:p>
  </w:footnote>
  <w:footnote w:id="2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CA = personel kontraktowy; LA = personel miejscowy; SNE = oddelegowany ekspert krajowy; INT = personel tymczasowy; JED = młodszy oddelegowany ekspert. </w:t>
      </w:r>
    </w:p>
  </w:footnote>
  <w:footnote w:id="2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W ramach podpułapu na personel zewnętrzny ze środków operacyjnych (dawne linie „BA”).</w:t>
      </w:r>
    </w:p>
  </w:footnote>
  <w:footnote w:id="2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W przypadku tradycyjnych zasobów własnych (opłaty celne, opłaty wyrównawcze od cukru) należy wskazać kwoty netto, tzn. kwoty brutto po odliczeniu 25 % na poczet kosztów poboru.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CA07E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8F9601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B504F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0EAA16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A774A6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9C084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7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3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4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1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23"/>
  </w:num>
  <w:num w:numId="5">
    <w:abstractNumId w:val="20"/>
  </w:num>
  <w:num w:numId="6">
    <w:abstractNumId w:val="5"/>
  </w:num>
  <w:num w:numId="7">
    <w:abstractNumId w:val="4"/>
  </w:num>
  <w:num w:numId="8">
    <w:abstractNumId w:val="3"/>
  </w:num>
  <w:num w:numId="9">
    <w:abstractNumId w:val="24"/>
    <w:lvlOverride w:ilvl="0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1"/>
  </w:num>
  <w:num w:numId="16">
    <w:abstractNumId w:val="22"/>
  </w:num>
  <w:num w:numId="17">
    <w:abstractNumId w:val="10"/>
  </w:num>
  <w:num w:numId="18">
    <w:abstractNumId w:val="12"/>
  </w:num>
  <w:num w:numId="19">
    <w:abstractNumId w:val="8"/>
  </w:num>
  <w:num w:numId="20">
    <w:abstractNumId w:val="21"/>
  </w:num>
  <w:num w:numId="21">
    <w:abstractNumId w:val="7"/>
  </w:num>
  <w:num w:numId="22">
    <w:abstractNumId w:val="13"/>
  </w:num>
  <w:num w:numId="23">
    <w:abstractNumId w:val="17"/>
  </w:num>
  <w:num w:numId="24">
    <w:abstractNumId w:val="18"/>
  </w:num>
  <w:num w:numId="25">
    <w:abstractNumId w:val="9"/>
  </w:num>
  <w:num w:numId="26">
    <w:abstractNumId w:val="16"/>
  </w:num>
  <w:num w:numId="27">
    <w:abstractNumId w:val="24"/>
  </w:num>
  <w:num w:numId="28">
    <w:abstractNumId w:val="19"/>
  </w:num>
  <w:num w:numId="29">
    <w:abstractNumId w:val="11"/>
  </w:num>
  <w:num w:numId="30">
    <w:abstractNumId w:val="22"/>
  </w:num>
  <w:num w:numId="31">
    <w:abstractNumId w:val="10"/>
  </w:num>
  <w:num w:numId="32">
    <w:abstractNumId w:val="12"/>
  </w:num>
  <w:num w:numId="33">
    <w:abstractNumId w:val="8"/>
  </w:num>
  <w:num w:numId="34">
    <w:abstractNumId w:val="21"/>
  </w:num>
  <w:num w:numId="35">
    <w:abstractNumId w:val="7"/>
  </w:num>
  <w:num w:numId="36">
    <w:abstractNumId w:val="13"/>
  </w:num>
  <w:num w:numId="37">
    <w:abstractNumId w:val="17"/>
  </w:num>
  <w:num w:numId="38">
    <w:abstractNumId w:val="18"/>
  </w:num>
  <w:num w:numId="39">
    <w:abstractNumId w:val="9"/>
  </w:num>
  <w:num w:numId="40">
    <w:abstractNumId w:val="16"/>
  </w:num>
  <w:num w:numId="41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9-03 11:22:21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9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NST_RESTREINT_UE" w:val="RESTREINT UE/EU RESTRICTED"/>
    <w:docVar w:name="LW_CORRIGENDUM" w:val="&lt;UNUSED&gt;"/>
    <w:docVar w:name="LW_COVERPAGE_EXISTS" w:val="True"/>
    <w:docVar w:name="LW_COVERPAGE_GUID" w:val="6FC6A0E2-CEB0-487E-86F9-A6AA9FA0FB11"/>
    <w:docVar w:name="LW_COVERPAGE_TYPE" w:val="1"/>
    <w:docVar w:name="LW_CROSSREFERENCE" w:val="&lt;UNUSED&gt;"/>
    <w:docVar w:name="LW_DocType" w:val="COM"/>
    <w:docVar w:name="LW_EMISSION" w:val="7.9.2018"/>
    <w:docVar w:name="LW_EMISSION_ISODATE" w:val="2018-09-07"/>
    <w:docVar w:name="LW_EMISSION_LOCATION" w:val="BRX"/>
    <w:docVar w:name="LW_EMISSION_PREFIX" w:val="Bruksela, dnia "/>
    <w:docVar w:name="LW_EMISSION_SUFFIX" w:val="&lt;EMPTY&gt;"/>
    <w:docVar w:name="LW_ID_DOCMODEL" w:val="SJ-023"/>
    <w:docVar w:name="LW_ID_DOCSIGNATURE" w:val="SJ-023"/>
    <w:docVar w:name="LW_ID_DOCSTRUCTURE" w:val="COM/PL/ORG"/>
    <w:docVar w:name="LW_ID_DOCTYPE" w:val="SJ-023"/>
    <w:docVar w:name="LW_ID_EXP.MOTIFS.NEW" w:val="EM_PL_"/>
    <w:docVar w:name="LW_ID_STATUT" w:val="SJ-023"/>
    <w:docVar w:name="LW_INTERETEEE.CP" w:val="&lt;UNUSED&gt;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322"/>
    <w:docVar w:name="LW_REF.II.NEW.CP_YEAR" w:val="2018"/>
    <w:docVar w:name="LW_REF.INST.NEW" w:val="COM"/>
    <w:docVar w:name="LW_REF.INST.NEW_ADOPTED" w:val="final"/>
    <w:docVar w:name="LW_REF.INST.NEW_TEXT" w:val="(2018) 61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TATUT.CP" w:val="Wniosek"/>
    <w:docVar w:name="LW_SUPERTITRE" w:val="&lt;UNUSED&gt;"/>
    <w:docVar w:name="LW_TITRE.OBJ.CP" w:val="zmieniaj\u261?ce rozporz\u261?dzenie (UE) nr 1303/2013 w zakresie dostosowania rocznych p\u322?atno\u347?ci zaliczkowych w latach 2021\u8211?2023"/>
    <w:docVar w:name="LW_TYPE.DOC.CP" w:val="ROZPORZ\u260?DZENIE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5"/>
      </w:numPr>
    </w:pPr>
    <w:rPr>
      <w:rFonts w:eastAsia="Times New Roman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5"/>
      </w:numPr>
    </w:pPr>
    <w:rPr>
      <w:rFonts w:eastAsia="Times New Roman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before="0" w:after="0"/>
      <w:jc w:val="left"/>
    </w:pPr>
    <w:rPr>
      <w:szCs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.cec/budg/man/budgmanag/budgmanag_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C930-1AB9-4092-8C21-0D8AE68F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25</Pages>
  <Words>3583</Words>
  <Characters>22506</Characters>
  <Application>Microsoft Office Word</Application>
  <DocSecurity>0</DocSecurity>
  <Lines>1500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18</cp:revision>
  <cp:lastPrinted>2018-06-12T08:51:00Z</cp:lastPrinted>
  <dcterms:created xsi:type="dcterms:W3CDTF">2018-08-13T13:36:00Z</dcterms:created>
  <dcterms:modified xsi:type="dcterms:W3CDTF">2018-09-03T09:22:00Z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