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187438B-07C6-4FCA-9BC3-C97D9841337C" style="width:450.8pt;height:361.9pt">
            <v:imagedata r:id="rId9" o:title=""/>
          </v:shape>
        </w:pict>
      </w:r>
    </w:p>
    <w:bookmarkEnd w:id="0"/>
    <w:p>
      <w:pPr>
        <w:spacing w:line="240" w:lineRule="auto"/>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line="240" w:lineRule="auto"/>
        <w:jc w:val="center"/>
        <w:rPr>
          <w:rFonts w:ascii="Times New Roman" w:hAnsi="Times New Roman" w:cs="Times New Roman"/>
          <w:b/>
          <w:noProof/>
          <w:sz w:val="24"/>
          <w:szCs w:val="24"/>
        </w:rPr>
      </w:pPr>
      <w:bookmarkStart w:id="1" w:name="_GoBack"/>
      <w:bookmarkEnd w:id="1"/>
    </w:p>
    <w:p>
      <w:pPr>
        <w:pStyle w:val="ListParagraph"/>
        <w:numPr>
          <w:ilvl w:val="0"/>
          <w:numId w:val="1"/>
        </w:numPr>
        <w:spacing w:line="240" w:lineRule="auto"/>
        <w:jc w:val="both"/>
        <w:rPr>
          <w:rFonts w:ascii="Times New Roman" w:hAnsi="Times New Roman" w:cs="Times New Roman"/>
          <w:noProof/>
          <w:sz w:val="24"/>
          <w:szCs w:val="24"/>
        </w:rPr>
      </w:pPr>
      <w:r>
        <w:rPr>
          <w:rFonts w:ascii="Times New Roman" w:hAnsi="Times New Roman"/>
          <w:b/>
          <w:noProof/>
          <w:sz w:val="24"/>
        </w:rPr>
        <w:t>Introducere</w:t>
      </w:r>
    </w:p>
    <w:p>
      <w:pPr>
        <w:spacing w:line="240" w:lineRule="auto"/>
        <w:jc w:val="both"/>
        <w:rPr>
          <w:rFonts w:ascii="Times New Roman" w:hAnsi="Times New Roman" w:cs="Times New Roman"/>
          <w:noProof/>
          <w:sz w:val="24"/>
          <w:szCs w:val="24"/>
        </w:rPr>
      </w:pPr>
      <w:r>
        <w:rPr>
          <w:rFonts w:ascii="Times New Roman" w:hAnsi="Times New Roman"/>
          <w:noProof/>
          <w:sz w:val="24"/>
        </w:rPr>
        <w:t>În ultimii 60 de ani, măsurile adoptate în vederea integrării europene au creat un destin comun pentru cetățenii Uniunii. Problema cu care se confruntă Europa este una simplă: dacă cetățenii europeni își vor decide sau nu destinul comun, sau dacă acest destin va fi decis de alții. Dacă Uniunea Europeană dorește să fie o piatră de temelie a ordinii mondiale multipolare emergente sau dacă aceasta se va mulțumi să fie un simplu pion.</w:t>
      </w:r>
    </w:p>
    <w:p>
      <w:pPr>
        <w:spacing w:line="240" w:lineRule="auto"/>
        <w:jc w:val="both"/>
        <w:rPr>
          <w:rFonts w:ascii="Times New Roman" w:hAnsi="Times New Roman" w:cs="Times New Roman"/>
          <w:noProof/>
          <w:sz w:val="24"/>
          <w:szCs w:val="24"/>
        </w:rPr>
      </w:pPr>
      <w:r>
        <w:rPr>
          <w:rFonts w:ascii="Times New Roman" w:hAnsi="Times New Roman"/>
          <w:noProof/>
          <w:sz w:val="24"/>
        </w:rPr>
        <w:t>Provocările cu care se confruntă Europa în prezent nu vor dispărea. Concurența mondială se va înăspri. Ritmul evoluției tehnologice va crește. Instabilitatea geopolitică va crește. Efectele schimbărilor climatice se vor face simțite. Tendințele demografice indică faptul că migrația spre UE va continua.</w:t>
      </w:r>
    </w:p>
    <w:p>
      <w:pPr>
        <w:spacing w:line="240" w:lineRule="auto"/>
        <w:jc w:val="both"/>
        <w:rPr>
          <w:rFonts w:ascii="Times New Roman" w:hAnsi="Times New Roman" w:cs="Times New Roman"/>
          <w:noProof/>
          <w:sz w:val="24"/>
          <w:szCs w:val="24"/>
        </w:rPr>
      </w:pPr>
      <w:r>
        <w:rPr>
          <w:rFonts w:ascii="Times New Roman" w:hAnsi="Times New Roman"/>
          <w:noProof/>
          <w:sz w:val="24"/>
        </w:rPr>
        <w:t>Declarația de la Roma din 2017</w:t>
      </w:r>
      <w:r>
        <w:rPr>
          <w:rStyle w:val="FootnoteReference"/>
          <w:rFonts w:ascii="Times New Roman" w:hAnsi="Times New Roman"/>
          <w:noProof/>
          <w:sz w:val="24"/>
        </w:rPr>
        <w:footnoteReference w:id="2"/>
      </w:r>
      <w:r>
        <w:rPr>
          <w:rFonts w:ascii="Times New Roman" w:hAnsi="Times New Roman"/>
          <w:noProof/>
          <w:sz w:val="24"/>
        </w:rPr>
        <w:t xml:space="preserve">, adoptată cu ocazia celei de a 60-a aniversări a Tratatului de la Roma, a recunoscut că o Uniune Europeană mai puternică este o necesitate. Liderii au subliniat, în special, că UE ar trebui să devină un actor mai puternic pe plan mondial. Uniunea trebuie să fie mai în măsură să modeleze evenimentele mondiale și să fie mai bine pregătită să își asume responsabilități internaționale. Uniunea Europeană trebuie să își dezvolte capacitatea de a </w:t>
      </w:r>
      <w:r>
        <w:rPr>
          <w:rFonts w:ascii="Times New Roman" w:hAnsi="Times New Roman"/>
          <w:i/>
          <w:noProof/>
          <w:sz w:val="24"/>
        </w:rPr>
        <w:t>„acționa cu credibilitate pe scena mondială” („Weltpolitikfähigkeit”).</w:t>
      </w:r>
      <w:r>
        <w:rPr>
          <w:rStyle w:val="FootnoteReference"/>
          <w:rFonts w:ascii="Times New Roman" w:hAnsi="Times New Roman"/>
          <w:noProof/>
          <w:sz w:val="24"/>
        </w:rPr>
        <w:footnoteReference w:id="3"/>
      </w:r>
      <w:r>
        <w:rPr>
          <w:rFonts w:ascii="Times New Roman" w:hAnsi="Times New Roman"/>
          <w:i/>
          <w:noProof/>
          <w:sz w:val="24"/>
        </w:rPr>
        <w:t xml:space="preserve"> </w:t>
      </w:r>
      <w:r>
        <w:rPr>
          <w:rFonts w:ascii="Times New Roman" w:hAnsi="Times New Roman"/>
          <w:noProof/>
          <w:sz w:val="24"/>
        </w:rPr>
        <w:t>Prezenta comunicare reprezintă o contribuție la dezbaterea Liderilor, care va avea loc în cadrul reuniunii acestora de la Sibiu din 9 mai 2019.</w:t>
      </w:r>
    </w:p>
    <w:p>
      <w:pPr>
        <w:spacing w:line="240" w:lineRule="auto"/>
        <w:jc w:val="both"/>
        <w:rPr>
          <w:rFonts w:ascii="Times New Roman" w:hAnsi="Times New Roman" w:cs="Times New Roman"/>
          <w:noProof/>
          <w:sz w:val="24"/>
          <w:szCs w:val="24"/>
        </w:rPr>
      </w:pPr>
      <w:r>
        <w:rPr>
          <w:rFonts w:ascii="Times New Roman" w:hAnsi="Times New Roman"/>
          <w:noProof/>
          <w:sz w:val="24"/>
        </w:rPr>
        <w:t>În lumea complexă, conectată și contestată</w:t>
      </w:r>
      <w:r>
        <w:rPr>
          <w:rStyle w:val="FootnoteReference"/>
          <w:rFonts w:ascii="Times New Roman" w:hAnsi="Times New Roman"/>
          <w:noProof/>
          <w:sz w:val="24"/>
        </w:rPr>
        <w:footnoteReference w:id="4"/>
      </w:r>
      <w:r>
        <w:rPr>
          <w:rFonts w:ascii="Times New Roman" w:hAnsi="Times New Roman"/>
          <w:noProof/>
          <w:sz w:val="24"/>
        </w:rPr>
        <w:t xml:space="preserve"> de astăzi, UE trebuie să își protejeze cetățenii, să își promoveze valorile și interesele, să sprijine ordinea internațională bazată pe norme și să exporte stabilitate în vecinătatea sa și dincolo de aceasta. UE trebuie, de asemenea, să fie în măsură să răspundă la așteptările țărilor terțe, ale organizațiilor internaționale și ale altor actori internaționali pentru ca aceasta să joace un rol esențial în abordarea provocărilor regionale și globale.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Niciun stat membru nu poate face față acestor provocări și nu poate beneficia de aceste oportunități pe cont propriu. UE și statele sale membre trebuie să își pună laolaltă forța în vederea promovării intereselor și valorilor comune.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În discursul său din 2018 privind starea Uniunii, președintele Juncker a identificat o serie de politici care trebuie vizate în acest sens. UE trebuie să colaboreze mai îndeaproape cu partenerii săi din întreaga lume. Aceasta ar trebui să își întărească parteneriatul cu Africa, în special prin lansarea unei Alianțe pentru investiții durabile și crearea de locuri de muncă. UE trebuie să fie în măsură să se descurce prin forțe proprii. De exemplu, aceasta trebuie să consolideze rolul internațional al monedei euro. De asemenea, UE trebuie să vorbească cu o singură voce, puternică și clară, drept răspuns la evenimentele internaționale. </w:t>
      </w:r>
    </w:p>
    <w:p>
      <w:pPr>
        <w:spacing w:line="240" w:lineRule="auto"/>
        <w:jc w:val="both"/>
        <w:rPr>
          <w:rFonts w:ascii="Times New Roman" w:hAnsi="Times New Roman" w:cs="Times New Roman"/>
          <w:noProof/>
          <w:sz w:val="24"/>
          <w:szCs w:val="24"/>
        </w:rPr>
      </w:pPr>
      <w:r>
        <w:rPr>
          <w:rFonts w:ascii="Times New Roman" w:hAnsi="Times New Roman"/>
          <w:noProof/>
          <w:sz w:val="24"/>
        </w:rPr>
        <w:lastRenderedPageBreak/>
        <w:t xml:space="preserve">Pentru a atinge aceste obiective și a deveni un actor mai puternic pe plan mondial, Uniunea Europeană trebuie să se doteze cu instrumentele necesare, în special prin eficientizarea practicii sale decizionale. </w:t>
      </w:r>
    </w:p>
    <w:p>
      <w:pPr>
        <w:spacing w:line="240" w:lineRule="auto"/>
        <w:jc w:val="both"/>
        <w:rPr>
          <w:i/>
          <w:noProof/>
          <w:sz w:val="24"/>
          <w:szCs w:val="24"/>
        </w:rPr>
      </w:pPr>
      <w:r>
        <w:rPr>
          <w:rFonts w:ascii="Times New Roman" w:hAnsi="Times New Roman"/>
          <w:noProof/>
          <w:sz w:val="24"/>
        </w:rPr>
        <w:t>În acest sens, în discursul său din 2017 privind starea Uniunii, președintele Juncker a propus să se „</w:t>
      </w:r>
      <w:r>
        <w:rPr>
          <w:rFonts w:ascii="Times New Roman" w:hAnsi="Times New Roman"/>
          <w:i/>
          <w:noProof/>
          <w:sz w:val="24"/>
        </w:rPr>
        <w:t>examineze ce decizii de politică externă pot trece de la votul în unanimitate la votul cu majoritate calificată</w:t>
      </w:r>
      <w:r>
        <w:rPr>
          <w:rFonts w:ascii="Times New Roman" w:hAnsi="Times New Roman"/>
          <w:noProof/>
          <w:sz w:val="24"/>
        </w:rPr>
        <w:t>”.</w:t>
      </w:r>
      <w:r>
        <w:rPr>
          <w:rStyle w:val="FootnoteReference"/>
          <w:rFonts w:ascii="Times New Roman" w:hAnsi="Times New Roman"/>
          <w:noProof/>
          <w:sz w:val="24"/>
        </w:rPr>
        <w:footnoteReference w:id="5"/>
      </w:r>
      <w:r>
        <w:rPr>
          <w:rFonts w:ascii="Times New Roman" w:hAnsi="Times New Roman"/>
          <w:i/>
          <w:noProof/>
          <w:sz w:val="24"/>
        </w:rPr>
        <w:t xml:space="preserve"> </w:t>
      </w:r>
      <w:r>
        <w:rPr>
          <w:rFonts w:ascii="Times New Roman" w:hAnsi="Times New Roman"/>
          <w:noProof/>
          <w:sz w:val="24"/>
        </w:rPr>
        <w:t>Acest lucru se poate realiza pe baza tratatelor în forma lor actuală. Declarația de la Meseberg din iunie 2018 privind reînnoirea promisiunilor de securitate și prosperitate ale Europei, pronunțată de cancelarul Germaniei, Angela Merkel, și de președintele Franței, Emmanuel Macron, a abordat aceeași chestiune. Aceasta a lansat un apel în vederea „</w:t>
      </w:r>
      <w:r>
        <w:rPr>
          <w:rFonts w:ascii="Times New Roman" w:hAnsi="Times New Roman"/>
          <w:i/>
          <w:noProof/>
          <w:sz w:val="24"/>
        </w:rPr>
        <w:t>examinării unor noi modalități prin care procesul de luare a deciziilor în cadrul politicii noastre externe și de securitate comune să devină mai rapid și mai eficient</w:t>
      </w:r>
      <w:r>
        <w:rPr>
          <w:rFonts w:ascii="Times New Roman" w:hAnsi="Times New Roman"/>
          <w:noProof/>
          <w:sz w:val="24"/>
        </w:rPr>
        <w:t>” și a „</w:t>
      </w:r>
      <w:r>
        <w:rPr>
          <w:rFonts w:ascii="Times New Roman" w:hAnsi="Times New Roman"/>
          <w:i/>
          <w:noProof/>
          <w:sz w:val="24"/>
        </w:rPr>
        <w:t>analizării posibilităților de utilizare a votului majoritar în domeniul politicii externe și de securitate comune în cadrul unei dezbateri mai ample pe tema votului majoritar în ceea ce privește politicile UE</w:t>
      </w:r>
      <w:r>
        <w:rPr>
          <w:rFonts w:ascii="Times New Roman" w:hAnsi="Times New Roman"/>
          <w:noProof/>
          <w:sz w:val="24"/>
        </w:rPr>
        <w:t>”.</w:t>
      </w:r>
      <w:r>
        <w:rPr>
          <w:rStyle w:val="FootnoteReference"/>
          <w:rFonts w:ascii="Times New Roman" w:hAnsi="Times New Roman"/>
          <w:i/>
          <w:noProof/>
          <w:sz w:val="24"/>
        </w:rPr>
        <w:footnoteReference w:id="6"/>
      </w:r>
    </w:p>
    <w:p>
      <w:pPr>
        <w:tabs>
          <w:tab w:val="left" w:pos="6045"/>
        </w:tabs>
        <w:spacing w:line="240" w:lineRule="auto"/>
        <w:jc w:val="both"/>
        <w:rPr>
          <w:rFonts w:ascii="Times New Roman" w:hAnsi="Times New Roman" w:cs="Times New Roman"/>
          <w:noProof/>
          <w:sz w:val="24"/>
          <w:szCs w:val="24"/>
        </w:rPr>
      </w:pPr>
      <w:r>
        <w:rPr>
          <w:rFonts w:ascii="Times New Roman" w:hAnsi="Times New Roman"/>
          <w:noProof/>
          <w:sz w:val="24"/>
        </w:rPr>
        <w:t>Dezbaterea este una îndelungată. UE a trecut treptat de la unanimitate la votul cu majoritate calificată de mai multe ori în istoria sa. Introdus pentru prima dată prin Actul Unic European</w:t>
      </w:r>
      <w:r>
        <w:rPr>
          <w:rStyle w:val="FootnoteReference"/>
          <w:rFonts w:ascii="Times New Roman" w:hAnsi="Times New Roman"/>
          <w:noProof/>
          <w:sz w:val="24"/>
        </w:rPr>
        <w:footnoteReference w:id="7"/>
      </w:r>
      <w:r>
        <w:rPr>
          <w:rFonts w:ascii="Times New Roman" w:hAnsi="Times New Roman"/>
          <w:noProof/>
          <w:sz w:val="24"/>
        </w:rPr>
        <w:t xml:space="preserve">, în prezent votul cu majoritate calificată constituie regula standard de vot în cadrul procesului decizional al UE, inclusiv în domeniul justiției și afacerilor interne. Motivul pentru înlocuirea unanimității cu votul cu majoritate calificată este simplu, convingător și a fost întotdeauna același. Statele membre au recunoscut că, atunci când se urmărește un anumit nivel de ambiție într-un anumit domeniu de politică, vine un moment când </w:t>
      </w:r>
      <w:r>
        <w:rPr>
          <w:rFonts w:ascii="Times New Roman" w:hAnsi="Times New Roman"/>
          <w:b/>
          <w:noProof/>
          <w:sz w:val="24"/>
        </w:rPr>
        <w:t>regula unanimității încetinește progresele și în unele cazuri împiedică UE</w:t>
      </w:r>
      <w:r>
        <w:rPr>
          <w:rFonts w:ascii="Times New Roman" w:hAnsi="Times New Roman"/>
          <w:noProof/>
          <w:sz w:val="24"/>
        </w:rPr>
        <w:t xml:space="preserve"> să se adapteze la realitățile în schimbare. În acest sens, fiecare demers de trecere la majoritatea calificată a reprezentat un mare pas înainte pentru UE. </w:t>
      </w:r>
    </w:p>
    <w:p>
      <w:pPr>
        <w:tabs>
          <w:tab w:val="left" w:pos="6045"/>
        </w:tabs>
        <w:spacing w:line="240" w:lineRule="auto"/>
        <w:jc w:val="both"/>
        <w:rPr>
          <w:rFonts w:ascii="Times New Roman" w:hAnsi="Times New Roman" w:cs="Times New Roman"/>
          <w:noProof/>
          <w:sz w:val="24"/>
          <w:szCs w:val="24"/>
        </w:rPr>
      </w:pPr>
      <w:r>
        <w:rPr>
          <w:rFonts w:ascii="Times New Roman" w:hAnsi="Times New Roman"/>
          <w:noProof/>
          <w:sz w:val="24"/>
        </w:rPr>
        <w:t xml:space="preserve">Pe baza unei </w:t>
      </w:r>
      <w:r>
        <w:rPr>
          <w:rFonts w:ascii="Times New Roman" w:hAnsi="Times New Roman"/>
          <w:b/>
          <w:noProof/>
          <w:sz w:val="24"/>
        </w:rPr>
        <w:t>culturi a compromisului</w:t>
      </w:r>
      <w:r>
        <w:rPr>
          <w:rFonts w:ascii="Times New Roman" w:hAnsi="Times New Roman"/>
          <w:noProof/>
          <w:sz w:val="24"/>
        </w:rPr>
        <w:t xml:space="preserve">, votul cu majoritate calificată alocă mai mult loc pentru dezbatere și pentru rezultate pragmatice care reflectă interesele tuturor. Procesul flexibil, eficient și rapid de luare a deciziilor a permis astfel </w:t>
      </w:r>
      <w:r>
        <w:rPr>
          <w:rFonts w:ascii="Times New Roman" w:hAnsi="Times New Roman"/>
          <w:b/>
          <w:noProof/>
          <w:sz w:val="24"/>
        </w:rPr>
        <w:t>Uniunii să devină o referință la nivel mondial și să stabilească standarde</w:t>
      </w:r>
      <w:r>
        <w:rPr>
          <w:rFonts w:ascii="Times New Roman" w:hAnsi="Times New Roman"/>
          <w:noProof/>
          <w:sz w:val="24"/>
        </w:rPr>
        <w:t xml:space="preserve"> în domenii politice precum protecția mediului și a consumatorilor, protecția datelor, precum și comerțul liber și echitabil. </w:t>
      </w:r>
    </w:p>
    <w:p>
      <w:pPr>
        <w:tabs>
          <w:tab w:val="left" w:pos="6045"/>
        </w:tabs>
        <w:spacing w:line="240" w:lineRule="auto"/>
        <w:jc w:val="both"/>
        <w:rPr>
          <w:rFonts w:ascii="Times New Roman" w:hAnsi="Times New Roman" w:cs="Times New Roman"/>
          <w:noProof/>
          <w:sz w:val="24"/>
          <w:szCs w:val="24"/>
        </w:rPr>
      </w:pPr>
      <w:r>
        <w:rPr>
          <w:rFonts w:ascii="Times New Roman" w:hAnsi="Times New Roman"/>
          <w:noProof/>
          <w:sz w:val="24"/>
        </w:rPr>
        <w:t xml:space="preserve">UE devine tot mai mult un actor important pe plan mondial și este considerată de mulți la nivel mondial ca fiind un promotor al valorilor universale. De la facilitarea normalizării relațiilor dintre Belgrad și Pristina, la răspunsul oferit la încălcarea dreptului internațional de către Federația Rusă în peninsula Crimeea și în estul Ucrainei, și până la inițierea și medierea </w:t>
      </w:r>
      <w:r>
        <w:rPr>
          <w:rFonts w:ascii="Times New Roman" w:hAnsi="Times New Roman"/>
          <w:noProof/>
          <w:sz w:val="24"/>
        </w:rPr>
        <w:lastRenderedPageBreak/>
        <w:t xml:space="preserve">negocierilor privind programul nuclear iranian, Uniunea a sprijinit cu consecvență pacea și prosperitatea în vecinătatea sa și dincolo de aceasta. </w:t>
      </w:r>
    </w:p>
    <w:p>
      <w:pPr>
        <w:tabs>
          <w:tab w:val="left" w:pos="6045"/>
        </w:tabs>
        <w:spacing w:line="240" w:lineRule="auto"/>
        <w:jc w:val="both"/>
        <w:rPr>
          <w:rFonts w:ascii="Times New Roman" w:hAnsi="Times New Roman" w:cs="Times New Roman"/>
          <w:noProof/>
          <w:sz w:val="24"/>
          <w:szCs w:val="24"/>
        </w:rPr>
      </w:pPr>
      <w:r>
        <w:rPr>
          <w:rFonts w:ascii="Times New Roman" w:hAnsi="Times New Roman"/>
          <w:noProof/>
          <w:sz w:val="24"/>
        </w:rPr>
        <w:t xml:space="preserve">Cu toate acestea, mai multe practici de vot cu majoritate calificată ar aduce beneficii politicii externe și de securitate comune. Prezenta comunicare stabilește principiile pentru eficientizarea procesului decizional în anumite domenii ale politicii externe și de securitate comune, explorează posibilitățile de a face acest lucru care există în Tratatul privind Uniunea Europeană și identifică </w:t>
      </w:r>
      <w:r>
        <w:rPr>
          <w:rFonts w:ascii="Times New Roman" w:hAnsi="Times New Roman"/>
          <w:b/>
          <w:noProof/>
          <w:sz w:val="24"/>
        </w:rPr>
        <w:t>domenii concrete și realizabile în care Consiliul ar putea să hotărască cu majoritate calificată</w:t>
      </w:r>
      <w:r>
        <w:rPr>
          <w:rFonts w:ascii="Times New Roman" w:hAnsi="Times New Roman"/>
          <w:noProof/>
          <w:sz w:val="24"/>
        </w:rPr>
        <w:t xml:space="preserve"> în loc să depindă de unanimitate. Caracteristicile specifice ale politicii externe sunt reflectate în tratate. Există garanții adaptate și acestea ar continua să se aplice. Într-o etapă ulterioară, Comisia ar putea analiza modul în care votul cu majoritate calificată ar putea fi utilizat pentru a consolida mai mult legăturile Uniunii cu țările terțe. </w:t>
      </w:r>
    </w:p>
    <w:p>
      <w:pPr>
        <w:pStyle w:val="ListParagraph"/>
        <w:numPr>
          <w:ilvl w:val="0"/>
          <w:numId w:val="1"/>
        </w:numPr>
        <w:spacing w:line="240" w:lineRule="auto"/>
        <w:jc w:val="both"/>
        <w:rPr>
          <w:rFonts w:ascii="Times New Roman" w:hAnsi="Times New Roman" w:cs="Times New Roman"/>
          <w:b/>
          <w:noProof/>
          <w:sz w:val="24"/>
          <w:szCs w:val="24"/>
        </w:rPr>
      </w:pPr>
      <w:r>
        <w:rPr>
          <w:rFonts w:ascii="Times New Roman" w:hAnsi="Times New Roman"/>
          <w:b/>
          <w:noProof/>
          <w:sz w:val="24"/>
        </w:rPr>
        <w:t xml:space="preserve">Pledoarie pentru mai multe practici de vot cu majoritate calificată în ceea ce privește politica externă și de securitate comună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În ceea ce privește politica externă și de securitate comună, majoritatea deciziilor UE sunt adoptate în unanimitate. În mod normal, aceasta nu a împiedicat Uniunea Europeană </w:t>
      </w:r>
      <w:r>
        <w:rPr>
          <w:rFonts w:ascii="Times New Roman" w:hAnsi="Times New Roman"/>
          <w:b/>
          <w:noProof/>
          <w:sz w:val="24"/>
        </w:rPr>
        <w:t>să fie activă și să adopte poziții ferme</w:t>
      </w:r>
      <w:r>
        <w:rPr>
          <w:rFonts w:ascii="Times New Roman" w:hAnsi="Times New Roman"/>
          <w:noProof/>
          <w:sz w:val="24"/>
        </w:rPr>
        <w:t xml:space="preserve"> în ceea ce privește chestiuni de politică externă. Aceasta afectează însă din ce în ce mai mult </w:t>
      </w:r>
      <w:r>
        <w:rPr>
          <w:rFonts w:ascii="Times New Roman" w:hAnsi="Times New Roman"/>
          <w:b/>
          <w:noProof/>
          <w:sz w:val="24"/>
        </w:rPr>
        <w:t>ritmul și capacitatea</w:t>
      </w:r>
      <w:r>
        <w:rPr>
          <w:rFonts w:ascii="Times New Roman" w:hAnsi="Times New Roman"/>
          <w:noProof/>
          <w:sz w:val="24"/>
        </w:rPr>
        <w:t xml:space="preserve"> UE de a acționa pe scena mondială. În politica internațională, timpul este esențial, iar credibilitatea unui actor de pe plan internațional depinde de capacitatea sa de a reacționa într-un mod rapid și coerent la crizele și evenimentele internaționale. De asemenea, puterea, eficacitatea și impactul unui actor global depind de capacitatea sa de a acționa în mod consecvent și eficient la nivel internațional și în cadrul forurilor globale.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Începând cu Tratatul de la Maastricht din 1992, când statele membre au împuternicit pentru prima dată Uniunea să acționeze în chestiuni legate de politica externă și de securitate, s-au înregistrat progrese considerabile prin dezvoltarea substanțială a politicii externe și de securitate comune și a politicii de securitate și apărare comune ale UE. Cu toate acestea,există în continuare cazuri în care UE nu este în măsură să adopte poziții comune, sau acestea nu sunt suficient de ferme sau suficient de rapide (a se vedea secțiunea 3).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Aceste cazuri implică un cost politic real pentru Uniune și pentru statele sale membre: Instituțiile UE sunt împiedicate să acționeze în mod decisiv, statele membre care sunt mai active la nivel internațional sunt limitate la pozițiile lor individuale în loc să aibă greutatea combinată a celor 28, iar statele membre care nu au propriul loc la masa negocierilor nu sunt în măsură să exercite o influență directă asupra chestiunii în cauză. </w:t>
      </w:r>
    </w:p>
    <w:p>
      <w:pPr>
        <w:spacing w:line="240" w:lineRule="auto"/>
        <w:jc w:val="both"/>
        <w:rPr>
          <w:rFonts w:ascii="Times New Roman" w:hAnsi="Times New Roman" w:cs="Times New Roman"/>
          <w:noProof/>
          <w:sz w:val="24"/>
          <w:szCs w:val="24"/>
        </w:rPr>
      </w:pPr>
      <w:r>
        <w:rPr>
          <w:rFonts w:ascii="Times New Roman" w:hAnsi="Times New Roman"/>
          <w:noProof/>
          <w:sz w:val="24"/>
        </w:rPr>
        <w:t>Faptul că astfel de situații încă survin demonstrează că regula unanimității împiedică Uniunea să își atingă pe deplin potențialul în politica externă. În perspectiva 2025, depășirea acestor limite va fi esențială în vederea posibilei extinderi a UE. UE trebuie să fie mai puternică și mai solidă, înainte să poată fi mai mare</w:t>
      </w:r>
      <w:r>
        <w:rPr>
          <w:rStyle w:val="FootnoteReference"/>
          <w:rFonts w:ascii="Times New Roman" w:hAnsi="Times New Roman"/>
          <w:noProof/>
          <w:sz w:val="24"/>
        </w:rPr>
        <w:footnoteReference w:id="8"/>
      </w:r>
      <w:r>
        <w:rPr>
          <w:rFonts w:ascii="Times New Roman" w:hAnsi="Times New Roman"/>
          <w:noProof/>
          <w:sz w:val="24"/>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Prin urmare, pe viitor, anumite decizii privind politica externă și de securitate comună </w:t>
      </w:r>
      <w:r>
        <w:rPr>
          <w:rFonts w:ascii="Times New Roman" w:hAnsi="Times New Roman"/>
          <w:b/>
          <w:noProof/>
          <w:sz w:val="24"/>
        </w:rPr>
        <w:t>ar trebui să fie adoptate cu majoritate calificată.</w:t>
      </w:r>
      <w:r>
        <w:rPr>
          <w:rFonts w:ascii="Times New Roman" w:hAnsi="Times New Roman"/>
          <w:noProof/>
          <w:sz w:val="24"/>
        </w:rPr>
        <w:t xml:space="preserve"> Utilizarea majorității calificate ar face ca </w:t>
      </w:r>
      <w:r>
        <w:rPr>
          <w:rFonts w:ascii="Times New Roman" w:hAnsi="Times New Roman"/>
          <w:noProof/>
          <w:sz w:val="24"/>
        </w:rPr>
        <w:lastRenderedPageBreak/>
        <w:t>Uniunea să devină un actor pe plan internațional mai puternic, mai eficace și mai credibil, întrucât aceasta ar facilita următoarele demersuri pentru Uniune:</w:t>
      </w:r>
    </w:p>
    <w:p>
      <w:pPr>
        <w:pStyle w:val="ListParagraph"/>
        <w:numPr>
          <w:ilvl w:val="0"/>
          <w:numId w:val="6"/>
        </w:numPr>
        <w:spacing w:line="240" w:lineRule="auto"/>
        <w:jc w:val="both"/>
        <w:rPr>
          <w:rFonts w:ascii="Times New Roman" w:hAnsi="Times New Roman" w:cs="Times New Roman"/>
          <w:noProof/>
          <w:sz w:val="24"/>
          <w:szCs w:val="24"/>
        </w:rPr>
      </w:pPr>
      <w:r>
        <w:rPr>
          <w:rFonts w:ascii="Times New Roman" w:hAnsi="Times New Roman"/>
          <w:noProof/>
          <w:sz w:val="24"/>
        </w:rPr>
        <w:t xml:space="preserve">De a acționa pe scena mondială, pe baza unor </w:t>
      </w:r>
      <w:r>
        <w:rPr>
          <w:rFonts w:ascii="Times New Roman" w:hAnsi="Times New Roman"/>
          <w:b/>
          <w:noProof/>
          <w:sz w:val="24"/>
        </w:rPr>
        <w:t>poziții ferme și coerente</w:t>
      </w:r>
      <w:r>
        <w:rPr>
          <w:rFonts w:ascii="Times New Roman" w:hAnsi="Times New Roman"/>
          <w:noProof/>
          <w:sz w:val="24"/>
        </w:rPr>
        <w:t>;</w:t>
      </w:r>
    </w:p>
    <w:p>
      <w:pPr>
        <w:pStyle w:val="ListParagraph"/>
        <w:numPr>
          <w:ilvl w:val="0"/>
          <w:numId w:val="6"/>
        </w:numPr>
        <w:spacing w:line="240" w:lineRule="auto"/>
        <w:jc w:val="both"/>
        <w:rPr>
          <w:rFonts w:ascii="Times New Roman" w:hAnsi="Times New Roman" w:cs="Times New Roman"/>
          <w:noProof/>
          <w:sz w:val="24"/>
          <w:szCs w:val="24"/>
        </w:rPr>
      </w:pPr>
      <w:r>
        <w:rPr>
          <w:rFonts w:ascii="Times New Roman" w:hAnsi="Times New Roman"/>
          <w:noProof/>
          <w:sz w:val="24"/>
        </w:rPr>
        <w:t xml:space="preserve">De a reacționa cu </w:t>
      </w:r>
      <w:r>
        <w:rPr>
          <w:rFonts w:ascii="Times New Roman" w:hAnsi="Times New Roman"/>
          <w:b/>
          <w:noProof/>
          <w:sz w:val="24"/>
        </w:rPr>
        <w:t>rapiditate și eficiență</w:t>
      </w:r>
      <w:r>
        <w:rPr>
          <w:rFonts w:ascii="Times New Roman" w:hAnsi="Times New Roman"/>
          <w:noProof/>
          <w:sz w:val="24"/>
        </w:rPr>
        <w:t xml:space="preserve"> la provocările urgente în materie de politică externă, atât în cazul în care trebuie să fie stabilită o nouă poziție, cât și în ceea ce privește punerea în aplicare a unei strategii convenite;</w:t>
      </w:r>
    </w:p>
    <w:p>
      <w:pPr>
        <w:pStyle w:val="ListParagraph"/>
        <w:numPr>
          <w:ilvl w:val="0"/>
          <w:numId w:val="6"/>
        </w:numPr>
        <w:spacing w:line="240" w:lineRule="auto"/>
        <w:jc w:val="both"/>
        <w:rPr>
          <w:rFonts w:ascii="Times New Roman" w:hAnsi="Times New Roman" w:cs="Times New Roman"/>
          <w:noProof/>
          <w:sz w:val="24"/>
          <w:szCs w:val="24"/>
        </w:rPr>
      </w:pPr>
      <w:r>
        <w:rPr>
          <w:rFonts w:ascii="Times New Roman" w:hAnsi="Times New Roman"/>
          <w:noProof/>
          <w:sz w:val="24"/>
        </w:rPr>
        <w:t xml:space="preserve">De a întări </w:t>
      </w:r>
      <w:r>
        <w:rPr>
          <w:rFonts w:ascii="Times New Roman" w:hAnsi="Times New Roman"/>
          <w:b/>
          <w:noProof/>
          <w:sz w:val="24"/>
        </w:rPr>
        <w:t>reziliența UE</w:t>
      </w:r>
      <w:r>
        <w:rPr>
          <w:rFonts w:ascii="Times New Roman" w:hAnsi="Times New Roman"/>
          <w:noProof/>
          <w:sz w:val="24"/>
        </w:rPr>
        <w:t xml:space="preserve">, protejând </w:t>
      </w:r>
      <w:r>
        <w:rPr>
          <w:rFonts w:ascii="Times New Roman" w:hAnsi="Times New Roman"/>
          <w:b/>
          <w:noProof/>
          <w:sz w:val="24"/>
        </w:rPr>
        <w:t>statele membre</w:t>
      </w:r>
      <w:r>
        <w:rPr>
          <w:rFonts w:ascii="Times New Roman" w:hAnsi="Times New Roman"/>
          <w:noProof/>
          <w:sz w:val="24"/>
        </w:rPr>
        <w:t xml:space="preserve"> împotriva presiunilor specifice din partea țărilor terțe care încearcă să divizeze Uniunea.</w:t>
      </w:r>
    </w:p>
    <w:p>
      <w:pPr>
        <w:tabs>
          <w:tab w:val="left" w:pos="2925"/>
        </w:tabs>
        <w:spacing w:before="100" w:after="100" w:line="240" w:lineRule="auto"/>
        <w:jc w:val="both"/>
        <w:rPr>
          <w:rFonts w:ascii="Times New Roman" w:hAnsi="Times New Roman" w:cs="Times New Roman"/>
          <w:noProof/>
          <w:sz w:val="24"/>
          <w:szCs w:val="24"/>
        </w:rPr>
      </w:pPr>
      <w:r>
        <w:rPr>
          <w:rFonts w:ascii="Times New Roman" w:hAnsi="Times New Roman"/>
          <w:b/>
          <w:noProof/>
          <w:sz w:val="24"/>
        </w:rPr>
        <w:t>Luate în considerare împreună, acestea ar sprijini Uniunea să își folosească influența și să acționeze în mod concertat, reprezentând mai mult decât suma părților sale. Experiența dobândită în alte domenii de politică în care majoritatea calificată este regula arată că majoritatea calificată promovează soluții comune.</w:t>
      </w:r>
      <w:r>
        <w:rPr>
          <w:rFonts w:ascii="Times New Roman" w:hAnsi="Times New Roman"/>
          <w:noProof/>
          <w:sz w:val="24"/>
        </w:rPr>
        <w:t xml:space="preserve"> Practica a demonstrat că, în cazul în care se aplică majoritatea calificată, deciziile, în marea majoritate a cazurilor, sunt luate </w:t>
      </w:r>
      <w:r>
        <w:rPr>
          <w:rFonts w:ascii="Times New Roman" w:hAnsi="Times New Roman"/>
          <w:i/>
          <w:noProof/>
          <w:sz w:val="24"/>
        </w:rPr>
        <w:t>de facto</w:t>
      </w:r>
      <w:r>
        <w:rPr>
          <w:rFonts w:ascii="Times New Roman" w:hAnsi="Times New Roman"/>
          <w:noProof/>
          <w:sz w:val="24"/>
        </w:rPr>
        <w:t xml:space="preserve"> prin consens. Perspectiva unui vot cu majoritate calificată este un catalizator puternic pentru a implica toți actorii în demersul de găsire a unor compromisuri, </w:t>
      </w:r>
      <w:r>
        <w:rPr>
          <w:rFonts w:ascii="Times New Roman" w:hAnsi="Times New Roman"/>
          <w:b/>
          <w:noProof/>
          <w:sz w:val="24"/>
        </w:rPr>
        <w:t>a unei soluții acceptabile pentru toate părțile</w:t>
      </w:r>
      <w:r>
        <w:rPr>
          <w:rFonts w:ascii="Times New Roman" w:hAnsi="Times New Roman"/>
          <w:noProof/>
          <w:sz w:val="24"/>
        </w:rPr>
        <w:t xml:space="preserve"> prin crearea unui consens eficace, precum și pentru </w:t>
      </w:r>
      <w:r>
        <w:rPr>
          <w:rFonts w:ascii="Times New Roman" w:hAnsi="Times New Roman"/>
          <w:b/>
          <w:noProof/>
          <w:sz w:val="24"/>
        </w:rPr>
        <w:t>a realiza unitatea</w:t>
      </w:r>
      <w:r>
        <w:rPr>
          <w:rFonts w:ascii="Times New Roman" w:hAnsi="Times New Roman"/>
          <w:noProof/>
          <w:sz w:val="24"/>
        </w:rPr>
        <w:t>. Obținerea acordului înseamnă un grad mai mare de asumare a deciziilor adoptate, care ar trebui să fie puse în aplicare „</w:t>
      </w:r>
      <w:r>
        <w:rPr>
          <w:rFonts w:ascii="Times New Roman" w:hAnsi="Times New Roman"/>
          <w:i/>
          <w:noProof/>
          <w:sz w:val="24"/>
        </w:rPr>
        <w:t>în spiritul loialității și solidarității reciproce</w:t>
      </w:r>
      <w:r>
        <w:rPr>
          <w:rFonts w:ascii="Times New Roman" w:hAnsi="Times New Roman"/>
          <w:noProof/>
          <w:sz w:val="24"/>
        </w:rPr>
        <w:t>”</w:t>
      </w:r>
      <w:r>
        <w:rPr>
          <w:rStyle w:val="FootnoteReference"/>
          <w:rFonts w:ascii="Times New Roman" w:hAnsi="Times New Roman"/>
          <w:noProof/>
          <w:sz w:val="24"/>
        </w:rPr>
        <w:footnoteReference w:id="9"/>
      </w:r>
      <w:r>
        <w:rPr>
          <w:rFonts w:ascii="Times New Roman" w:hAnsi="Times New Roman"/>
          <w:noProof/>
          <w:sz w:val="24"/>
        </w:rPr>
        <w:t>.</w:t>
      </w:r>
    </w:p>
    <w:p>
      <w:pPr>
        <w:tabs>
          <w:tab w:val="left" w:pos="2925"/>
        </w:tabs>
        <w:spacing w:before="100" w:after="100" w:line="240" w:lineRule="auto"/>
        <w:jc w:val="both"/>
        <w:rPr>
          <w:rFonts w:ascii="Times New Roman" w:hAnsi="Times New Roman" w:cs="Times New Roman"/>
          <w:b/>
          <w:noProof/>
          <w:sz w:val="24"/>
          <w:szCs w:val="24"/>
        </w:rPr>
      </w:pPr>
      <w:r>
        <w:rPr>
          <w:rFonts w:ascii="Times New Roman" w:hAnsi="Times New Roman"/>
          <w:noProof/>
          <w:sz w:val="24"/>
        </w:rPr>
        <w:t xml:space="preserve">În plus, reflectând caracteristicile specifice ale politicii externe și de securitate comune, precum și pentru a proteja interesele fundamentale și prerogativele statelor membre, tratatul prevede </w:t>
      </w:r>
      <w:r>
        <w:rPr>
          <w:rFonts w:ascii="Times New Roman" w:hAnsi="Times New Roman"/>
          <w:b/>
          <w:noProof/>
          <w:sz w:val="24"/>
        </w:rPr>
        <w:t>garanții importante</w:t>
      </w:r>
      <w:r>
        <w:rPr>
          <w:rFonts w:ascii="Times New Roman" w:hAnsi="Times New Roman"/>
          <w:noProof/>
          <w:sz w:val="24"/>
        </w:rPr>
        <w:t xml:space="preserve"> în cazul utilizării votului cu majoritate calificată (a se vedea secțiunea 4). </w:t>
      </w:r>
    </w:p>
    <w:p>
      <w:pPr>
        <w:tabs>
          <w:tab w:val="left" w:pos="2925"/>
        </w:tabs>
        <w:spacing w:before="100" w:after="100" w:line="240" w:lineRule="auto"/>
        <w:jc w:val="both"/>
        <w:rPr>
          <w:rFonts w:ascii="Times New Roman" w:hAnsi="Times New Roman" w:cs="Times New Roman"/>
          <w:noProof/>
          <w:sz w:val="24"/>
          <w:szCs w:val="24"/>
        </w:rPr>
      </w:pPr>
      <w:r>
        <w:rPr>
          <w:rFonts w:ascii="Times New Roman" w:hAnsi="Times New Roman"/>
          <w:b/>
          <w:noProof/>
          <w:sz w:val="24"/>
        </w:rPr>
        <w:t>Având în vedere cultura de compromis a UE</w:t>
      </w:r>
      <w:r>
        <w:rPr>
          <w:rFonts w:ascii="Times New Roman" w:hAnsi="Times New Roman"/>
          <w:noProof/>
          <w:sz w:val="24"/>
        </w:rPr>
        <w:t xml:space="preserve"> și luând în considerare astfel de garanții, votul cu majoritate calificată ar funcționa la fel de bine în cadrul politicii externe și de securitate comune cum a funcționat în alte domenii de politică a UE. </w:t>
      </w:r>
    </w:p>
    <w:tbl>
      <w:tblPr>
        <w:tblStyle w:val="TableGrid"/>
        <w:tblW w:w="0" w:type="auto"/>
        <w:tblLook w:val="04A0" w:firstRow="1" w:lastRow="0" w:firstColumn="1" w:lastColumn="0" w:noHBand="0" w:noVBand="1"/>
      </w:tblPr>
      <w:tblGrid>
        <w:gridCol w:w="9242"/>
      </w:tblGrid>
      <w:tr>
        <w:tc>
          <w:tcPr>
            <w:tcW w:w="9242" w:type="dxa"/>
          </w:tcPr>
          <w:p>
            <w:pPr>
              <w:tabs>
                <w:tab w:val="left" w:pos="2925"/>
              </w:tabs>
              <w:spacing w:after="100" w:line="240" w:lineRule="auto"/>
              <w:jc w:val="both"/>
              <w:rPr>
                <w:rFonts w:ascii="Times New Roman" w:hAnsi="Times New Roman" w:cs="Times New Roman"/>
                <w:b/>
                <w:noProof/>
                <w:sz w:val="24"/>
                <w:szCs w:val="24"/>
              </w:rPr>
            </w:pPr>
            <w:r>
              <w:rPr>
                <w:rFonts w:ascii="Times New Roman" w:hAnsi="Times New Roman"/>
                <w:b/>
                <w:noProof/>
                <w:sz w:val="24"/>
              </w:rPr>
              <w:t>Un exemplu de politică comercială</w:t>
            </w:r>
          </w:p>
          <w:p>
            <w:pPr>
              <w:tabs>
                <w:tab w:val="left" w:pos="2925"/>
              </w:tabs>
              <w:spacing w:before="100" w:after="100" w:line="240" w:lineRule="auto"/>
              <w:jc w:val="both"/>
              <w:rPr>
                <w:rFonts w:ascii="Times New Roman" w:hAnsi="Times New Roman" w:cs="Times New Roman"/>
                <w:b/>
                <w:noProof/>
                <w:sz w:val="24"/>
                <w:szCs w:val="24"/>
              </w:rPr>
            </w:pPr>
            <w:r>
              <w:rPr>
                <w:rFonts w:ascii="Times New Roman" w:hAnsi="Times New Roman"/>
                <w:b/>
                <w:noProof/>
                <w:sz w:val="24"/>
              </w:rPr>
              <w:t>Politica comercială</w:t>
            </w:r>
            <w:r>
              <w:rPr>
                <w:rFonts w:ascii="Times New Roman" w:hAnsi="Times New Roman"/>
                <w:noProof/>
                <w:sz w:val="24"/>
              </w:rPr>
              <w:t xml:space="preserve"> este un domeniu în care se aplică majoritatea calificată.</w:t>
            </w:r>
            <w:r>
              <w:rPr>
                <w:rStyle w:val="FootnoteReference"/>
                <w:rFonts w:ascii="Times New Roman" w:hAnsi="Times New Roman"/>
                <w:noProof/>
                <w:sz w:val="24"/>
              </w:rPr>
              <w:footnoteReference w:id="10"/>
            </w:r>
            <w:r>
              <w:rPr>
                <w:rFonts w:ascii="Times New Roman" w:hAnsi="Times New Roman"/>
                <w:noProof/>
                <w:sz w:val="24"/>
              </w:rPr>
              <w:t xml:space="preserve"> Aceasta este o politică a UE în cadrul căreia Consiliul este adesea invitat să ia decizii. Cu toate acestea, în pofida existenței unor interese economice naționale divergente, până în prezent Consiliul a procedat rareori la un vot formal. Statele membre au preferat mereu să decidă </w:t>
            </w:r>
            <w:r>
              <w:rPr>
                <w:rFonts w:ascii="Times New Roman" w:hAnsi="Times New Roman"/>
                <w:b/>
                <w:noProof/>
                <w:sz w:val="24"/>
              </w:rPr>
              <w:t>prin consens</w:t>
            </w:r>
            <w:r>
              <w:rPr>
                <w:rFonts w:ascii="Times New Roman" w:hAnsi="Times New Roman"/>
                <w:noProof/>
                <w:sz w:val="24"/>
              </w:rPr>
              <w:t>. Ceea ce a prevalat este interesul comun al Uniunii, care reprezintă mai mult decât suma intereselor statelor membre laolaltă.</w:t>
            </w:r>
            <w:r>
              <w:rPr>
                <w:rFonts w:ascii="Times New Roman" w:hAnsi="Times New Roman"/>
                <w:b/>
                <w:noProof/>
                <w:sz w:val="24"/>
              </w:rPr>
              <w:t xml:space="preserve"> </w:t>
            </w:r>
            <w:r>
              <w:rPr>
                <w:rFonts w:ascii="Times New Roman" w:hAnsi="Times New Roman"/>
                <w:noProof/>
                <w:sz w:val="24"/>
              </w:rPr>
              <w:t xml:space="preserve">Astfel, drept consecință, UE a putut să își îndeplinească potențialul în materie de comerț mondial. </w:t>
            </w:r>
          </w:p>
        </w:tc>
      </w:tr>
    </w:tbl>
    <w:p>
      <w:pPr>
        <w:spacing w:after="0" w:line="240" w:lineRule="auto"/>
        <w:jc w:val="both"/>
        <w:rPr>
          <w:rFonts w:ascii="Times New Roman" w:hAnsi="Times New Roman" w:cs="Times New Roman"/>
          <w:b/>
          <w:noProof/>
          <w:sz w:val="24"/>
          <w:szCs w:val="24"/>
        </w:rPr>
      </w:pPr>
    </w:p>
    <w:p>
      <w:pPr>
        <w:spacing w:line="240" w:lineRule="auto"/>
        <w:jc w:val="both"/>
        <w:rPr>
          <w:rFonts w:ascii="Times New Roman" w:hAnsi="Times New Roman" w:cs="Times New Roman"/>
          <w:b/>
          <w:noProof/>
          <w:sz w:val="24"/>
          <w:szCs w:val="24"/>
        </w:rPr>
      </w:pPr>
      <w:r>
        <w:rPr>
          <w:rFonts w:ascii="Times New Roman" w:hAnsi="Times New Roman"/>
          <w:b/>
          <w:noProof/>
          <w:sz w:val="24"/>
        </w:rPr>
        <w:t>Mai multe practici de vot cu majoritate calificată nu vor soluționa în sine toate problemele cu care se confruntă politica externă și de securitate comună.</w:t>
      </w:r>
      <w:r>
        <w:rPr>
          <w:rFonts w:ascii="Times New Roman" w:hAnsi="Times New Roman"/>
          <w:noProof/>
          <w:sz w:val="24"/>
        </w:rPr>
        <w:t xml:space="preserve"> Rămân alte provocări, cum ar fi încurajarea unei mai mari convergențe între interesele statelor membre, precum și dezvoltarea unei culturi a politicii externe comune. Acesta este obiectivul central al Strategiei globale a UE privind politica externă și de securitate, salutat de toate statele membre. Cu toate acestea, de-a lungul timpului, consolidarea pozițiilor UE prin intermediul </w:t>
      </w:r>
      <w:r>
        <w:rPr>
          <w:rFonts w:ascii="Times New Roman" w:hAnsi="Times New Roman"/>
          <w:noProof/>
          <w:sz w:val="24"/>
        </w:rPr>
        <w:lastRenderedPageBreak/>
        <w:t xml:space="preserve">procesului pragmatic pe care îl stimulează votul cu majoritate calificată poate, de asemenea, să contribuie treptat la promovarea unui sentiment comun al scopului și intereselor pe care toate statele membre sunt dispuse să le urmeze. Reprezintă o provocare, de asemenea, asigurarea faptului că statele membre pun în aplicare efectiv și apără pozițiile convenite în cadrul Consiliului în ceea ce privește relațiile lor bilaterale cu țări terțe. Ambițiile statelor membre în ceea ce privește politica externă și de securitate comună ar trebui să se reflecte, de asemenea, în capacitatea bugetară a Uniunii în următorul cadru financiar multianual. </w:t>
      </w:r>
    </w:p>
    <w:p>
      <w:pPr>
        <w:pStyle w:val="ListParagraph"/>
        <w:numPr>
          <w:ilvl w:val="0"/>
          <w:numId w:val="1"/>
        </w:numPr>
        <w:spacing w:line="240" w:lineRule="auto"/>
        <w:jc w:val="both"/>
        <w:rPr>
          <w:rFonts w:ascii="Times New Roman" w:hAnsi="Times New Roman" w:cs="Times New Roman"/>
          <w:b/>
          <w:noProof/>
          <w:sz w:val="24"/>
          <w:szCs w:val="24"/>
        </w:rPr>
      </w:pPr>
      <w:r>
        <w:rPr>
          <w:rFonts w:ascii="Times New Roman" w:hAnsi="Times New Roman"/>
          <w:b/>
          <w:noProof/>
          <w:sz w:val="24"/>
        </w:rPr>
        <w:t>Exemple în care regula unanimității slăbește politica europeană externă și de securitate comună</w:t>
      </w:r>
    </w:p>
    <w:p>
      <w:pPr>
        <w:spacing w:line="240" w:lineRule="auto"/>
        <w:jc w:val="both"/>
        <w:rPr>
          <w:rFonts w:ascii="Times New Roman" w:hAnsi="Times New Roman" w:cs="Times New Roman"/>
          <w:noProof/>
          <w:sz w:val="24"/>
          <w:szCs w:val="24"/>
        </w:rPr>
      </w:pPr>
      <w:r>
        <w:rPr>
          <w:rFonts w:ascii="Times New Roman" w:hAnsi="Times New Roman"/>
          <w:noProof/>
          <w:sz w:val="24"/>
        </w:rPr>
        <w:t>Numeroase decizii importante au fost luate în ultimii ani în ceea ce privește politica externă și de securitate comună. În plus, Uniunea și-a utilizat celelalte instrumente de politică externă pentru a-și promova valorile în întreaga lume, bazându-se pe votul cu majoritate calificată.</w:t>
      </w:r>
    </w:p>
    <w:tbl>
      <w:tblPr>
        <w:tblStyle w:val="TableGrid"/>
        <w:tblW w:w="0" w:type="auto"/>
        <w:tblLook w:val="04A0" w:firstRow="1" w:lastRow="0" w:firstColumn="1" w:lastColumn="0" w:noHBand="0" w:noVBand="1"/>
      </w:tblPr>
      <w:tblGrid>
        <w:gridCol w:w="9242"/>
      </w:tblGrid>
      <w:tr>
        <w:tc>
          <w:tcPr>
            <w:tcW w:w="9242" w:type="dxa"/>
          </w:tcPr>
          <w:p>
            <w:pPr>
              <w:keepNext/>
              <w:keepLines/>
              <w:spacing w:line="240" w:lineRule="auto"/>
              <w:jc w:val="both"/>
              <w:outlineLvl w:val="4"/>
              <w:rPr>
                <w:rFonts w:ascii="Times New Roman" w:hAnsi="Times New Roman" w:cs="Times New Roman"/>
                <w:b/>
                <w:noProof/>
                <w:sz w:val="24"/>
                <w:szCs w:val="24"/>
              </w:rPr>
            </w:pPr>
            <w:r>
              <w:rPr>
                <w:rFonts w:ascii="Times New Roman" w:hAnsi="Times New Roman"/>
                <w:b/>
                <w:noProof/>
                <w:sz w:val="24"/>
              </w:rPr>
              <w:t>Exemple de acte ale UE care promovează valorile acesteia în relațiile sale externe și care fac obiectul votului cu majoritate calificată</w:t>
            </w:r>
          </w:p>
          <w:p>
            <w:pPr>
              <w:pStyle w:val="ListParagraph"/>
              <w:numPr>
                <w:ilvl w:val="0"/>
                <w:numId w:val="8"/>
              </w:numPr>
              <w:spacing w:line="240" w:lineRule="auto"/>
              <w:jc w:val="both"/>
              <w:rPr>
                <w:rFonts w:ascii="Times New Roman" w:hAnsi="Times New Roman" w:cs="Times New Roman"/>
                <w:noProof/>
                <w:sz w:val="24"/>
                <w:szCs w:val="24"/>
              </w:rPr>
            </w:pPr>
            <w:r>
              <w:rPr>
                <w:rFonts w:ascii="Times New Roman" w:hAnsi="Times New Roman"/>
                <w:noProof/>
                <w:sz w:val="24"/>
              </w:rPr>
              <w:t xml:space="preserve">Preferințele comerciale sunt acordate țărilor terțe </w:t>
            </w:r>
            <w:r>
              <w:rPr>
                <w:rFonts w:ascii="Times New Roman" w:hAnsi="Times New Roman"/>
                <w:b/>
                <w:noProof/>
                <w:sz w:val="24"/>
              </w:rPr>
              <w:t>în cadrul Sistemului generalizat de preferințe.</w:t>
            </w:r>
            <w:r>
              <w:rPr>
                <w:rFonts w:ascii="Times New Roman" w:hAnsi="Times New Roman"/>
                <w:noProof/>
                <w:sz w:val="24"/>
              </w:rPr>
              <w:t xml:space="preserve"> În cazul țărilor care nu respectă drepturile fundamentale ale omului, aceste preferințe pot fi suspendate, ceea ce are consecințe economice importante. UE a suspendat sau a retras preferințele comerciale acordate în cadrul acestui sistem în cazul Myanmar, Belarus și Sri Lanka, ca urmare a încălcărilor grave ale drepturilor omului.</w:t>
            </w:r>
          </w:p>
          <w:p>
            <w:pPr>
              <w:pStyle w:val="ListParagraph"/>
              <w:numPr>
                <w:ilvl w:val="0"/>
                <w:numId w:val="8"/>
              </w:num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Cadrele juridice ale UE privind atât </w:t>
            </w:r>
            <w:r>
              <w:rPr>
                <w:rFonts w:ascii="Times New Roman" w:hAnsi="Times New Roman"/>
                <w:b/>
                <w:noProof/>
                <w:sz w:val="24"/>
              </w:rPr>
              <w:t>controlul exporturilor pentru instrumentele utilizate în scopul torturii și pentru pedeapsa cu moartea, cât și produsele cu dublă utilizare</w:t>
            </w:r>
            <w:r>
              <w:rPr>
                <w:rFonts w:ascii="Times New Roman" w:hAnsi="Times New Roman"/>
                <w:noProof/>
                <w:sz w:val="24"/>
              </w:rPr>
              <w:t xml:space="preserve"> sunt adoptate prin vot cu majoritate calificată.</w:t>
            </w:r>
          </w:p>
        </w:tc>
      </w:tr>
    </w:tbl>
    <w:p>
      <w:pPr>
        <w:spacing w:after="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Au existat exemple în care, din cauza practicii unanimității, deciziile UE privind aspecte importante legate de politica externă și de securitate comună, în special cu privire la drepturile omului, sancțiuni UE sau regiuni importante de interes pentru UE au fost blocate, au fost luate prea lent sau au fost atenuate. </w:t>
      </w:r>
      <w:r>
        <w:rPr>
          <w:rFonts w:ascii="Times New Roman" w:hAnsi="Times New Roman"/>
          <w:b/>
          <w:noProof/>
          <w:sz w:val="24"/>
        </w:rPr>
        <w:t xml:space="preserve">Aceste cazuri demonstrează necesitatea de a spori eficiența Uniunii în ceea ce privește politica sa externă. </w:t>
      </w:r>
    </w:p>
    <w:tbl>
      <w:tblPr>
        <w:tblStyle w:val="TableGrid"/>
        <w:tblW w:w="0" w:type="auto"/>
        <w:tblLook w:val="04A0" w:firstRow="1" w:lastRow="0" w:firstColumn="1" w:lastColumn="0" w:noHBand="0" w:noVBand="1"/>
      </w:tblPr>
      <w:tblGrid>
        <w:gridCol w:w="9242"/>
      </w:tblGrid>
      <w:tr>
        <w:tc>
          <w:tcPr>
            <w:tcW w:w="9242" w:type="dxa"/>
          </w:tcPr>
          <w:p>
            <w:pPr>
              <w:spacing w:line="240" w:lineRule="auto"/>
              <w:jc w:val="both"/>
              <w:rPr>
                <w:rFonts w:ascii="Times New Roman" w:hAnsi="Times New Roman" w:cs="Times New Roman"/>
                <w:noProof/>
                <w:sz w:val="24"/>
                <w:szCs w:val="24"/>
              </w:rPr>
            </w:pPr>
            <w:r>
              <w:rPr>
                <w:rFonts w:ascii="Times New Roman" w:hAnsi="Times New Roman"/>
                <w:b/>
                <w:noProof/>
                <w:sz w:val="24"/>
              </w:rPr>
              <w:t>Cazuri în care unanimitatea a împiedicat, a întârziat considerabil sau a avut un impact negativ asupra conținutului deciziilor în materie de politică externă și de securitate comună</w:t>
            </w:r>
          </w:p>
          <w:p>
            <w:pPr>
              <w:spacing w:after="0" w:line="240" w:lineRule="auto"/>
              <w:jc w:val="both"/>
              <w:rPr>
                <w:rFonts w:ascii="Times New Roman" w:hAnsi="Times New Roman" w:cs="Times New Roman"/>
                <w:i/>
                <w:noProof/>
                <w:sz w:val="24"/>
                <w:szCs w:val="24"/>
              </w:rPr>
            </w:pPr>
            <w:r>
              <w:rPr>
                <w:rFonts w:ascii="Times New Roman" w:hAnsi="Times New Roman"/>
                <w:i/>
                <w:noProof/>
                <w:sz w:val="24"/>
              </w:rPr>
              <w:t>Drepturile omului</w:t>
            </w:r>
          </w:p>
          <w:p>
            <w:pPr>
              <w:spacing w:after="0" w:line="240" w:lineRule="auto"/>
              <w:jc w:val="both"/>
              <w:rPr>
                <w:rFonts w:ascii="Times New Roman" w:hAnsi="Times New Roman" w:cs="Times New Roman"/>
                <w:noProof/>
                <w:sz w:val="24"/>
                <w:szCs w:val="24"/>
              </w:rPr>
            </w:pP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Unul dintre obiectivele-cheie ale Uniunii este de a promova drepturile omului. În ultimii ani, s-au înregistrat anumite cazuri în care, din motive care nu au legătură cu drepturile omului, un stat membru sau mai multe state membre au întârziat, au blocat sau au atenuat pozițiile Uniunii. Acest lucru s-a întâmplat atât în cadrul relațiilor bilaterale ale Uniunii cu țări terțe, cât și în cadrul organizațiilor internaționale. Fiecare dintre aceste cazuri a slăbit capacitatea Uniunii de a promova respectarea drepturilor omului pe plan internațional, a avut un impact negativ asupra credibilității sale și a împiedicat-o să își îndeplinească obiectivele.   </w:t>
            </w:r>
          </w:p>
          <w:p>
            <w:pPr>
              <w:pStyle w:val="ListParagraph"/>
              <w:numPr>
                <w:ilvl w:val="0"/>
                <w:numId w:val="7"/>
              </w:numPr>
              <w:spacing w:line="240" w:lineRule="auto"/>
              <w:jc w:val="both"/>
              <w:rPr>
                <w:rFonts w:ascii="Times New Roman" w:hAnsi="Times New Roman" w:cs="Times New Roman"/>
                <w:noProof/>
                <w:sz w:val="24"/>
                <w:szCs w:val="24"/>
              </w:rPr>
            </w:pPr>
            <w:r>
              <w:rPr>
                <w:rFonts w:ascii="Times New Roman" w:hAnsi="Times New Roman"/>
                <w:noProof/>
                <w:sz w:val="24"/>
              </w:rPr>
              <w:t xml:space="preserve">Consiliul Organizației Națiunilor Unite pentru drepturile omului de la Geneva este principalul forum global dedicat discuțiilor privind drepturile omului. Programul său este structurat în 10 puncte. Cele mai importante situații privind drepturile omului </w:t>
            </w:r>
            <w:r>
              <w:rPr>
                <w:rFonts w:ascii="Times New Roman" w:hAnsi="Times New Roman"/>
                <w:noProof/>
                <w:sz w:val="24"/>
              </w:rPr>
              <w:lastRenderedPageBreak/>
              <w:t xml:space="preserve">specifice fiecărei țări sunt abordate la punctul 4. </w:t>
            </w:r>
          </w:p>
          <w:p>
            <w:pPr>
              <w:pStyle w:val="ListParagraph"/>
              <w:spacing w:line="240" w:lineRule="auto"/>
              <w:jc w:val="both"/>
              <w:rPr>
                <w:rFonts w:ascii="Times New Roman" w:hAnsi="Times New Roman" w:cs="Times New Roman"/>
                <w:noProof/>
                <w:sz w:val="24"/>
                <w:szCs w:val="24"/>
              </w:rPr>
            </w:pPr>
            <w:r>
              <w:rPr>
                <w:rFonts w:ascii="Times New Roman" w:hAnsi="Times New Roman"/>
                <w:noProof/>
                <w:color w:val="000000"/>
                <w:sz w:val="24"/>
              </w:rPr>
              <w:t xml:space="preserve">În iunie 2017, UE nu a fost în măsură </w:t>
            </w:r>
            <w:r>
              <w:rPr>
                <w:rFonts w:ascii="Times New Roman" w:hAnsi="Times New Roman"/>
                <w:b/>
                <w:noProof/>
                <w:color w:val="000000"/>
                <w:sz w:val="24"/>
              </w:rPr>
              <w:t>pentru</w:t>
            </w:r>
            <w:r>
              <w:rPr>
                <w:rFonts w:ascii="Times New Roman" w:hAnsi="Times New Roman"/>
                <w:noProof/>
                <w:color w:val="000000"/>
                <w:sz w:val="24"/>
              </w:rPr>
              <w:t xml:space="preserve"> </w:t>
            </w:r>
            <w:r>
              <w:rPr>
                <w:rFonts w:ascii="Times New Roman" w:hAnsi="Times New Roman"/>
                <w:b/>
                <w:noProof/>
                <w:color w:val="000000"/>
                <w:sz w:val="24"/>
              </w:rPr>
              <w:t>prima dată</w:t>
            </w:r>
            <w:r>
              <w:rPr>
                <w:rFonts w:ascii="Times New Roman" w:hAnsi="Times New Roman"/>
                <w:noProof/>
                <w:color w:val="000000"/>
                <w:sz w:val="24"/>
              </w:rPr>
              <w:t xml:space="preserve"> să emită o Declarație privind punctul 4 în cadrul Consiliului pentru Drepturile Omului.</w:t>
            </w:r>
            <w:r>
              <w:rPr>
                <w:rFonts w:ascii="Times New Roman" w:hAnsi="Times New Roman"/>
                <w:noProof/>
                <w:sz w:val="24"/>
              </w:rPr>
              <w:t xml:space="preserve"> Această situație s-a datorat obiecțiilor din partea unui număr limitat de state membre, care nu au pus sub semnul întrebării fondul evaluărilor efectuate. Statele membre respective s-au opus unor trimiteri explicite la două țări terțe pe care toate celelalte state membre doreau să le menționeze din cauza istoricului lor în materie de drepturile omului. Imposibilitatea de a pune capăt acestui impas a condus la reducerea la tăcere a UE. </w:t>
            </w:r>
            <w:r>
              <w:rPr>
                <w:rFonts w:ascii="Times New Roman" w:hAnsi="Times New Roman"/>
                <w:b/>
                <w:noProof/>
                <w:sz w:val="24"/>
              </w:rPr>
              <w:t xml:space="preserve"> </w:t>
            </w:r>
          </w:p>
          <w:p>
            <w:pPr>
              <w:pStyle w:val="ListParagraph"/>
              <w:numPr>
                <w:ilvl w:val="0"/>
                <w:numId w:val="7"/>
              </w:numPr>
              <w:spacing w:line="240" w:lineRule="auto"/>
              <w:jc w:val="both"/>
              <w:rPr>
                <w:noProof/>
              </w:rPr>
            </w:pPr>
            <w:r>
              <w:rPr>
                <w:rFonts w:ascii="Times New Roman" w:hAnsi="Times New Roman"/>
                <w:noProof/>
                <w:color w:val="000000"/>
                <w:sz w:val="24"/>
              </w:rPr>
              <w:t>În septembrie 2017, un stat membru a întârziat considerabil adoptarea Planului de lucru strategic al UE pentru Consiliul pentru Drepturile Omului și Declarația UE privind punctul 4 din cauza unei probleme specifice în legătură cu un stat terț. În octombrie, același stat membru a blocat proiectul de declarație a UE care urma să fie prezentată în cadrul Comisiei a III-a a Adunării Generale a ONU, obligând în cele din urmă toate celelalte state membre să accepte ceea ce a fost general considerată drept o trimitere disproporțională la un caz specific atât pe fond, cât și în lungime, prin comparație cu toate celelalte trimiteri din declarație.</w:t>
            </w:r>
          </w:p>
          <w:p>
            <w:pPr>
              <w:pStyle w:val="ListParagraph"/>
              <w:numPr>
                <w:ilvl w:val="0"/>
                <w:numId w:val="7"/>
              </w:numPr>
              <w:spacing w:line="240" w:lineRule="auto"/>
              <w:ind w:left="714" w:hanging="357"/>
              <w:jc w:val="both"/>
              <w:rPr>
                <w:rFonts w:ascii="Times New Roman" w:hAnsi="Times New Roman" w:cs="Calibri"/>
                <w:noProof/>
                <w:color w:val="000000"/>
                <w:sz w:val="24"/>
                <w:szCs w:val="24"/>
              </w:rPr>
            </w:pPr>
            <w:r>
              <w:rPr>
                <w:rFonts w:ascii="Times New Roman" w:hAnsi="Times New Roman"/>
                <w:noProof/>
                <w:color w:val="000000"/>
                <w:sz w:val="24"/>
              </w:rPr>
              <w:t xml:space="preserve">În februarie 2018, o serie de obiecții izolate din partea unui număr limitat de state membre au întârziat considerabil și, în cele din urmă, au obligat celelalte state membre să accepte să dilueze adoptarea priorităților anuale privind drepturile omului urmărite de UE în cadrul forumurilor Organizației Națiunilor Unite. </w:t>
            </w:r>
          </w:p>
          <w:p>
            <w:pPr>
              <w:pStyle w:val="ListParagraph"/>
              <w:numPr>
                <w:ilvl w:val="0"/>
                <w:numId w:val="7"/>
              </w:numPr>
              <w:spacing w:line="240" w:lineRule="auto"/>
              <w:ind w:left="714" w:hanging="357"/>
              <w:jc w:val="both"/>
              <w:rPr>
                <w:rFonts w:ascii="Times New Roman" w:hAnsi="Times New Roman" w:cs="Times New Roman"/>
                <w:noProof/>
                <w:sz w:val="24"/>
                <w:szCs w:val="24"/>
              </w:rPr>
            </w:pPr>
            <w:r>
              <w:rPr>
                <w:rFonts w:ascii="Times New Roman" w:hAnsi="Times New Roman"/>
                <w:noProof/>
                <w:sz w:val="24"/>
              </w:rPr>
              <w:t>Astfel de dificultăți au fost întâmpinate, de asemenea, în cadrul relațiilor bilaterale ale UE cu țările terțe. Pe fundalul unei noi legi care restrânge sever spațiul alocat organizațiilor neguvernamentale în Egipt, un număr limitat de state membre au blocat și, în cele din urmă, au încălcat în mod substanțial dorința exprimată de toate celelalte state membre, și anume de a include un limbaj clar în proiectul privind Prioritățile parteneriatului european cu Egiptul în ceea ce privește respectarea drepturilor omului și a societății civile. Ca urmare, cadrul relațiilor bilaterale cu Egipt nu a putut fi reînnoit la timp și a lipsit la începutul anului 2017.</w:t>
            </w:r>
          </w:p>
          <w:p>
            <w:pPr>
              <w:spacing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i/>
                <w:noProof/>
                <w:sz w:val="24"/>
                <w:szCs w:val="24"/>
              </w:rPr>
            </w:pPr>
            <w:r>
              <w:rPr>
                <w:rFonts w:ascii="Times New Roman" w:hAnsi="Times New Roman"/>
                <w:i/>
                <w:noProof/>
                <w:sz w:val="24"/>
              </w:rPr>
              <w:t>Alte declarații de politică externă ale UE</w:t>
            </w:r>
          </w:p>
          <w:p>
            <w:pPr>
              <w:spacing w:after="0" w:line="240" w:lineRule="auto"/>
              <w:jc w:val="both"/>
              <w:rPr>
                <w:rFonts w:ascii="Times New Roman" w:hAnsi="Times New Roman" w:cs="Times New Roman"/>
                <w:noProof/>
                <w:sz w:val="24"/>
                <w:szCs w:val="24"/>
              </w:rPr>
            </w:pPr>
          </w:p>
          <w:p>
            <w:pPr>
              <w:pStyle w:val="ListParagraph"/>
              <w:numPr>
                <w:ilvl w:val="0"/>
                <w:numId w:val="7"/>
              </w:numPr>
              <w:spacing w:line="240" w:lineRule="auto"/>
              <w:jc w:val="both"/>
              <w:rPr>
                <w:rFonts w:ascii="Times New Roman" w:hAnsi="Times New Roman" w:cs="Times New Roman"/>
                <w:noProof/>
                <w:sz w:val="24"/>
                <w:szCs w:val="24"/>
              </w:rPr>
            </w:pPr>
            <w:r>
              <w:rPr>
                <w:rFonts w:ascii="Times New Roman" w:hAnsi="Times New Roman"/>
                <w:noProof/>
                <w:sz w:val="24"/>
              </w:rPr>
              <w:t xml:space="preserve">În iulie 2016, UE </w:t>
            </w:r>
            <w:r>
              <w:rPr>
                <w:rFonts w:ascii="Times New Roman" w:hAnsi="Times New Roman"/>
                <w:b/>
                <w:noProof/>
                <w:sz w:val="24"/>
              </w:rPr>
              <w:t>nu a fost în măsură să susțină rapid</w:t>
            </w:r>
            <w:r>
              <w:rPr>
                <w:rFonts w:ascii="Times New Roman" w:hAnsi="Times New Roman"/>
                <w:noProof/>
                <w:sz w:val="24"/>
              </w:rPr>
              <w:t xml:space="preserve"> hotărârea referitoare la Marea Chinei de Sud pronunțată de o instanță de arbitraj în temeiul Convenției Națiunilor Unite asupra dreptului mării, din cauza opoziției unui număr limitat de state membre, fără legătură cu obiectul hotărârii în cauză. În urma mai multor zile de negocieri intense, în cele din urmă s-a convenit asupra unei declarații. Cu toate acestea, </w:t>
            </w:r>
            <w:r>
              <w:rPr>
                <w:rFonts w:ascii="Times New Roman" w:hAnsi="Times New Roman"/>
                <w:b/>
                <w:noProof/>
                <w:sz w:val="24"/>
              </w:rPr>
              <w:t>în pofida faptului că UE a fost în măsură să pledeze cu întârziere pentru respectarea dreptului internațional, aceasta nu a putut solicita executarea hotărârii.</w:t>
            </w:r>
            <w:r>
              <w:rPr>
                <w:rFonts w:ascii="Times New Roman" w:hAnsi="Times New Roman"/>
                <w:noProof/>
                <w:sz w:val="24"/>
              </w:rPr>
              <w:t xml:space="preserve"> Acest lucru a fost deosebit de problematic având în vedere reuniunile la nivel înalt UE-China și Reuniunea Asia-Europa (ASEM) care au avut loc în paralel. </w:t>
            </w:r>
          </w:p>
          <w:p>
            <w:pPr>
              <w:pStyle w:val="ListParagraph"/>
              <w:numPr>
                <w:ilvl w:val="0"/>
                <w:numId w:val="7"/>
              </w:numPr>
              <w:spacing w:line="240" w:lineRule="auto"/>
              <w:jc w:val="both"/>
              <w:rPr>
                <w:rFonts w:ascii="Times New Roman" w:hAnsi="Times New Roman" w:cs="Times New Roman"/>
                <w:noProof/>
                <w:sz w:val="24"/>
                <w:szCs w:val="24"/>
              </w:rPr>
            </w:pPr>
            <w:r>
              <w:rPr>
                <w:rFonts w:ascii="Times New Roman" w:hAnsi="Times New Roman"/>
                <w:noProof/>
                <w:sz w:val="24"/>
              </w:rPr>
              <w:t xml:space="preserve">În decembrie 2017 și în mai 2018, cerința unanimității cu privire la fiecare aspect al proiectelor cuprinzătoare a </w:t>
            </w:r>
            <w:r>
              <w:rPr>
                <w:rFonts w:ascii="Times New Roman" w:hAnsi="Times New Roman"/>
                <w:b/>
                <w:noProof/>
                <w:sz w:val="24"/>
              </w:rPr>
              <w:t>împiedicat UE să emită declarații unificate</w:t>
            </w:r>
            <w:r>
              <w:rPr>
                <w:rFonts w:ascii="Times New Roman" w:hAnsi="Times New Roman"/>
                <w:noProof/>
                <w:sz w:val="24"/>
              </w:rPr>
              <w:t xml:space="preserve"> referitoare la evoluțiile în ceea ce privește Ierusalimul, în pofida acordului continuat al statelor membre față de poziția fermă și de lungă durată cu privire la statutul Ierusalimului în </w:t>
            </w:r>
            <w:r>
              <w:rPr>
                <w:rFonts w:ascii="Times New Roman" w:hAnsi="Times New Roman"/>
                <w:noProof/>
                <w:sz w:val="24"/>
              </w:rPr>
              <w:lastRenderedPageBreak/>
              <w:t>conformitate cu dreptul internațional.</w:t>
            </w:r>
          </w:p>
          <w:p>
            <w:pPr>
              <w:spacing w:after="480" w:line="240" w:lineRule="auto"/>
              <w:jc w:val="both"/>
              <w:rPr>
                <w:rFonts w:ascii="Times New Roman" w:hAnsi="Times New Roman" w:cs="Times New Roman"/>
                <w:noProof/>
                <w:sz w:val="24"/>
                <w:szCs w:val="24"/>
              </w:rPr>
            </w:pPr>
            <w:r>
              <w:rPr>
                <w:rFonts w:ascii="Times New Roman" w:hAnsi="Times New Roman"/>
                <w:noProof/>
                <w:sz w:val="24"/>
              </w:rPr>
              <w:t>În ambele cazuri, Uniunea nu a fost în măsură să reacționeze în mod ferm și în timp util la o evoluție internațională, cu privire la care poziția sa era clară și bine stabilită.</w:t>
            </w:r>
          </w:p>
          <w:p>
            <w:pPr>
              <w:keepNext/>
              <w:pageBreakBefore/>
              <w:spacing w:after="0" w:line="240" w:lineRule="auto"/>
              <w:jc w:val="both"/>
              <w:rPr>
                <w:rFonts w:ascii="Times New Roman" w:hAnsi="Times New Roman" w:cs="Times New Roman"/>
                <w:i/>
                <w:noProof/>
                <w:sz w:val="24"/>
                <w:szCs w:val="24"/>
              </w:rPr>
            </w:pPr>
            <w:r>
              <w:rPr>
                <w:rFonts w:ascii="Times New Roman" w:hAnsi="Times New Roman"/>
                <w:i/>
                <w:noProof/>
                <w:sz w:val="24"/>
              </w:rPr>
              <w:t xml:space="preserve">Sancțiuni impuse de UE </w:t>
            </w:r>
          </w:p>
          <w:p>
            <w:pPr>
              <w:spacing w:after="0" w:line="240" w:lineRule="auto"/>
              <w:jc w:val="both"/>
              <w:rPr>
                <w:rFonts w:ascii="Times New Roman" w:hAnsi="Times New Roman" w:cs="Times New Roman"/>
                <w:noProof/>
                <w:sz w:val="24"/>
                <w:szCs w:val="24"/>
              </w:rPr>
            </w:pPr>
          </w:p>
          <w:p>
            <w:pPr>
              <w:pStyle w:val="ListParagraph"/>
              <w:numPr>
                <w:ilvl w:val="0"/>
                <w:numId w:val="7"/>
              </w:numPr>
              <w:spacing w:line="240" w:lineRule="auto"/>
              <w:jc w:val="both"/>
              <w:rPr>
                <w:rFonts w:ascii="Times New Roman" w:hAnsi="Times New Roman" w:cs="Times New Roman"/>
                <w:noProof/>
                <w:sz w:val="24"/>
                <w:szCs w:val="24"/>
              </w:rPr>
            </w:pPr>
            <w:r>
              <w:rPr>
                <w:rFonts w:ascii="Times New Roman" w:hAnsi="Times New Roman"/>
                <w:noProof/>
                <w:sz w:val="24"/>
              </w:rPr>
              <w:t xml:space="preserve">În februarie 2017, un stat membru </w:t>
            </w:r>
            <w:r>
              <w:rPr>
                <w:rFonts w:ascii="Times New Roman" w:hAnsi="Times New Roman"/>
                <w:b/>
                <w:noProof/>
                <w:sz w:val="24"/>
              </w:rPr>
              <w:t>a blocat reînnoirea embargoului asupra armelor împotriva Belarus</w:t>
            </w:r>
            <w:r>
              <w:rPr>
                <w:rFonts w:ascii="Times New Roman" w:hAnsi="Times New Roman"/>
                <w:noProof/>
                <w:sz w:val="24"/>
              </w:rPr>
              <w:t xml:space="preserve"> până când toate celelalte state membre au acceptat în cele din urmă să scutească o anumită categorie de arme de calibru mic pentru a evita expirarea completă a embargoului. Un an mai târziu, același stat membru a condiționat reînnoirea de extinderea excepției pentru a cuprinde o categorie suplimentară de arme, termeni acceptați în cele din urmă de toate celelalte state membre din același motiv.</w:t>
            </w:r>
          </w:p>
          <w:p>
            <w:pPr>
              <w:pStyle w:val="ListParagraph"/>
              <w:numPr>
                <w:ilvl w:val="0"/>
                <w:numId w:val="7"/>
              </w:numPr>
              <w:spacing w:line="240" w:lineRule="auto"/>
              <w:ind w:left="714" w:hanging="357"/>
              <w:jc w:val="both"/>
              <w:rPr>
                <w:rFonts w:ascii="Times New Roman" w:hAnsi="Times New Roman" w:cs="Times New Roman"/>
                <w:noProof/>
                <w:sz w:val="24"/>
                <w:szCs w:val="24"/>
              </w:rPr>
            </w:pPr>
            <w:r>
              <w:rPr>
                <w:rFonts w:ascii="Times New Roman" w:hAnsi="Times New Roman"/>
                <w:noProof/>
                <w:sz w:val="24"/>
              </w:rPr>
              <w:t xml:space="preserve">În vara anului 2017, un stat membru </w:t>
            </w:r>
            <w:r>
              <w:rPr>
                <w:rFonts w:ascii="Times New Roman" w:hAnsi="Times New Roman"/>
                <w:b/>
                <w:noProof/>
                <w:sz w:val="24"/>
              </w:rPr>
              <w:t>a blocat adoptarea măsurilor restrictive ale UE orientate împotriva Venezuelei</w:t>
            </w:r>
            <w:r>
              <w:rPr>
                <w:rFonts w:ascii="Times New Roman" w:hAnsi="Times New Roman"/>
                <w:noProof/>
                <w:sz w:val="24"/>
              </w:rPr>
              <w:t xml:space="preserve"> ca răspuns la evoluțiile politice interne care, conform precizărilor anterioare ale UE, în cazul în care s-ar fi materializat, ar fi condus la adoptarea acestora. Măsurile restrictive în cauză au fost adoptate în cele din urmă abia în noiembrie 2017, după o considerabilă deteriorare suplimentară a situației de pe teren.</w:t>
            </w:r>
          </w:p>
          <w:p>
            <w:pPr>
              <w:spacing w:line="240" w:lineRule="auto"/>
              <w:jc w:val="both"/>
              <w:rPr>
                <w:rFonts w:ascii="Times New Roman" w:hAnsi="Times New Roman" w:cs="Times New Roman"/>
                <w:noProof/>
                <w:sz w:val="24"/>
                <w:szCs w:val="24"/>
              </w:rPr>
            </w:pPr>
            <w:r>
              <w:rPr>
                <w:rFonts w:ascii="Times New Roman" w:hAnsi="Times New Roman"/>
                <w:noProof/>
                <w:sz w:val="24"/>
              </w:rPr>
              <w:t>De asemenea, aceste exemple arată că votul în unanimitate în cadrul Consiliului afectează capacitatea Uniunii Europene de a reacționa rapid și ferm la evoluțiile de pe plan internațional. În timp ce stabilirea regimurilor de sancțiuni în temeiul politicii externe și de securitate comune este decisă în unanimitate, regimul UE de contra-sancțiuni, numit, de asemenea, legea de blocare</w:t>
            </w:r>
            <w:r>
              <w:rPr>
                <w:rStyle w:val="FootnoteReference"/>
                <w:rFonts w:ascii="Times New Roman" w:hAnsi="Times New Roman"/>
                <w:noProof/>
                <w:sz w:val="24"/>
              </w:rPr>
              <w:footnoteReference w:id="11"/>
            </w:r>
            <w:r>
              <w:rPr>
                <w:rFonts w:ascii="Times New Roman" w:hAnsi="Times New Roman"/>
                <w:noProof/>
                <w:sz w:val="24"/>
              </w:rPr>
              <w:t>, face obiectul votului cu majoritate calificată, ceea ce îi permite să fie actualizat ca răspuns la evenimente internaționale într-un termen scurt.</w:t>
            </w:r>
          </w:p>
          <w:p>
            <w:pPr>
              <w:spacing w:line="240" w:lineRule="auto"/>
              <w:jc w:val="both"/>
              <w:rPr>
                <w:rFonts w:ascii="Times New Roman" w:hAnsi="Times New Roman" w:cs="Times New Roman"/>
                <w:i/>
                <w:noProof/>
                <w:sz w:val="24"/>
                <w:szCs w:val="24"/>
              </w:rPr>
            </w:pPr>
            <w:r>
              <w:rPr>
                <w:rFonts w:ascii="Times New Roman" w:hAnsi="Times New Roman"/>
                <w:i/>
                <w:noProof/>
                <w:sz w:val="24"/>
              </w:rPr>
              <w:t>Misiunile civile din domeniul politicii de securitate și apărare comune</w:t>
            </w:r>
          </w:p>
          <w:p>
            <w:pPr>
              <w:pStyle w:val="ListParagraph"/>
              <w:numPr>
                <w:ilvl w:val="0"/>
                <w:numId w:val="7"/>
              </w:numPr>
              <w:spacing w:line="240" w:lineRule="auto"/>
              <w:ind w:left="714" w:hanging="357"/>
              <w:jc w:val="both"/>
              <w:rPr>
                <w:noProof/>
              </w:rPr>
            </w:pPr>
            <w:r>
              <w:rPr>
                <w:rFonts w:ascii="Times New Roman" w:hAnsi="Times New Roman"/>
                <w:noProof/>
                <w:sz w:val="24"/>
              </w:rPr>
              <w:t xml:space="preserve">Mai recent, în 2018, </w:t>
            </w:r>
            <w:r>
              <w:rPr>
                <w:rFonts w:ascii="Times New Roman" w:hAnsi="Times New Roman"/>
                <w:b/>
                <w:noProof/>
                <w:sz w:val="24"/>
              </w:rPr>
              <w:t>prelungirea unei misiuni de consolidare a capacităților în Sahel a fost blocată</w:t>
            </w:r>
            <w:r>
              <w:rPr>
                <w:rFonts w:ascii="Times New Roman" w:hAnsi="Times New Roman"/>
                <w:noProof/>
                <w:sz w:val="24"/>
              </w:rPr>
              <w:t xml:space="preserve"> de un stat membru până când un alt stat membru a renunțat la rezervele sale privind o altă misiune în Irak. Din păcate, acesta nu a fost primul caz în care un stat membru se opune sau amână progresele în ceea ce privește un anumit dosar referitor la politica de securitate și apărare comună din cauza unui alt stat membru care face același lucru în cazul unui alt dosar. Astfel de situații nu au împiedicat niciodată UE să acționeze în cele din urmă, însă, în unele cazuri, au întârziat adoptarea deciziilor necesare.</w:t>
            </w:r>
          </w:p>
          <w:p>
            <w:pPr>
              <w:spacing w:line="240" w:lineRule="auto"/>
              <w:jc w:val="both"/>
              <w:rPr>
                <w:rFonts w:ascii="Times New Roman" w:hAnsi="Times New Roman" w:cs="Times New Roman"/>
                <w:b/>
                <w:noProof/>
                <w:sz w:val="24"/>
                <w:szCs w:val="24"/>
              </w:rPr>
            </w:pPr>
            <w:r>
              <w:rPr>
                <w:rFonts w:ascii="Times New Roman" w:hAnsi="Times New Roman"/>
                <w:noProof/>
                <w:sz w:val="24"/>
              </w:rPr>
              <w:t xml:space="preserve">Întârzierile în procesul decizional </w:t>
            </w:r>
            <w:r>
              <w:rPr>
                <w:rFonts w:ascii="Times New Roman" w:hAnsi="Times New Roman"/>
                <w:b/>
                <w:noProof/>
                <w:sz w:val="24"/>
              </w:rPr>
              <w:t>din cauza unanimității</w:t>
            </w:r>
            <w:r>
              <w:rPr>
                <w:rFonts w:ascii="Times New Roman" w:hAnsi="Times New Roman"/>
                <w:noProof/>
                <w:sz w:val="24"/>
              </w:rPr>
              <w:t xml:space="preserve"> depășesc deciziile de lansare și stabilire a misiunilor civile din domeniul politicii de securitate și de apărare comune și includ, de asemenea, aspecte privind punerea în practică, cum ar fi aprobarea rapoartelor semestriale obligatorii pe care fiecare misiune civilă din domeniul politicii de securitate și de apărare comune trebuie să le prezinte în mod regulat Consiliului. </w:t>
            </w:r>
          </w:p>
        </w:tc>
      </w:tr>
    </w:tbl>
    <w:p>
      <w:pPr>
        <w:spacing w:after="0" w:line="240" w:lineRule="auto"/>
        <w:jc w:val="both"/>
        <w:rPr>
          <w:rFonts w:ascii="Times New Roman" w:hAnsi="Times New Roman" w:cs="Times New Roman"/>
          <w:noProof/>
          <w:sz w:val="24"/>
          <w:szCs w:val="24"/>
        </w:rPr>
      </w:pPr>
      <w:r>
        <w:rPr>
          <w:rFonts w:ascii="Times New Roman" w:hAnsi="Times New Roman"/>
          <w:noProof/>
          <w:sz w:val="24"/>
        </w:rPr>
        <w:lastRenderedPageBreak/>
        <w:t xml:space="preserve"> </w:t>
      </w: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Aceste și alte situații asemănătoare nu au fost cauzate de divergențe insurmontabile în ceea ce privește interesele pe termen lung, ci de faptul că dreptul de veto le-a permis statelor membre să blocheze procesul decizional din motive care nu sunt întotdeauna legate de chestiunea specifică în cauză și le-a descurajat de la a urmări un compromis constructiv. </w:t>
      </w:r>
    </w:p>
    <w:p>
      <w:pPr>
        <w:spacing w:after="0" w:line="240" w:lineRule="auto"/>
        <w:jc w:val="both"/>
        <w:rPr>
          <w:rFonts w:ascii="Times New Roman" w:hAnsi="Times New Roman" w:cs="Times New Roman"/>
          <w:b/>
          <w:noProof/>
          <w:sz w:val="24"/>
          <w:szCs w:val="24"/>
        </w:rPr>
      </w:pP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Este important de remarcat că, în majoritatea exemplelor de mai sus, ca urmare a activității intense depuse de toate părțile implicate, s-au găsit adesea soluții. Cu toate acestea, soluțiile în cauză au implicat un preț. Discuțiile prelungite ca urmare a utilizării dreptului de veto au avut adesea un </w:t>
      </w:r>
      <w:r>
        <w:rPr>
          <w:rFonts w:ascii="Times New Roman" w:hAnsi="Times New Roman"/>
          <w:b/>
          <w:noProof/>
          <w:sz w:val="24"/>
        </w:rPr>
        <w:t>caracter dezbinator</w:t>
      </w:r>
      <w:r>
        <w:rPr>
          <w:rFonts w:ascii="Times New Roman" w:hAnsi="Times New Roman"/>
          <w:noProof/>
          <w:sz w:val="24"/>
        </w:rPr>
        <w:t xml:space="preserve"> și au deteriorat influența și coeziunea UE. </w:t>
      </w:r>
    </w:p>
    <w:p>
      <w:pPr>
        <w:pStyle w:val="ListParagraph"/>
        <w:numPr>
          <w:ilvl w:val="0"/>
          <w:numId w:val="1"/>
        </w:numPr>
        <w:spacing w:line="240" w:lineRule="auto"/>
        <w:jc w:val="both"/>
        <w:rPr>
          <w:rFonts w:ascii="Times New Roman" w:hAnsi="Times New Roman" w:cs="Times New Roman"/>
          <w:noProof/>
          <w:sz w:val="24"/>
          <w:szCs w:val="24"/>
        </w:rPr>
      </w:pPr>
      <w:r>
        <w:rPr>
          <w:rFonts w:ascii="Times New Roman" w:hAnsi="Times New Roman"/>
          <w:b/>
          <w:noProof/>
          <w:sz w:val="24"/>
        </w:rPr>
        <w:t>Cadrul decizional în vigoare în domeniul politicii externe și de securitate comune</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Tratatul privind Uniunea Europeană stabilește regula generală conform căreia Consiliul adoptă deciziile în materie de politică externă și de securitate comună </w:t>
      </w:r>
      <w:r>
        <w:rPr>
          <w:rFonts w:ascii="Times New Roman" w:hAnsi="Times New Roman"/>
          <w:b/>
          <w:noProof/>
          <w:sz w:val="24"/>
        </w:rPr>
        <w:t>în unanimitate</w:t>
      </w:r>
      <w:r>
        <w:rPr>
          <w:rFonts w:ascii="Times New Roman" w:hAnsi="Times New Roman"/>
          <w:noProof/>
          <w:sz w:val="24"/>
        </w:rPr>
        <w:t xml:space="preserve"> [articolul 24 alineatul (1) și articolul 31 alineatul (1) din tratat]</w:t>
      </w:r>
      <w:r>
        <w:rPr>
          <w:rStyle w:val="FootnoteReference"/>
          <w:rFonts w:ascii="Times New Roman" w:hAnsi="Times New Roman"/>
          <w:noProof/>
          <w:sz w:val="24"/>
        </w:rPr>
        <w:footnoteReference w:id="12"/>
      </w:r>
      <w:r>
        <w:rPr>
          <w:rFonts w:ascii="Times New Roman" w:hAnsi="Times New Roman"/>
          <w:noProof/>
          <w:sz w:val="24"/>
        </w:rPr>
        <w:t xml:space="preserve">. Această regulă a rămas în vigoare începând cu Tratatul de la Maastricht. În același timp, </w:t>
      </w:r>
      <w:r>
        <w:rPr>
          <w:rFonts w:ascii="Times New Roman" w:hAnsi="Times New Roman"/>
          <w:b/>
          <w:noProof/>
          <w:sz w:val="24"/>
        </w:rPr>
        <w:t>regula privind votul cu majoritate calificată există și este deja aplicabilă în anumite cazuri</w:t>
      </w:r>
      <w:r>
        <w:rPr>
          <w:rFonts w:ascii="Times New Roman" w:hAnsi="Times New Roman"/>
          <w:noProof/>
          <w:sz w:val="24"/>
        </w:rPr>
        <w:t xml:space="preserve"> în politica externă și de securitate comună.</w:t>
      </w:r>
    </w:p>
    <w:p>
      <w:pPr>
        <w:pStyle w:val="ListParagraph"/>
        <w:numPr>
          <w:ilvl w:val="1"/>
          <w:numId w:val="1"/>
        </w:numPr>
        <w:spacing w:line="240" w:lineRule="auto"/>
        <w:jc w:val="both"/>
        <w:rPr>
          <w:rFonts w:ascii="Times New Roman" w:hAnsi="Times New Roman" w:cs="Times New Roman"/>
          <w:b/>
          <w:noProof/>
          <w:sz w:val="24"/>
          <w:szCs w:val="24"/>
        </w:rPr>
      </w:pPr>
      <w:r>
        <w:rPr>
          <w:rFonts w:ascii="Times New Roman" w:hAnsi="Times New Roman"/>
          <w:b/>
          <w:noProof/>
          <w:sz w:val="24"/>
        </w:rPr>
        <w:t>Deși unanimitatea este regula generală pentru luarea deciziilor privind politica externă și de securitate comună...</w:t>
      </w:r>
    </w:p>
    <w:p>
      <w:pPr>
        <w:spacing w:line="240" w:lineRule="auto"/>
        <w:jc w:val="both"/>
        <w:rPr>
          <w:rFonts w:ascii="Times New Roman" w:hAnsi="Times New Roman" w:cs="Times New Roman"/>
          <w:noProof/>
          <w:sz w:val="24"/>
          <w:szCs w:val="24"/>
        </w:rPr>
      </w:pPr>
      <w:r>
        <w:rPr>
          <w:rFonts w:ascii="Times New Roman" w:hAnsi="Times New Roman"/>
          <w:noProof/>
          <w:sz w:val="24"/>
        </w:rPr>
        <w:t>Regula unanimității în politica externă și de securitate comună vine în contradicție cu alte domenii de acțiune externă a UE (de exemplu, politicile UE privind dezvoltarea și cooperarea internațională sau comerțul), în care regula generală este aceea că deciziile sunt adoptate prin vot cu majoritate calificată</w:t>
      </w:r>
      <w:r>
        <w:rPr>
          <w:rStyle w:val="FootnoteReference"/>
          <w:rFonts w:ascii="Times New Roman" w:hAnsi="Times New Roman"/>
          <w:noProof/>
          <w:sz w:val="24"/>
        </w:rPr>
        <w:footnoteReference w:id="13"/>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Reflectând dificultățile la care poate conduce această regulă, Tratatul privind Uniunea Europeană prevede o normă care are scopul de a facilita adoptarea de decizii în unanimitate, acordând o marjă de flexibilitate care contribuie la sporirea eficacității în vederea adoptării de decizii.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Așa-numita </w:t>
      </w:r>
      <w:r>
        <w:rPr>
          <w:rFonts w:ascii="Times New Roman" w:hAnsi="Times New Roman"/>
          <w:b/>
          <w:noProof/>
          <w:sz w:val="24"/>
        </w:rPr>
        <w:t>„abținere constructivă</w:t>
      </w:r>
      <w:r>
        <w:rPr>
          <w:rFonts w:ascii="Times New Roman" w:hAnsi="Times New Roman"/>
          <w:noProof/>
          <w:sz w:val="24"/>
        </w:rPr>
        <w:t xml:space="preserve">” [articolul 31 alineatul (1) al doilea paragraf din TUE] prevede dreptul unui stat membru de a se abține de la votul unanim în ceea ce privește politica externă și de securitate comună și de a-și justifica abținerea printr-o declarație oficială. Statul membru nu este obligat să aplice decizia. Cu toate acestea, în spirit de solidaritate, statul membru este obligat să se abțină de la acțiuni care ar împiedica eforturile Uniunii de a aplica decizia în cauză. </w:t>
      </w:r>
    </w:p>
    <w:p>
      <w:pPr>
        <w:spacing w:line="240" w:lineRule="auto"/>
        <w:jc w:val="both"/>
        <w:rPr>
          <w:rFonts w:ascii="Times New Roman" w:hAnsi="Times New Roman" w:cs="Times New Roman"/>
          <w:noProof/>
          <w:sz w:val="24"/>
          <w:szCs w:val="24"/>
        </w:rPr>
      </w:pPr>
      <w:r>
        <w:rPr>
          <w:rFonts w:ascii="Times New Roman" w:hAnsi="Times New Roman"/>
          <w:noProof/>
          <w:sz w:val="24"/>
        </w:rPr>
        <w:t>Până în prezent, abținerea constructivă a fost utilizată o singură dată, de către un stat membru atunci când UE a decis în 2008</w:t>
      </w:r>
      <w:r>
        <w:rPr>
          <w:rStyle w:val="FootnoteReference"/>
          <w:rFonts w:ascii="Times New Roman" w:hAnsi="Times New Roman"/>
          <w:noProof/>
          <w:sz w:val="24"/>
        </w:rPr>
        <w:footnoteReference w:id="14"/>
      </w:r>
      <w:r>
        <w:rPr>
          <w:rFonts w:ascii="Times New Roman" w:hAnsi="Times New Roman"/>
          <w:noProof/>
          <w:sz w:val="24"/>
        </w:rPr>
        <w:t xml:space="preserve"> să înființeze o misiune civilă în domeniul politicii de securitate și apărare comune pentru Kosovo*.</w:t>
      </w:r>
    </w:p>
    <w:tbl>
      <w:tblPr>
        <w:tblStyle w:val="TableGrid"/>
        <w:tblW w:w="0" w:type="auto"/>
        <w:tblLook w:val="04A0" w:firstRow="1" w:lastRow="0" w:firstColumn="1" w:lastColumn="0" w:noHBand="0" w:noVBand="1"/>
      </w:tblPr>
      <w:tblGrid>
        <w:gridCol w:w="9242"/>
      </w:tblGrid>
      <w:tr>
        <w:tc>
          <w:tcPr>
            <w:tcW w:w="9242" w:type="dxa"/>
          </w:tcPr>
          <w:p>
            <w:pPr>
              <w:spacing w:line="240" w:lineRule="auto"/>
              <w:jc w:val="both"/>
              <w:rPr>
                <w:rFonts w:ascii="Times New Roman" w:hAnsi="Times New Roman" w:cs="Times New Roman"/>
                <w:b/>
                <w:noProof/>
                <w:sz w:val="24"/>
                <w:szCs w:val="24"/>
              </w:rPr>
            </w:pPr>
            <w:r>
              <w:rPr>
                <w:rFonts w:ascii="Times New Roman" w:hAnsi="Times New Roman"/>
                <w:b/>
                <w:noProof/>
                <w:sz w:val="24"/>
              </w:rPr>
              <w:lastRenderedPageBreak/>
              <w:t xml:space="preserve">Rapel — procedurile de vot din cadrul Consiliului </w:t>
            </w:r>
          </w:p>
          <w:p>
            <w:pPr>
              <w:spacing w:line="240" w:lineRule="auto"/>
              <w:jc w:val="both"/>
              <w:rPr>
                <w:rFonts w:ascii="Times New Roman" w:hAnsi="Times New Roman" w:cs="Times New Roman"/>
                <w:b/>
                <w:noProof/>
                <w:sz w:val="24"/>
                <w:szCs w:val="24"/>
              </w:rPr>
            </w:pPr>
            <w:r>
              <w:rPr>
                <w:rFonts w:ascii="Times New Roman" w:hAnsi="Times New Roman"/>
                <w:b/>
                <w:noProof/>
                <w:sz w:val="24"/>
              </w:rPr>
              <w:t>Majoritate simplă (articolul 238 din TFUE):</w:t>
            </w:r>
            <w:r>
              <w:rPr>
                <w:rFonts w:ascii="Times New Roman" w:hAnsi="Times New Roman"/>
                <w:noProof/>
                <w:sz w:val="24"/>
              </w:rPr>
              <w:t xml:space="preserve"> O majoritate simplă reprezintă 15 dintre cele 28 de state membre. </w:t>
            </w:r>
          </w:p>
          <w:p>
            <w:pPr>
              <w:spacing w:line="240" w:lineRule="auto"/>
              <w:jc w:val="both"/>
              <w:rPr>
                <w:rFonts w:ascii="Times New Roman" w:hAnsi="Times New Roman" w:cs="Times New Roman"/>
                <w:noProof/>
                <w:sz w:val="24"/>
                <w:szCs w:val="24"/>
              </w:rPr>
            </w:pPr>
            <w:r>
              <w:rPr>
                <w:rFonts w:ascii="Times New Roman" w:hAnsi="Times New Roman"/>
                <w:b/>
                <w:noProof/>
                <w:sz w:val="24"/>
              </w:rPr>
              <w:t>Majoritate calificată [articolul 16 din TUE și articolul 238 alineatul (3) din TFUE]:</w:t>
            </w:r>
            <w:r>
              <w:rPr>
                <w:rFonts w:ascii="Times New Roman" w:hAnsi="Times New Roman"/>
                <w:noProof/>
                <w:sz w:val="24"/>
              </w:rPr>
              <w:t xml:space="preserve"> Majoritatea calificată post-2014 este atinsă dacă 55 % din statele membre votează favorabil, ceea ce, în practică, înseamnă 16 din 28, și dacă statele membre care au votat favorabil reprezintă cel puțin 65 % din populația totală a UE. Abținerea este calculată ca fiind un vot împotrivă. </w:t>
            </w:r>
          </w:p>
          <w:p>
            <w:pPr>
              <w:spacing w:line="240" w:lineRule="auto"/>
              <w:jc w:val="both"/>
              <w:rPr>
                <w:rFonts w:ascii="Times New Roman" w:hAnsi="Times New Roman" w:cs="Times New Roman"/>
                <w:b/>
                <w:noProof/>
                <w:sz w:val="24"/>
                <w:szCs w:val="24"/>
              </w:rPr>
            </w:pPr>
            <w:r>
              <w:rPr>
                <w:rFonts w:ascii="Times New Roman" w:hAnsi="Times New Roman"/>
                <w:b/>
                <w:noProof/>
                <w:sz w:val="24"/>
              </w:rPr>
              <w:t>Unanimitate [articolul 238 alineatul (4) din TFUE]:</w:t>
            </w:r>
            <w:r>
              <w:rPr>
                <w:rFonts w:ascii="Times New Roman" w:hAnsi="Times New Roman"/>
                <w:noProof/>
                <w:sz w:val="24"/>
              </w:rPr>
              <w:t xml:space="preserve"> Toate statele membre trebuie să ajungă la un consens înainte de a adopta o decizie. Abținerea nu împiedică adoptarea deciziilor luate de Consiliu atunci când acesta hotărăște în unanimitate. </w:t>
            </w:r>
          </w:p>
        </w:tc>
      </w:tr>
    </w:tbl>
    <w:p>
      <w:pPr>
        <w:spacing w:line="240" w:lineRule="auto"/>
        <w:jc w:val="both"/>
        <w:rPr>
          <w:rFonts w:ascii="Times New Roman" w:hAnsi="Times New Roman" w:cs="Times New Roman"/>
          <w:b/>
          <w:noProof/>
          <w:sz w:val="24"/>
          <w:szCs w:val="24"/>
        </w:rPr>
      </w:pPr>
    </w:p>
    <w:p>
      <w:pPr>
        <w:pStyle w:val="ListParagraph"/>
        <w:numPr>
          <w:ilvl w:val="1"/>
          <w:numId w:val="1"/>
        </w:numPr>
        <w:spacing w:line="240" w:lineRule="auto"/>
        <w:jc w:val="both"/>
        <w:rPr>
          <w:rFonts w:ascii="Times New Roman" w:hAnsi="Times New Roman" w:cs="Times New Roman"/>
          <w:b/>
          <w:noProof/>
          <w:sz w:val="24"/>
          <w:szCs w:val="24"/>
        </w:rPr>
      </w:pPr>
      <w:r>
        <w:rPr>
          <w:rFonts w:ascii="Times New Roman" w:hAnsi="Times New Roman"/>
          <w:b/>
          <w:noProof/>
          <w:sz w:val="24"/>
        </w:rPr>
        <w:t xml:space="preserve">... votul cu majoritate calificată este prevăzut și deja aplicabil în anumite cazuri pentru politica externă și de securitate comună... </w:t>
      </w:r>
    </w:p>
    <w:p>
      <w:pPr>
        <w:spacing w:line="240" w:lineRule="auto"/>
        <w:jc w:val="both"/>
        <w:rPr>
          <w:rFonts w:ascii="Times New Roman" w:hAnsi="Times New Roman" w:cs="Times New Roman"/>
          <w:noProof/>
          <w:sz w:val="24"/>
          <w:szCs w:val="24"/>
        </w:rPr>
      </w:pPr>
      <w:r>
        <w:rPr>
          <w:rFonts w:ascii="Times New Roman" w:hAnsi="Times New Roman"/>
          <w:noProof/>
          <w:sz w:val="24"/>
        </w:rPr>
        <w:t>Consiliul European a declarat încă din 1990 că votul cu majoritate calificată ar trebui avut în vedere pentru punerea în aplicare a politicilor externe și de securitate comune convenite anterior</w:t>
      </w:r>
      <w:r>
        <w:rPr>
          <w:rStyle w:val="FootnoteReference"/>
          <w:rFonts w:ascii="Times New Roman" w:hAnsi="Times New Roman"/>
          <w:noProof/>
          <w:sz w:val="24"/>
        </w:rPr>
        <w:footnoteReference w:id="15"/>
      </w:r>
      <w:r>
        <w:rPr>
          <w:rFonts w:ascii="Times New Roman" w:hAnsi="Times New Roman"/>
          <w:noProof/>
          <w:sz w:val="24"/>
        </w:rPr>
        <w:t xml:space="preserve">. Având în vedere acest obiectiv, statele membre au convenit, prin modificări succesive ale tratatelor, asupra unei treceri treptate la o practică decizională cu majoritate calificată. Articolul 31 alineatul (2) din TUE </w:t>
      </w:r>
      <w:r>
        <w:rPr>
          <w:rFonts w:ascii="Times New Roman" w:hAnsi="Times New Roman"/>
          <w:b/>
          <w:noProof/>
          <w:sz w:val="24"/>
        </w:rPr>
        <w:t>are un potențial foarte mare care, până în prezent, a rămas neexploatat.</w:t>
      </w:r>
    </w:p>
    <w:tbl>
      <w:tblPr>
        <w:tblStyle w:val="TableGrid"/>
        <w:tblW w:w="0" w:type="auto"/>
        <w:tblLook w:val="04A0" w:firstRow="1" w:lastRow="0" w:firstColumn="1" w:lastColumn="0" w:noHBand="0" w:noVBand="1"/>
      </w:tblPr>
      <w:tblGrid>
        <w:gridCol w:w="9242"/>
      </w:tblGrid>
      <w:tr>
        <w:tc>
          <w:tcPr>
            <w:tcW w:w="9242" w:type="dxa"/>
          </w:tcPr>
          <w:p>
            <w:pPr>
              <w:spacing w:line="240" w:lineRule="auto"/>
              <w:rPr>
                <w:rFonts w:ascii="Times New Roman" w:hAnsi="Times New Roman" w:cs="Times New Roman"/>
                <w:noProof/>
                <w:sz w:val="24"/>
                <w:szCs w:val="24"/>
              </w:rPr>
            </w:pPr>
            <w:r>
              <w:rPr>
                <w:rFonts w:ascii="Times New Roman" w:hAnsi="Times New Roman"/>
                <w:b/>
                <w:noProof/>
                <w:sz w:val="24"/>
              </w:rPr>
              <w:t>Articolul 31 alineatul (2) din TUE prevede adoptarea de către Consiliu a unei decizii cu majoritate calificată în aspecte legate de politica externă și de securitate comună în următoarele cazuri</w:t>
            </w:r>
            <w:r>
              <w:rPr>
                <w:rStyle w:val="FootnoteReference"/>
                <w:rFonts w:ascii="Times New Roman" w:hAnsi="Times New Roman"/>
                <w:noProof/>
                <w:sz w:val="24"/>
              </w:rPr>
              <w:footnoteReference w:id="16"/>
            </w:r>
            <w:r>
              <w:rPr>
                <w:rFonts w:ascii="Times New Roman" w:hAnsi="Times New Roman"/>
                <w:noProof/>
                <w:sz w:val="24"/>
              </w:rPr>
              <w:t>:</w:t>
            </w:r>
          </w:p>
          <w:p>
            <w:pPr>
              <w:spacing w:line="240" w:lineRule="auto"/>
              <w:rPr>
                <w:rFonts w:ascii="Times New Roman" w:hAnsi="Times New Roman" w:cs="Times New Roman"/>
                <w:noProof/>
                <w:sz w:val="24"/>
                <w:szCs w:val="24"/>
              </w:rPr>
            </w:pPr>
            <w:r>
              <w:rPr>
                <w:rFonts w:ascii="Times New Roman" w:hAnsi="Times New Roman"/>
                <w:noProof/>
                <w:sz w:val="24"/>
              </w:rPr>
              <w:t xml:space="preserve">Cazurile în care articolul 31 alineatul (2) din TUE </w:t>
            </w:r>
            <w:r>
              <w:rPr>
                <w:rFonts w:ascii="Times New Roman" w:hAnsi="Times New Roman"/>
                <w:b/>
                <w:i/>
                <w:noProof/>
                <w:sz w:val="24"/>
              </w:rPr>
              <w:t>permite</w:t>
            </w:r>
            <w:r>
              <w:rPr>
                <w:rFonts w:ascii="Times New Roman" w:hAnsi="Times New Roman"/>
                <w:noProof/>
                <w:sz w:val="24"/>
              </w:rPr>
              <w:t xml:space="preserve"> utilizarea votului cu majoritate calificată</w:t>
            </w:r>
          </w:p>
          <w:p>
            <w:pPr>
              <w:pStyle w:val="ListParagraph"/>
              <w:numPr>
                <w:ilvl w:val="0"/>
                <w:numId w:val="7"/>
              </w:numPr>
              <w:spacing w:line="240" w:lineRule="auto"/>
              <w:jc w:val="both"/>
              <w:rPr>
                <w:rFonts w:ascii="Times New Roman" w:hAnsi="Times New Roman" w:cs="Times New Roman"/>
                <w:noProof/>
                <w:sz w:val="24"/>
                <w:szCs w:val="24"/>
              </w:rPr>
            </w:pPr>
            <w:r>
              <w:rPr>
                <w:rFonts w:ascii="Times New Roman" w:hAnsi="Times New Roman"/>
                <w:i/>
                <w:noProof/>
                <w:sz w:val="24"/>
              </w:rPr>
              <w:t>„o decizie care definește o acțiune sau o poziție a Uniunii, în temeiul unei decizii a Consiliului European privind interesele și obiectivele strategice ale Uniunii, prevăzute la articolul 22 alineatul (1) din TUE”</w:t>
            </w:r>
            <w:r>
              <w:rPr>
                <w:rFonts w:ascii="Times New Roman" w:hAnsi="Times New Roman"/>
                <w:noProof/>
                <w:sz w:val="24"/>
              </w:rPr>
              <w:t>.</w:t>
            </w:r>
          </w:p>
          <w:p>
            <w:pPr>
              <w:spacing w:line="240" w:lineRule="auto"/>
              <w:ind w:left="709"/>
              <w:jc w:val="both"/>
              <w:rPr>
                <w:rFonts w:ascii="Times New Roman" w:hAnsi="Times New Roman" w:cs="Times New Roman"/>
                <w:noProof/>
                <w:sz w:val="24"/>
                <w:szCs w:val="24"/>
              </w:rPr>
            </w:pPr>
            <w:r>
              <w:rPr>
                <w:rFonts w:ascii="Times New Roman" w:hAnsi="Times New Roman"/>
                <w:noProof/>
                <w:sz w:val="24"/>
              </w:rPr>
              <w:t xml:space="preserve">Această dispoziție îi oferă Consiliului European posibilitatea de a adopta în </w:t>
            </w:r>
            <w:r>
              <w:rPr>
                <w:rFonts w:ascii="Times New Roman" w:hAnsi="Times New Roman"/>
                <w:noProof/>
                <w:sz w:val="24"/>
              </w:rPr>
              <w:lastRenderedPageBreak/>
              <w:t>unanimitate o decizie care stabilește interesele și obiectivele strategice ale UE în unul sau mai multe domenii specifice ale politicii externe și de securitate comune. De îndată ce Consiliul European stabilește obiectivele și principiile strategice ale acțiunii sau poziției preconizate, Consiliul ar urma să adopte, prin majoritate calificată, toate deciziile de punere în aplicare a deciziilor strategice ale Consiliului European.</w:t>
            </w:r>
          </w:p>
          <w:p>
            <w:pPr>
              <w:pStyle w:val="ListParagraph"/>
              <w:numPr>
                <w:ilvl w:val="0"/>
                <w:numId w:val="7"/>
              </w:numPr>
              <w:spacing w:line="240" w:lineRule="auto"/>
              <w:jc w:val="both"/>
              <w:rPr>
                <w:rFonts w:ascii="Times New Roman" w:hAnsi="Times New Roman" w:cs="Times New Roman"/>
                <w:noProof/>
                <w:sz w:val="24"/>
                <w:szCs w:val="24"/>
              </w:rPr>
            </w:pPr>
            <w:r>
              <w:rPr>
                <w:rFonts w:ascii="Times New Roman" w:hAnsi="Times New Roman"/>
                <w:i/>
                <w:noProof/>
                <w:sz w:val="24"/>
              </w:rPr>
              <w:t>„o decizie privind o acțiune sau o poziție a Uniunii, la propunerea Înaltului Reprezentant al Uniunii pentru afaceri externe și politica de securitate prezentată în urma unei cereri exprese pe care Consiliul European i-a adresat-o din proprie inițiativă, sau la inițiativa Înaltului Reprezentant”</w:t>
            </w:r>
            <w:r>
              <w:rPr>
                <w:rFonts w:ascii="Times New Roman" w:hAnsi="Times New Roman"/>
                <w:noProof/>
                <w:sz w:val="24"/>
              </w:rPr>
              <w:t>.</w:t>
            </w:r>
          </w:p>
          <w:p>
            <w:pPr>
              <w:spacing w:line="240" w:lineRule="auto"/>
              <w:ind w:left="709"/>
              <w:jc w:val="both"/>
              <w:rPr>
                <w:rFonts w:ascii="Times New Roman" w:hAnsi="Times New Roman" w:cs="Times New Roman"/>
                <w:noProof/>
                <w:sz w:val="24"/>
                <w:szCs w:val="24"/>
              </w:rPr>
            </w:pPr>
            <w:r>
              <w:rPr>
                <w:rFonts w:ascii="Times New Roman" w:hAnsi="Times New Roman"/>
                <w:noProof/>
                <w:sz w:val="24"/>
              </w:rPr>
              <w:t xml:space="preserve">Această dispoziție permite Consiliului European (fie din proprie inițiativă, fie ca urmare a unei propuneri a Înaltului Reprezentant) să îi solicite în unanimitate Înaltului Reprezentant să prezinte o propunere Consiliului pentru o decizie care definește o acțiune sau o poziție a Uniunii. În astfel de cazuri, Consiliul ar decide cu majoritate calificată. Conținutul posibil al unei astfel de solicitări a Consiliului European nu este definit în tratate și ar putea, prin urmare, să includă toate domeniile politicii externe și de securitate comune.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Cazurile în care articolul 31 alineatul (2) din TUE </w:t>
            </w:r>
            <w:r>
              <w:rPr>
                <w:rFonts w:ascii="Times New Roman" w:hAnsi="Times New Roman"/>
                <w:b/>
                <w:i/>
                <w:noProof/>
                <w:sz w:val="24"/>
              </w:rPr>
              <w:t>impune</w:t>
            </w:r>
            <w:r>
              <w:rPr>
                <w:rFonts w:ascii="Times New Roman" w:hAnsi="Times New Roman"/>
                <w:noProof/>
                <w:sz w:val="24"/>
              </w:rPr>
              <w:t xml:space="preserve"> utilizarea votului cu majoritate calificată </w:t>
            </w:r>
          </w:p>
          <w:p>
            <w:pPr>
              <w:pStyle w:val="ListParagraph"/>
              <w:numPr>
                <w:ilvl w:val="0"/>
                <w:numId w:val="7"/>
              </w:numPr>
              <w:spacing w:line="240" w:lineRule="auto"/>
              <w:jc w:val="both"/>
              <w:rPr>
                <w:rFonts w:ascii="Times New Roman" w:hAnsi="Times New Roman" w:cs="Times New Roman"/>
                <w:i/>
                <w:noProof/>
                <w:sz w:val="24"/>
                <w:szCs w:val="24"/>
              </w:rPr>
            </w:pPr>
            <w:r>
              <w:rPr>
                <w:rFonts w:ascii="Times New Roman" w:hAnsi="Times New Roman"/>
                <w:i/>
                <w:noProof/>
                <w:sz w:val="24"/>
              </w:rPr>
              <w:t>„punerea în aplicare a unei decizii care definește o acțiune sau o poziție a Uniunii“</w:t>
            </w:r>
            <w:r>
              <w:rPr>
                <w:rFonts w:ascii="Times New Roman" w:hAnsi="Times New Roman"/>
                <w:noProof/>
                <w:sz w:val="24"/>
              </w:rPr>
              <w:t>.</w:t>
            </w:r>
          </w:p>
          <w:p>
            <w:pPr>
              <w:spacing w:line="240" w:lineRule="auto"/>
              <w:ind w:left="709"/>
              <w:jc w:val="both"/>
              <w:rPr>
                <w:rFonts w:ascii="Times New Roman" w:hAnsi="Times New Roman" w:cs="Times New Roman"/>
                <w:noProof/>
                <w:sz w:val="24"/>
                <w:szCs w:val="24"/>
              </w:rPr>
            </w:pPr>
            <w:r>
              <w:rPr>
                <w:rFonts w:ascii="Times New Roman" w:hAnsi="Times New Roman"/>
                <w:noProof/>
                <w:sz w:val="24"/>
              </w:rPr>
              <w:t>Acesta vizează situația de după adoptarea de către Consiliu a unei acțiuni sau poziții inițiale în unanimitate, acesta urmând să adopte toate deciziile ulterioare de punere în aplicare cu majoritate calificată.</w:t>
            </w:r>
          </w:p>
          <w:p>
            <w:pPr>
              <w:pStyle w:val="ListParagraph"/>
              <w:numPr>
                <w:ilvl w:val="0"/>
                <w:numId w:val="7"/>
              </w:numPr>
              <w:spacing w:line="240" w:lineRule="auto"/>
              <w:jc w:val="both"/>
              <w:rPr>
                <w:rFonts w:ascii="Times New Roman" w:hAnsi="Times New Roman" w:cs="Times New Roman"/>
                <w:i/>
                <w:noProof/>
                <w:sz w:val="24"/>
                <w:szCs w:val="24"/>
              </w:rPr>
            </w:pPr>
            <w:r>
              <w:rPr>
                <w:rFonts w:ascii="Times New Roman" w:hAnsi="Times New Roman"/>
                <w:noProof/>
                <w:sz w:val="24"/>
              </w:rPr>
              <w:t xml:space="preserve"> </w:t>
            </w:r>
            <w:r>
              <w:rPr>
                <w:rFonts w:ascii="Times New Roman" w:hAnsi="Times New Roman"/>
                <w:i/>
                <w:noProof/>
                <w:sz w:val="24"/>
              </w:rPr>
              <w:t>„numirea unui reprezentant special (la propunerea Înaltului Reprezentant/Vicepreședinte) în temeiul articolului 33 din TUE”</w:t>
            </w:r>
            <w:r>
              <w:rPr>
                <w:rFonts w:ascii="Times New Roman" w:hAnsi="Times New Roman"/>
                <w:noProof/>
                <w:sz w:val="24"/>
              </w:rPr>
              <w:t>.</w:t>
            </w:r>
          </w:p>
          <w:p>
            <w:pPr>
              <w:spacing w:line="240" w:lineRule="auto"/>
              <w:ind w:left="709"/>
              <w:jc w:val="both"/>
              <w:rPr>
                <w:rFonts w:ascii="Times New Roman" w:hAnsi="Times New Roman" w:cs="Times New Roman"/>
                <w:b/>
                <w:noProof/>
                <w:sz w:val="24"/>
                <w:szCs w:val="24"/>
              </w:rPr>
            </w:pPr>
            <w:r>
              <w:rPr>
                <w:rFonts w:ascii="Times New Roman" w:hAnsi="Times New Roman"/>
                <w:noProof/>
                <w:sz w:val="24"/>
              </w:rPr>
              <w:t>Reprezentanții speciali au un mandat în ceea ce privește anumite aspecte de politică externă și de securitate comună. Majoritatea calificată a funcționat bine în practică, ceea ce a condus la adoptarea rapidă de decizii, chiar fără a trebui să se recurgă la votul formal. La fel ca în alte domenii în care deciziile sunt adoptate cu majoritate calificată, numirea unor reprezentanți speciali a fost hotărâtă întotdeauna prin consens.</w:t>
            </w:r>
          </w:p>
        </w:tc>
      </w:tr>
    </w:tbl>
    <w:p>
      <w:pPr>
        <w:spacing w:after="12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TUE stabilește </w:t>
      </w:r>
      <w:r>
        <w:rPr>
          <w:rFonts w:ascii="Times New Roman" w:hAnsi="Times New Roman"/>
          <w:b/>
          <w:noProof/>
          <w:sz w:val="24"/>
        </w:rPr>
        <w:t>două garanții importante</w:t>
      </w:r>
      <w:r>
        <w:rPr>
          <w:rFonts w:ascii="Times New Roman" w:hAnsi="Times New Roman"/>
          <w:noProof/>
          <w:sz w:val="24"/>
        </w:rPr>
        <w:t xml:space="preserve"> care definesc utilizarea votului cu majoritate calificată în chestiuni privind politica externă și de securitate comună.</w:t>
      </w:r>
    </w:p>
    <w:tbl>
      <w:tblPr>
        <w:tblStyle w:val="TableGrid"/>
        <w:tblW w:w="0" w:type="auto"/>
        <w:tblLook w:val="04A0" w:firstRow="1" w:lastRow="0" w:firstColumn="1" w:lastColumn="0" w:noHBand="0" w:noVBand="1"/>
      </w:tblPr>
      <w:tblGrid>
        <w:gridCol w:w="9242"/>
      </w:tblGrid>
      <w:tr>
        <w:tc>
          <w:tcPr>
            <w:tcW w:w="9242" w:type="dxa"/>
          </w:tcPr>
          <w:p>
            <w:pPr>
              <w:spacing w:after="120" w:line="240" w:lineRule="auto"/>
              <w:jc w:val="both"/>
              <w:rPr>
                <w:rFonts w:ascii="Times New Roman" w:hAnsi="Times New Roman" w:cs="Times New Roman"/>
                <w:noProof/>
                <w:sz w:val="24"/>
                <w:szCs w:val="24"/>
              </w:rPr>
            </w:pPr>
            <w:r>
              <w:rPr>
                <w:rFonts w:ascii="Times New Roman" w:hAnsi="Times New Roman"/>
                <w:b/>
                <w:noProof/>
                <w:sz w:val="24"/>
              </w:rPr>
              <w:t>Garanții în vederea utilizării votului cu majoritate calificată în politica externă și de securitate comună</w:t>
            </w:r>
          </w:p>
          <w:p>
            <w:pPr>
              <w:pStyle w:val="ListParagraph"/>
              <w:numPr>
                <w:ilvl w:val="0"/>
                <w:numId w:val="7"/>
              </w:numPr>
              <w:spacing w:after="120" w:line="240" w:lineRule="auto"/>
              <w:jc w:val="both"/>
              <w:rPr>
                <w:rFonts w:ascii="Times New Roman" w:hAnsi="Times New Roman" w:cs="Times New Roman"/>
                <w:b/>
                <w:noProof/>
                <w:sz w:val="24"/>
                <w:szCs w:val="24"/>
              </w:rPr>
            </w:pPr>
            <w:r>
              <w:rPr>
                <w:rFonts w:ascii="Times New Roman" w:hAnsi="Times New Roman"/>
                <w:noProof/>
                <w:sz w:val="24"/>
              </w:rPr>
              <w:t xml:space="preserve">Articolul 31 alineatul (2) din TUE prevede o </w:t>
            </w:r>
            <w:r>
              <w:rPr>
                <w:rFonts w:ascii="Times New Roman" w:hAnsi="Times New Roman"/>
                <w:b/>
                <w:noProof/>
                <w:sz w:val="24"/>
              </w:rPr>
              <w:t>„pauză de urgență”</w:t>
            </w:r>
            <w:r>
              <w:rPr>
                <w:rFonts w:ascii="Times New Roman" w:hAnsi="Times New Roman"/>
                <w:noProof/>
                <w:sz w:val="24"/>
              </w:rPr>
              <w:t xml:space="preserve">, care permite unui stat membru </w:t>
            </w:r>
            <w:r>
              <w:rPr>
                <w:rFonts w:ascii="Times New Roman" w:hAnsi="Times New Roman"/>
                <w:b/>
                <w:noProof/>
                <w:sz w:val="24"/>
              </w:rPr>
              <w:t>să se opună adoptării unei decizii cu majoritate calificată „din rațiuni vitale de politică națională</w:t>
            </w:r>
            <w:r>
              <w:rPr>
                <w:rFonts w:ascii="Times New Roman" w:hAnsi="Times New Roman"/>
                <w:noProof/>
                <w:sz w:val="24"/>
              </w:rPr>
              <w:t xml:space="preserve">”, caz în care votul nu va avea loc. În cazul în care consultările dintre Înaltul Reprezentant și statul membru în cauză sunt fără succes, Consiliul UE poate, prin majoritate calificată, să solicite trimiterea chestiunii în fața Consiliului European în vederea adoptării </w:t>
            </w:r>
            <w:r>
              <w:rPr>
                <w:rFonts w:ascii="Times New Roman" w:hAnsi="Times New Roman"/>
                <w:b/>
                <w:noProof/>
                <w:sz w:val="24"/>
              </w:rPr>
              <w:t>în unanimitate</w:t>
            </w:r>
            <w:r>
              <w:rPr>
                <w:rFonts w:ascii="Times New Roman" w:hAnsi="Times New Roman"/>
                <w:noProof/>
                <w:sz w:val="24"/>
              </w:rPr>
              <w:t xml:space="preserve"> a unei decizii.</w:t>
            </w:r>
          </w:p>
          <w:p>
            <w:pPr>
              <w:pStyle w:val="ListParagraph"/>
              <w:numPr>
                <w:ilvl w:val="0"/>
                <w:numId w:val="7"/>
              </w:numPr>
              <w:spacing w:after="120" w:line="240" w:lineRule="auto"/>
              <w:jc w:val="both"/>
              <w:rPr>
                <w:rFonts w:ascii="Times New Roman" w:hAnsi="Times New Roman" w:cs="Times New Roman"/>
                <w:b/>
                <w:noProof/>
                <w:sz w:val="24"/>
                <w:szCs w:val="24"/>
              </w:rPr>
            </w:pPr>
            <w:r>
              <w:rPr>
                <w:rFonts w:ascii="Times New Roman" w:hAnsi="Times New Roman"/>
                <w:noProof/>
                <w:sz w:val="24"/>
              </w:rPr>
              <w:t xml:space="preserve">Articolul 31 alineatul (4) din TUE </w:t>
            </w:r>
            <w:r>
              <w:rPr>
                <w:rFonts w:ascii="Times New Roman" w:hAnsi="Times New Roman"/>
                <w:b/>
                <w:noProof/>
                <w:sz w:val="24"/>
              </w:rPr>
              <w:t>exclude deciziile cu implicații militare sau în domeniul apărării</w:t>
            </w:r>
            <w:r>
              <w:rPr>
                <w:rFonts w:ascii="Times New Roman" w:hAnsi="Times New Roman"/>
                <w:noProof/>
                <w:sz w:val="24"/>
              </w:rPr>
              <w:t xml:space="preserve"> din domeniul de aplicare alarticolului 31 alineatul (2) TUE, </w:t>
            </w:r>
            <w:r>
              <w:rPr>
                <w:rFonts w:ascii="Times New Roman" w:hAnsi="Times New Roman"/>
                <w:noProof/>
                <w:sz w:val="24"/>
              </w:rPr>
              <w:lastRenderedPageBreak/>
              <w:t>asigurând astfel că o decizie cu asemenea implicații nu va fi adoptată cu majoritate calificată.</w:t>
            </w:r>
          </w:p>
        </w:tc>
      </w:tr>
    </w:tbl>
    <w:p>
      <w:pPr>
        <w:spacing w:after="120" w:line="240" w:lineRule="auto"/>
        <w:jc w:val="both"/>
        <w:rPr>
          <w:rFonts w:ascii="Times New Roman" w:hAnsi="Times New Roman" w:cs="Times New Roman"/>
          <w:b/>
          <w:noProof/>
          <w:sz w:val="24"/>
          <w:szCs w:val="24"/>
        </w:rPr>
      </w:pPr>
    </w:p>
    <w:p>
      <w:pPr>
        <w:pStyle w:val="ListParagraph"/>
        <w:keepNext/>
        <w:numPr>
          <w:ilvl w:val="1"/>
          <w:numId w:val="1"/>
        </w:numPr>
        <w:spacing w:line="240" w:lineRule="auto"/>
        <w:ind w:left="788" w:hanging="431"/>
        <w:jc w:val="both"/>
        <w:rPr>
          <w:rFonts w:ascii="Times New Roman" w:hAnsi="Times New Roman" w:cs="Times New Roman"/>
          <w:noProof/>
          <w:sz w:val="24"/>
          <w:szCs w:val="24"/>
        </w:rPr>
      </w:pPr>
      <w:r>
        <w:rPr>
          <w:rFonts w:ascii="Times New Roman" w:hAnsi="Times New Roman"/>
          <w:b/>
          <w:noProof/>
          <w:sz w:val="24"/>
        </w:rPr>
        <w:t>... și utilizarea votului cu majoritate calificată în politica externă și de securitate comună ar putea fi extinsă suplimentar</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Tratatul de la Lisabona a introdus </w:t>
      </w:r>
      <w:r>
        <w:rPr>
          <w:rFonts w:ascii="Times New Roman" w:hAnsi="Times New Roman"/>
          <w:b/>
          <w:noProof/>
          <w:sz w:val="24"/>
        </w:rPr>
        <w:t>posibilitatea de extindere în continuare a utilizării votului cu majoritate calificată.</w:t>
      </w:r>
      <w:r>
        <w:rPr>
          <w:rFonts w:ascii="Times New Roman" w:hAnsi="Times New Roman"/>
          <w:noProof/>
          <w:sz w:val="24"/>
        </w:rPr>
        <w:t xml:space="preserve"> Pe baza așa-numitei „</w:t>
      </w:r>
      <w:r>
        <w:rPr>
          <w:rFonts w:ascii="Times New Roman" w:hAnsi="Times New Roman"/>
          <w:b/>
          <w:noProof/>
          <w:sz w:val="24"/>
        </w:rPr>
        <w:t>clauze pasarelă” prevăzute la articolul 31 alineatul (3) din TUE</w:t>
      </w:r>
      <w:r>
        <w:rPr>
          <w:rFonts w:ascii="Times New Roman" w:hAnsi="Times New Roman"/>
          <w:noProof/>
          <w:sz w:val="24"/>
        </w:rPr>
        <w:t>, Consiliul European poate autoriza, în unanimitate, Consiliul să hotărască cu majoritate calificată în alte cazuri de politică externă și de securitate comună decât cele prevăzute la articolul 31 alineatul (2) din TUE.</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Astfel, statele membre au prevăzut în mod clar că, pentru ca Uniunea Europeană să devină un actor cu adevărat eficace și eficient în domeniul afacerilor externe și de securitate, poate fi oportun ca Consiliul să hotărască cu majoritate calificată în afara cazurilor specifice prevăzute la articolul 31 alineatul (2) din TUE.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Ambele garanții descrise în secțiunea 4.2 vor continua să se aplice după ce a fost utilizată „clauza pasarelă” prevăzută la articolul 31 alineatul (3) din TUE. </w:t>
      </w:r>
    </w:p>
    <w:p>
      <w:pPr>
        <w:pStyle w:val="ListParagraph"/>
        <w:numPr>
          <w:ilvl w:val="0"/>
          <w:numId w:val="1"/>
        </w:numPr>
        <w:spacing w:line="240" w:lineRule="auto"/>
        <w:jc w:val="both"/>
        <w:rPr>
          <w:rFonts w:ascii="Times New Roman" w:hAnsi="Times New Roman" w:cs="Times New Roman"/>
          <w:noProof/>
          <w:sz w:val="24"/>
          <w:szCs w:val="24"/>
        </w:rPr>
      </w:pPr>
      <w:r>
        <w:rPr>
          <w:rFonts w:ascii="Times New Roman" w:hAnsi="Times New Roman"/>
          <w:b/>
          <w:noProof/>
          <w:sz w:val="24"/>
        </w:rPr>
        <w:t xml:space="preserve">Propuneri concrete de îmbunătățire a procesului decizional în materie de politică externă și de securitate comună prin votul cu majoritate calificată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Prin urmare, Comisia invită statele membre să valorifice potențialul oferit de TUE în ceea ce privește votul cu majoritate calificată în chestiuni de politică externă și de securitate comună. Aceasta nu propune Consiliului să hotărască cu majoritate calificată în toate domeniile politicii externe și de securitate comune. În schimb, accentul ar trebui plasat pe domeniile în care </w:t>
      </w:r>
      <w:r>
        <w:rPr>
          <w:rFonts w:ascii="Times New Roman" w:hAnsi="Times New Roman"/>
          <w:b/>
          <w:noProof/>
          <w:sz w:val="24"/>
        </w:rPr>
        <w:t>votul cu majoritate calificată ar aduce în mod clar un aport pozitiv.</w:t>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Normele din tratat privind </w:t>
      </w:r>
      <w:r>
        <w:rPr>
          <w:rFonts w:ascii="Times New Roman" w:hAnsi="Times New Roman"/>
          <w:b/>
          <w:noProof/>
          <w:sz w:val="24"/>
        </w:rPr>
        <w:t>„abținerea constructivă”</w:t>
      </w:r>
      <w:r>
        <w:rPr>
          <w:rFonts w:ascii="Times New Roman" w:hAnsi="Times New Roman"/>
          <w:noProof/>
          <w:sz w:val="24"/>
        </w:rPr>
        <w:t xml:space="preserve"> prevăzută la articolul 31 alineatul (1) din TUE și privind utilizarea votului cu majoritate calificată în temeiul articolul 31 alineatul (2) din TUE au un mare potențial. Dacă ar fi fost utilizate, aceste instrumente ar fi permis abordarea unora dintre situațiile descrise în secțiunea 3. Prin urmare, Comisia încurajează statele membre în cadrul Consiliului </w:t>
      </w:r>
      <w:r>
        <w:rPr>
          <w:rFonts w:ascii="Times New Roman" w:hAnsi="Times New Roman"/>
          <w:b/>
          <w:noProof/>
          <w:sz w:val="24"/>
        </w:rPr>
        <w:t xml:space="preserve">să valorifice acest potențial în întregime prin aplicarea tratatelor atât în literă, cât și în spirit. </w:t>
      </w:r>
    </w:p>
    <w:p>
      <w:pPr>
        <w:spacing w:line="240" w:lineRule="auto"/>
        <w:jc w:val="both"/>
        <w:rPr>
          <w:rFonts w:ascii="Times New Roman" w:hAnsi="Times New Roman" w:cs="Times New Roman"/>
          <w:noProof/>
          <w:sz w:val="24"/>
          <w:szCs w:val="24"/>
        </w:rPr>
      </w:pPr>
      <w:r>
        <w:rPr>
          <w:rFonts w:ascii="Times New Roman" w:hAnsi="Times New Roman"/>
          <w:noProof/>
          <w:sz w:val="24"/>
        </w:rPr>
        <w:t>În acest context, concluziile Consiliului sunt un instrument util pentru a ajunge la un acord politic asupra pozițiilor UE în ceea ce privește chestiuni specifice de politică externă. Cu toate acestea, Consiliul ar trebui să se abțină de la adoptarea pozițiilor de comun acord</w:t>
      </w:r>
      <w:r>
        <w:rPr>
          <w:rStyle w:val="FootnoteReference"/>
          <w:rFonts w:ascii="Times New Roman" w:hAnsi="Times New Roman"/>
          <w:noProof/>
          <w:sz w:val="24"/>
        </w:rPr>
        <w:footnoteReference w:id="17"/>
      </w:r>
      <w:r>
        <w:rPr>
          <w:rFonts w:ascii="Times New Roman" w:hAnsi="Times New Roman"/>
          <w:noProof/>
          <w:sz w:val="24"/>
        </w:rPr>
        <w:t xml:space="preserve"> în ceea ce privește politica externă și de securitate comună și alte aspecte conexe, prin proceduri paralele sau informale, atunci când ar putea fi posibil să se utilizeze instrumentele prevăzute în tratat. Aceasta ar permite să se exploateze potențialul articolului 31 alineatul (1), al articolului 31 alineatul (2) și al articolului 31 alineatul (3) din TUE.</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În plus, în cazul în care o chestiune nu se referă la politica externă și de securitate comună, ci la aspectele externe ale unei politici care intră sub incidența Tratatului privind funcționarea Uniunii Europene, temeiurile juridice corespunzătoare ar trebui să fie utilizate pentru luarea deciziilor, prin urmare neaplicându-se regula unanimității. Potențialul rețelei la scară largă de </w:t>
      </w:r>
      <w:r>
        <w:rPr>
          <w:rFonts w:ascii="Times New Roman" w:hAnsi="Times New Roman"/>
          <w:noProof/>
          <w:sz w:val="24"/>
        </w:rPr>
        <w:lastRenderedPageBreak/>
        <w:t>delegații UE în întreaga lume, precum și la nivel de organizații internaționale ar trebui să fie utilizat pe deplin</w:t>
      </w:r>
      <w:r>
        <w:rPr>
          <w:rStyle w:val="FootnoteReference"/>
          <w:rFonts w:ascii="Times New Roman" w:hAnsi="Times New Roman"/>
          <w:noProof/>
          <w:sz w:val="24"/>
        </w:rPr>
        <w:footnoteReference w:id="18"/>
      </w:r>
      <w:r>
        <w:rPr>
          <w:rFonts w:ascii="Times New Roman" w:hAnsi="Times New Roman"/>
          <w:noProof/>
          <w:sz w:val="24"/>
        </w:rPr>
        <w:t xml:space="preserve">. </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noProof/>
          <w:sz w:val="24"/>
          <w:szCs w:val="24"/>
        </w:rPr>
      </w:pPr>
      <w:r>
        <w:rPr>
          <w:rFonts w:ascii="Times New Roman" w:hAnsi="Times New Roman"/>
          <w:b/>
          <w:noProof/>
          <w:sz w:val="24"/>
        </w:rPr>
        <w:t xml:space="preserve">Exploatarea potențialului dispozițiilor existente privind votul cu majoritate calificată în temeiul articolului 31 alineatul (2) din TUE </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Consiliul a făcut deja uz de votul cu majoritate calificată atunci când a modificat listele în temeiul măsurilor restrictive ale UE (persoane și entități care fac obiectul înghețării activelor și al interdicției de călătorie), în esență în cazuri care reflectau modificări aduse sancțiunilor internaționale adoptate de Organizația Națiunilor Unite și, ocazional, pentru modificarea listelor instituite în temeiul regimului autonom UE de sancțiuni în cazul în care modificarea în sine nu a fost considerată ca fiind sensibilă de către Consiliul UE</w:t>
      </w:r>
      <w:r>
        <w:rPr>
          <w:rStyle w:val="FootnoteReference"/>
          <w:rFonts w:ascii="Times New Roman" w:hAnsi="Times New Roman"/>
          <w:noProof/>
          <w:sz w:val="24"/>
        </w:rPr>
        <w:footnoteReference w:id="19"/>
      </w:r>
      <w:r>
        <w:rPr>
          <w:rFonts w:ascii="Times New Roman" w:hAnsi="Times New Roman"/>
          <w:noProof/>
          <w:sz w:val="24"/>
        </w:rPr>
        <w:t xml:space="preserve">. Comisia sugerează Consiliului </w:t>
      </w:r>
      <w:r>
        <w:rPr>
          <w:rFonts w:ascii="Times New Roman" w:hAnsi="Times New Roman"/>
          <w:b/>
          <w:noProof/>
          <w:sz w:val="24"/>
        </w:rPr>
        <w:t>să utilizeze în mod constant votul cu majoritate calificată în vederea modificării listelor tuturor regimurilor de sancțiuni ale UE</w:t>
      </w:r>
      <w:r>
        <w:rPr>
          <w:rFonts w:ascii="Times New Roman" w:hAnsi="Times New Roman"/>
          <w:noProof/>
          <w:sz w:val="24"/>
        </w:rPr>
        <w:t xml:space="preserve"> — inclusiv măsuri autonome — în conformitate cu procedurile prevăzute la articolul 31 alineatul (2) din TUE (a treia liniuță). </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sz w:val="24"/>
          <w:szCs w:val="24"/>
        </w:rPr>
      </w:pPr>
      <w:r>
        <w:rPr>
          <w:rFonts w:ascii="Times New Roman" w:hAnsi="Times New Roman"/>
          <w:noProof/>
          <w:sz w:val="24"/>
        </w:rPr>
        <w:t>Consiliul European are prerogativa de a identifica interesele și obiectivele strategice ale politicii externe și de securitate comune a UE, inclusiv din punct de vedere tematic și în ceea ce privește relațiile cu o anumită țară sau regiune</w:t>
      </w:r>
      <w:r>
        <w:rPr>
          <w:rStyle w:val="FootnoteReference"/>
          <w:rFonts w:ascii="Times New Roman" w:hAnsi="Times New Roman"/>
          <w:noProof/>
          <w:sz w:val="24"/>
        </w:rPr>
        <w:footnoteReference w:id="20"/>
      </w:r>
      <w:r>
        <w:rPr>
          <w:rFonts w:ascii="Times New Roman" w:hAnsi="Times New Roman"/>
          <w:noProof/>
          <w:sz w:val="24"/>
        </w:rPr>
        <w:t xml:space="preserve">. Comisia sugerează Consiliului European să adopte decizii prin care se stabilesc strategii, priorități sau orientări tematice sau geografice, care stabilesc domeniul de aplicare și condițiile în care Consiliul poate acționa prin vot cu majoritate calificată pentru a le pune în aplicare, în conformitate cu articolul 31 alineatul (2) din TUE (prima liniuță).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Deși exploatarea potențialului dispozițiilor existente privind majoritatea calificată în temeiul articolului 31 alineatul (2) din TUE ar reprezenta o îmbunătățire semnificativă, aceasta nu ar ține seama de multe dintre deficiențele identificate. În vederea abordării acestora, Comisia propune, de asemenea, explorarea unor soluții mai structurale, </w:t>
      </w:r>
      <w:r>
        <w:rPr>
          <w:rFonts w:ascii="Times New Roman" w:hAnsi="Times New Roman"/>
          <w:b/>
          <w:noProof/>
          <w:sz w:val="24"/>
        </w:rPr>
        <w:t>consolidarea procesului decizional în materie de politică externă și de securitate comună în temeiul articolului 31 alineatul (3) din TUE prin utilizarea „clauzei pasarelă”.</w:t>
      </w:r>
      <w:r>
        <w:rPr>
          <w:rFonts w:ascii="Times New Roman" w:hAnsi="Times New Roman"/>
          <w:noProof/>
          <w:sz w:val="24"/>
        </w:rPr>
        <w:t xml:space="preserve"> </w:t>
      </w:r>
    </w:p>
    <w:p>
      <w:pPr>
        <w:spacing w:line="240" w:lineRule="auto"/>
        <w:jc w:val="both"/>
        <w:rPr>
          <w:rFonts w:ascii="Times New Roman" w:hAnsi="Times New Roman" w:cs="Times New Roman"/>
          <w:b/>
          <w:noProof/>
          <w:sz w:val="24"/>
          <w:szCs w:val="24"/>
        </w:rPr>
      </w:pPr>
      <w:r>
        <w:rPr>
          <w:rFonts w:ascii="Times New Roman" w:hAnsi="Times New Roman"/>
          <w:noProof/>
          <w:sz w:val="24"/>
        </w:rPr>
        <w:t xml:space="preserve">Comisia </w:t>
      </w:r>
      <w:r>
        <w:rPr>
          <w:rFonts w:ascii="Times New Roman" w:hAnsi="Times New Roman"/>
          <w:b/>
          <w:noProof/>
          <w:sz w:val="24"/>
        </w:rPr>
        <w:t>a identificat trei</w:t>
      </w:r>
      <w:r>
        <w:rPr>
          <w:rFonts w:ascii="Times New Roman" w:hAnsi="Times New Roman"/>
          <w:noProof/>
          <w:sz w:val="24"/>
        </w:rPr>
        <w:t xml:space="preserve"> domenii specifice care ar beneficia imediat de aplicarea „clauzei pasarelă” prevăzute la articolul 31 alineatul (3) din TUE.</w:t>
      </w:r>
    </w:p>
    <w:p>
      <w:pPr>
        <w:pStyle w:val="ListParagraph"/>
        <w:numPr>
          <w:ilvl w:val="1"/>
          <w:numId w:val="1"/>
        </w:numPr>
        <w:spacing w:line="240" w:lineRule="auto"/>
        <w:jc w:val="both"/>
        <w:rPr>
          <w:rFonts w:ascii="Times New Roman" w:hAnsi="Times New Roman" w:cs="Times New Roman"/>
          <w:b/>
          <w:noProof/>
          <w:sz w:val="24"/>
          <w:szCs w:val="24"/>
        </w:rPr>
      </w:pPr>
      <w:r>
        <w:rPr>
          <w:rFonts w:ascii="Times New Roman" w:hAnsi="Times New Roman"/>
          <w:b/>
          <w:noProof/>
          <w:sz w:val="24"/>
        </w:rPr>
        <w:t>Pozițiile UE privind drepturile omului în forurile multilaterale</w:t>
      </w:r>
    </w:p>
    <w:p>
      <w:pPr>
        <w:spacing w:line="240" w:lineRule="auto"/>
        <w:jc w:val="both"/>
        <w:rPr>
          <w:rFonts w:ascii="Times New Roman" w:hAnsi="Times New Roman" w:cs="Times New Roman"/>
          <w:noProof/>
          <w:sz w:val="24"/>
          <w:szCs w:val="24"/>
        </w:rPr>
      </w:pPr>
      <w:r>
        <w:rPr>
          <w:rFonts w:ascii="Times New Roman" w:hAnsi="Times New Roman"/>
          <w:noProof/>
          <w:sz w:val="24"/>
        </w:rPr>
        <w:t>Universalitatea și indivizibilitatea drepturilor omului este unul dintre principiile fundamentale care au inspirat crearea, dezvoltarea și extinderea Uniunii Europene și care îi ghidează acțiunile externe</w:t>
      </w:r>
      <w:r>
        <w:rPr>
          <w:rStyle w:val="FootnoteReference"/>
          <w:rFonts w:ascii="Times New Roman" w:hAnsi="Times New Roman"/>
          <w:noProof/>
          <w:sz w:val="24"/>
        </w:rPr>
        <w:footnoteReference w:id="21"/>
      </w:r>
      <w:r>
        <w:rPr>
          <w:rFonts w:ascii="Times New Roman" w:hAnsi="Times New Roman"/>
          <w:noProof/>
          <w:sz w:val="24"/>
        </w:rPr>
        <w:t xml:space="preserve">. Unitatea politică în ceea ce privește drepturile omului este esențială pentru menținerea credibilității internaționale și a puterii discrete a UE, atât în cadrul, cât și în afara forurilor multilaterale.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Atunci când pozițiile UE privind drepturile omului care urmează să fie adoptate în cadrul forurilor internaționale sunt dezbătute în contextul politicii externe și de securitate comune, în prezent acestea sunt convenite de comun acord, în mod normal sub forma unor concluzii ale </w:t>
      </w:r>
      <w:r>
        <w:rPr>
          <w:rFonts w:ascii="Times New Roman" w:hAnsi="Times New Roman"/>
          <w:noProof/>
          <w:sz w:val="24"/>
        </w:rPr>
        <w:lastRenderedPageBreak/>
        <w:t xml:space="preserve">Consiliului. Trecerea la votul cu majoritate calificată va permite </w:t>
      </w:r>
      <w:r>
        <w:rPr>
          <w:rFonts w:ascii="Times New Roman" w:hAnsi="Times New Roman"/>
          <w:b/>
          <w:noProof/>
          <w:sz w:val="24"/>
        </w:rPr>
        <w:t>acțiuni mai eficiente și mai prompte din partea UE.</w:t>
      </w:r>
      <w:r>
        <w:rPr>
          <w:rFonts w:ascii="Times New Roman" w:hAnsi="Times New Roman"/>
          <w:noProof/>
          <w:sz w:val="24"/>
        </w:rPr>
        <w:t xml:space="preserve"> Situații precum cea din iunie 2017, când Uniunea nu a fost în măsură să formuleze o declarație cu privire la punctul 4 (situații privind drepturile omului care necesită atenția Consiliului) în cadrul Consiliului pentru Drepturile Omului </w:t>
      </w:r>
      <w:r>
        <w:rPr>
          <w:rFonts w:ascii="Times New Roman" w:hAnsi="Times New Roman"/>
          <w:b/>
          <w:noProof/>
          <w:sz w:val="24"/>
        </w:rPr>
        <w:t>nu ar mai fi posibile.</w:t>
      </w:r>
      <w:r>
        <w:rPr>
          <w:rFonts w:ascii="Times New Roman" w:hAnsi="Times New Roman"/>
          <w:noProof/>
          <w:sz w:val="24"/>
        </w:rPr>
        <w:t xml:space="preserve"> </w:t>
      </w:r>
    </w:p>
    <w:p>
      <w:pPr>
        <w:pBdr>
          <w:top w:val="single" w:sz="4" w:space="1" w:color="000000"/>
          <w:left w:val="single" w:sz="4" w:space="4" w:color="000000"/>
          <w:bottom w:val="single" w:sz="4" w:space="1" w:color="000000"/>
          <w:right w:val="single" w:sz="4" w:space="4" w:color="000000"/>
        </w:pBdr>
        <w:spacing w:line="240" w:lineRule="auto"/>
        <w:jc w:val="both"/>
        <w:rPr>
          <w:rFonts w:ascii="Times New Roman" w:hAnsi="Times New Roman" w:cs="Times New Roman"/>
          <w:noProof/>
          <w:sz w:val="24"/>
          <w:szCs w:val="24"/>
          <w:u w:val="single"/>
        </w:rPr>
      </w:pPr>
      <w:r>
        <w:rPr>
          <w:rFonts w:ascii="Times New Roman" w:hAnsi="Times New Roman"/>
          <w:noProof/>
          <w:sz w:val="24"/>
        </w:rPr>
        <w:t xml:space="preserve">Prin urmare, Comisia propune </w:t>
      </w:r>
      <w:r>
        <w:rPr>
          <w:rFonts w:ascii="Times New Roman" w:hAnsi="Times New Roman"/>
          <w:b/>
          <w:noProof/>
          <w:sz w:val="24"/>
        </w:rPr>
        <w:t>Consiliului European să adopte în unanimitate o decizie întemeiată pe articolul 31 alineatul (3) din TUE care prevede că pozițiile UE privind drepturile omului în cadrul forurilor internaționale sunt adoptate prin majoritate calificată, sub formă de decizii ale Consiliului.</w:t>
      </w:r>
      <w:r>
        <w:rPr>
          <w:rFonts w:ascii="Times New Roman" w:hAnsi="Times New Roman"/>
          <w:noProof/>
          <w:sz w:val="24"/>
        </w:rPr>
        <w:t xml:space="preserve"> </w:t>
      </w:r>
    </w:p>
    <w:p>
      <w:pPr>
        <w:pStyle w:val="ListParagraph"/>
        <w:numPr>
          <w:ilvl w:val="1"/>
          <w:numId w:val="1"/>
        </w:numPr>
        <w:spacing w:line="240" w:lineRule="auto"/>
        <w:jc w:val="both"/>
        <w:rPr>
          <w:rFonts w:ascii="Times New Roman" w:hAnsi="Times New Roman" w:cs="Times New Roman"/>
          <w:b/>
          <w:noProof/>
          <w:sz w:val="24"/>
          <w:szCs w:val="24"/>
        </w:rPr>
      </w:pPr>
      <w:r>
        <w:rPr>
          <w:rFonts w:ascii="Times New Roman" w:hAnsi="Times New Roman"/>
          <w:b/>
          <w:noProof/>
          <w:sz w:val="24"/>
        </w:rPr>
        <w:t>Adoptarea și modificarea regimurilor de sancțiuni ale UE</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Politica în materie de sancțiuni este unul dintre cele mai puternice instrumente de politică externă și de securitate ale UE, întrucât aceasta folosește puterea economică semnificativă a Uniunii pentru a promova obiectivele sale externe. Unitatea de acțiune este esențială pentru a menține condiții de concurență echitabile în ceea ce privește funcționarea pieței interne, precum și eficiența normelor comune în cadrul Acordului Schengen.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În ultimii ani, recurgerea la măsuri restrictive de către UE a crescut în frecvență și intensitate, demonstrând disponibilitatea UE de a reacționa, a descuraja și a influența evoluțiile prin intermediul presiunii politice și economice. La fel ca în cazul politicii comerciale în care se aplică votul cu majoritate calificată, definirea unui nivel de ambiție politică și identificarea unui echilibru adecvat între interesele economice ale statelor membre se află în centrul oricăror negocieri cu privire la sancțiuni. Capacitatea UE de a acționa cu hotărâre în interesul său geopolitic, de cele mai multe ori ca parte a unei mobilizări internaționale împotriva încălcărilor grave ale dreptului internațional, este în interesul comun al tuturor statelor membre. </w:t>
      </w:r>
    </w:p>
    <w:p>
      <w:pPr>
        <w:pBdr>
          <w:top w:val="single" w:sz="4" w:space="1" w:color="000000"/>
          <w:left w:val="single" w:sz="4" w:space="4" w:color="000000"/>
          <w:bottom w:val="single" w:sz="4" w:space="1" w:color="000000"/>
          <w:right w:val="single" w:sz="4" w:space="4" w:color="000000"/>
        </w:pBdr>
        <w:spacing w:line="240" w:lineRule="auto"/>
        <w:jc w:val="both"/>
        <w:rPr>
          <w:rFonts w:ascii="Times New Roman" w:hAnsi="Times New Roman" w:cs="Times New Roman"/>
          <w:noProof/>
          <w:sz w:val="24"/>
          <w:szCs w:val="24"/>
        </w:rPr>
      </w:pPr>
      <w:r>
        <w:rPr>
          <w:rFonts w:ascii="Times New Roman" w:hAnsi="Times New Roman"/>
          <w:noProof/>
          <w:sz w:val="24"/>
        </w:rPr>
        <w:t xml:space="preserve">Prin urmare, Comisia propune </w:t>
      </w:r>
      <w:r>
        <w:rPr>
          <w:rFonts w:ascii="Times New Roman" w:hAnsi="Times New Roman"/>
          <w:b/>
          <w:noProof/>
          <w:sz w:val="24"/>
        </w:rPr>
        <w:t>Consiliului European să adopte în unanimitate o decizie întemeiată pe articolul 31 alineatul (3) din TUE care să prevadă că deciziile de stabilire a unui regim de sancțiuni sunt adoptate de către Consiliu prin vot cu majoritate calificată</w:t>
      </w:r>
      <w:r>
        <w:rPr>
          <w:rStyle w:val="FootnoteReference"/>
          <w:rFonts w:ascii="Times New Roman" w:hAnsi="Times New Roman"/>
          <w:noProof/>
          <w:sz w:val="24"/>
        </w:rPr>
        <w:footnoteReference w:id="22"/>
      </w:r>
      <w:r>
        <w:rPr>
          <w:rFonts w:ascii="Times New Roman" w:hAnsi="Times New Roman"/>
          <w:noProof/>
          <w:sz w:val="24"/>
        </w:rPr>
        <w:t xml:space="preserve">. </w:t>
      </w:r>
    </w:p>
    <w:p>
      <w:pPr>
        <w:pStyle w:val="ListParagraph"/>
        <w:numPr>
          <w:ilvl w:val="1"/>
          <w:numId w:val="1"/>
        </w:numPr>
        <w:spacing w:line="240" w:lineRule="auto"/>
        <w:jc w:val="both"/>
        <w:rPr>
          <w:rFonts w:ascii="Times New Roman" w:hAnsi="Times New Roman" w:cs="Times New Roman"/>
          <w:b/>
          <w:noProof/>
          <w:sz w:val="24"/>
          <w:szCs w:val="24"/>
        </w:rPr>
      </w:pPr>
      <w:r>
        <w:rPr>
          <w:rFonts w:ascii="Times New Roman" w:hAnsi="Times New Roman"/>
          <w:b/>
          <w:noProof/>
          <w:sz w:val="24"/>
        </w:rPr>
        <w:t>Misiunile civile din domeniul politicii de securitate și apărare comune</w:t>
      </w:r>
    </w:p>
    <w:p>
      <w:pPr>
        <w:spacing w:line="240" w:lineRule="auto"/>
        <w:jc w:val="both"/>
        <w:rPr>
          <w:rFonts w:ascii="Times New Roman" w:hAnsi="Times New Roman" w:cs="Times New Roman"/>
          <w:noProof/>
          <w:color w:val="000000"/>
          <w:sz w:val="24"/>
          <w:szCs w:val="24"/>
        </w:rPr>
      </w:pPr>
      <w:r>
        <w:rPr>
          <w:rFonts w:ascii="Times New Roman" w:hAnsi="Times New Roman"/>
          <w:noProof/>
          <w:color w:val="000000"/>
          <w:sz w:val="24"/>
        </w:rPr>
        <w:t>Misiunile civile din domeniul politicii de securitate și apărare comune joacă un rol important în cadrul angajamentului global al UE pentru pace și securitate. În prezent, atunci când lansează misiuni civile și decide cu privire la punerea lor în aplicare, Consiliul acționează prin unanimitate de voturi</w:t>
      </w:r>
      <w:r>
        <w:rPr>
          <w:rStyle w:val="FootnoteReference"/>
          <w:rFonts w:ascii="Times New Roman" w:hAnsi="Times New Roman"/>
          <w:noProof/>
          <w:color w:val="000000"/>
          <w:sz w:val="24"/>
        </w:rPr>
        <w:footnoteReference w:id="23"/>
      </w:r>
      <w:r>
        <w:rPr>
          <w:rFonts w:ascii="Times New Roman" w:hAnsi="Times New Roman"/>
          <w:noProof/>
          <w:color w:val="000000"/>
          <w:sz w:val="24"/>
        </w:rPr>
        <w:t xml:space="preserve">. </w:t>
      </w:r>
    </w:p>
    <w:p>
      <w:pPr>
        <w:spacing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Într-un mediu internațional dinamic, UE trebuie să fie în măsură să își utilizeze rapid setul de instrumente pentru a reacționa și a se angaja în situații de criză sau de post-criză într-un mod prompt și vizibil, sprijinind direct autoritățile naționale și/sau comunitățile locale. Având în vedere că UE urmărește să exporte stabilitate în vecinătatea sa, este probabil ca numărul de misiuni civile să crească. Având în vedere mediile fluide în care se desfășoară de regulă astfel de misiuni odată stabilite, acestea necesită o gestionare eficace și dinamică. </w:t>
      </w:r>
    </w:p>
    <w:p>
      <w:pPr>
        <w:pBdr>
          <w:top w:val="single" w:sz="4" w:space="1" w:color="000000"/>
          <w:left w:val="single" w:sz="4" w:space="4" w:color="000000"/>
          <w:bottom w:val="single" w:sz="4" w:space="1" w:color="000000"/>
          <w:right w:val="single" w:sz="4" w:space="4" w:color="000000"/>
        </w:pBdr>
        <w:spacing w:line="240" w:lineRule="auto"/>
        <w:jc w:val="both"/>
        <w:rPr>
          <w:rFonts w:ascii="Times New Roman" w:hAnsi="Times New Roman" w:cs="Times New Roman"/>
          <w:noProof/>
          <w:color w:val="000000"/>
          <w:sz w:val="24"/>
          <w:szCs w:val="24"/>
        </w:rPr>
      </w:pPr>
      <w:r>
        <w:rPr>
          <w:rFonts w:ascii="Times New Roman" w:hAnsi="Times New Roman"/>
          <w:noProof/>
          <w:color w:val="000000"/>
          <w:sz w:val="24"/>
        </w:rPr>
        <w:lastRenderedPageBreak/>
        <w:t>Prin urmare, Comisia propune</w:t>
      </w:r>
      <w:r>
        <w:rPr>
          <w:rFonts w:ascii="Times New Roman" w:hAnsi="Times New Roman"/>
          <w:b/>
          <w:noProof/>
          <w:color w:val="000000"/>
          <w:sz w:val="24"/>
        </w:rPr>
        <w:t xml:space="preserve"> Consiliului European să adopte în unanimitate o decizie întemeiată pe articolul 31 alineatul (3) din TUE care să prevadă că toate deciziile privind misiunile civile din domeniul politicii de securitate și apărare comune sunt adoptate de către Consiliu prin vot cu majoritate calificată.</w:t>
      </w:r>
      <w:r>
        <w:rPr>
          <w:rFonts w:ascii="Times New Roman" w:hAnsi="Times New Roman"/>
          <w:noProof/>
          <w:color w:val="000000"/>
          <w:sz w:val="24"/>
        </w:rPr>
        <w:t xml:space="preserve"> </w:t>
      </w:r>
    </w:p>
    <w:p>
      <w:pPr>
        <w:pBdr>
          <w:top w:val="single" w:sz="4" w:space="1" w:color="000000"/>
          <w:left w:val="single" w:sz="4" w:space="4" w:color="000000"/>
          <w:bottom w:val="single" w:sz="4" w:space="1" w:color="000000"/>
          <w:right w:val="single" w:sz="4" w:space="4" w:color="000000"/>
        </w:pBdr>
        <w:spacing w:line="240" w:lineRule="auto"/>
        <w:jc w:val="both"/>
        <w:rPr>
          <w:rFonts w:ascii="Times New Roman" w:hAnsi="Times New Roman" w:cs="Times New Roman"/>
          <w:noProof/>
          <w:color w:val="000000"/>
          <w:sz w:val="24"/>
          <w:szCs w:val="24"/>
        </w:rPr>
      </w:pPr>
      <w:r>
        <w:rPr>
          <w:rFonts w:ascii="Times New Roman" w:hAnsi="Times New Roman"/>
          <w:noProof/>
          <w:color w:val="000000"/>
          <w:sz w:val="24"/>
        </w:rPr>
        <w:t xml:space="preserve">Pentru început, toate misiunile de consolidare a capacităților statului de drept și de reformă a sectorului de securitate ar trebui să fie luate în considerare în special, întrucât acestea funcționează de regulă în paralel cu alte instrumente ale UE care fac obiectul votului cu majoritate calificată în Consiliu. </w:t>
      </w:r>
    </w:p>
    <w:p>
      <w:pPr>
        <w:pBdr>
          <w:top w:val="single" w:sz="4" w:space="1" w:color="000000"/>
          <w:left w:val="single" w:sz="4" w:space="4" w:color="000000"/>
          <w:bottom w:val="single" w:sz="4" w:space="1" w:color="000000"/>
          <w:right w:val="single" w:sz="4" w:space="4" w:color="000000"/>
        </w:pBdr>
        <w:spacing w:line="240" w:lineRule="auto"/>
        <w:jc w:val="both"/>
        <w:rPr>
          <w:rFonts w:ascii="Times New Roman" w:hAnsi="Times New Roman" w:cs="Times New Roman"/>
          <w:b/>
          <w:noProof/>
          <w:sz w:val="24"/>
          <w:szCs w:val="24"/>
        </w:rPr>
      </w:pPr>
      <w:r>
        <w:rPr>
          <w:rFonts w:ascii="Times New Roman" w:hAnsi="Times New Roman"/>
          <w:noProof/>
          <w:color w:val="000000"/>
          <w:sz w:val="24"/>
        </w:rPr>
        <w:t xml:space="preserve">În orice caz, Consiliul European ar putea </w:t>
      </w:r>
      <w:r>
        <w:rPr>
          <w:rFonts w:ascii="Times New Roman" w:hAnsi="Times New Roman"/>
          <w:b/>
          <w:noProof/>
          <w:color w:val="000000"/>
          <w:sz w:val="24"/>
        </w:rPr>
        <w:t>decide că, odată stabilite prin unanimitate de vot, toate deciziile privind punerea în aplicare a misiunilor civile din domeniul politicii de securitate și apărare comune vor fi luate de către Consiliu prin vot cu majoritate calificată</w:t>
      </w:r>
      <w:r>
        <w:rPr>
          <w:rStyle w:val="FootnoteReference"/>
          <w:rFonts w:ascii="Times New Roman" w:hAnsi="Times New Roman"/>
          <w:noProof/>
          <w:color w:val="000000"/>
          <w:sz w:val="24"/>
        </w:rPr>
        <w:footnoteReference w:id="24"/>
      </w:r>
      <w:r>
        <w:rPr>
          <w:rFonts w:ascii="Times New Roman" w:hAnsi="Times New Roman"/>
          <w:noProof/>
          <w:color w:val="000000"/>
          <w:sz w:val="24"/>
        </w:rPr>
        <w:t>.</w:t>
      </w:r>
    </w:p>
    <w:p>
      <w:pPr>
        <w:pStyle w:val="ListParagraph"/>
        <w:spacing w:line="240" w:lineRule="auto"/>
        <w:ind w:left="360"/>
        <w:jc w:val="both"/>
        <w:rPr>
          <w:rFonts w:ascii="Times New Roman" w:hAnsi="Times New Roman" w:cs="Times New Roman"/>
          <w:b/>
          <w:noProof/>
          <w:sz w:val="24"/>
          <w:szCs w:val="24"/>
        </w:rPr>
      </w:pPr>
    </w:p>
    <w:p>
      <w:pPr>
        <w:pStyle w:val="ListParagraph"/>
        <w:numPr>
          <w:ilvl w:val="0"/>
          <w:numId w:val="1"/>
        </w:numPr>
        <w:spacing w:line="240" w:lineRule="auto"/>
        <w:jc w:val="both"/>
        <w:rPr>
          <w:rFonts w:ascii="Times New Roman" w:hAnsi="Times New Roman" w:cs="Times New Roman"/>
          <w:b/>
          <w:noProof/>
          <w:sz w:val="24"/>
          <w:szCs w:val="24"/>
        </w:rPr>
      </w:pPr>
      <w:r>
        <w:rPr>
          <w:rFonts w:ascii="Times New Roman" w:hAnsi="Times New Roman"/>
          <w:b/>
          <w:noProof/>
          <w:sz w:val="24"/>
        </w:rPr>
        <w:t>Concluzie</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Politica externă și de securitate comună a UE a fost consolidată în mod considerabil de la începuturile sale. Realizările sale, de exemplu în Balcanii de Vest, în a sprijini Ucraina și în ceea ce privește programul nuclear al Iranului, sunt semnificative. Partenerii UE din lume se așteaptă ca aceasta să-și susțină valorile, precum și la o ordine multilaterală bazată pe norme internaționale.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Devine din ce în ce mai limpede că peisajul internațional plin de provocări cu care ne confruntăm necesită o „schimbare de viteză” în ceea ce privește politica externă și de securitate comună. UE trebuie să devină un actor mai puternic pe plan mondial, astfel încât să poată continua să ne modeleze viitorul, să ne susțină suveranitatea partajată și să exercite o influență internațională pozitivă. </w:t>
      </w:r>
    </w:p>
    <w:p>
      <w:pPr>
        <w:spacing w:line="240" w:lineRule="auto"/>
        <w:jc w:val="both"/>
        <w:rPr>
          <w:rFonts w:ascii="Times New Roman" w:hAnsi="Times New Roman" w:cs="Times New Roman"/>
          <w:noProof/>
          <w:sz w:val="24"/>
          <w:szCs w:val="24"/>
        </w:rPr>
      </w:pPr>
      <w:r>
        <w:rPr>
          <w:rFonts w:ascii="Times New Roman" w:hAnsi="Times New Roman"/>
          <w:noProof/>
          <w:sz w:val="24"/>
        </w:rPr>
        <w:t>Eficiența procesului decizional poate fi îmbunătățită în anumite domenii ale politicii externe și de securitate comune. Acest lucru ar sprijini Uniunea Europeană să se bazeze pe propriile puteri.</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Din acest motiv, Comisia pledează pentru valorificarea potențialului Tratatului privind Uniunea Europeană prin utilizarea întregii game de posibilități din cadrul politicii externe și de securitate comune, în special prin utilizarea mai frecventă a votului cu majoritate calificată.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Pentru a contribui la construirea unei Uniuni mai unite, mai puternice și mai democratice în perspectiva anului 2025, Comisia Europeană invită Liderii la reuniunea din 9 mai 2019 de la </w:t>
      </w:r>
      <w:r>
        <w:rPr>
          <w:rFonts w:ascii="Times New Roman" w:hAnsi="Times New Roman"/>
          <w:b/>
          <w:noProof/>
          <w:sz w:val="24"/>
        </w:rPr>
        <w:t>Sibiu să aprobe propunerile incluse în prezenta comunicare.</w:t>
      </w:r>
      <w:r>
        <w:rPr>
          <w:rFonts w:ascii="Times New Roman" w:hAnsi="Times New Roman"/>
          <w:noProof/>
          <w:sz w:val="24"/>
        </w:rPr>
        <w:t xml:space="preserve"> Consiliul ar trebui să hotărască cu majoritate calificată în următoarele trei domenii de politică externă și de securitate comună: </w:t>
      </w:r>
    </w:p>
    <w:p>
      <w:pPr>
        <w:pStyle w:val="ListParagraph"/>
        <w:numPr>
          <w:ilvl w:val="0"/>
          <w:numId w:val="5"/>
        </w:numPr>
        <w:spacing w:line="240" w:lineRule="auto"/>
        <w:jc w:val="both"/>
        <w:rPr>
          <w:rFonts w:ascii="Times New Roman" w:hAnsi="Times New Roman" w:cs="Times New Roman"/>
          <w:noProof/>
          <w:sz w:val="24"/>
          <w:szCs w:val="24"/>
        </w:rPr>
      </w:pPr>
      <w:r>
        <w:rPr>
          <w:rFonts w:ascii="Times New Roman" w:hAnsi="Times New Roman"/>
          <w:noProof/>
          <w:sz w:val="24"/>
        </w:rPr>
        <w:t xml:space="preserve">în ceea ce privește aspectele legate de drepturile omului în cadrul forurilor multilaterale;  </w:t>
      </w:r>
    </w:p>
    <w:p>
      <w:pPr>
        <w:pStyle w:val="ListParagraph"/>
        <w:numPr>
          <w:ilvl w:val="0"/>
          <w:numId w:val="5"/>
        </w:numPr>
        <w:spacing w:line="240" w:lineRule="auto"/>
        <w:jc w:val="both"/>
        <w:rPr>
          <w:rFonts w:ascii="Times New Roman" w:hAnsi="Times New Roman" w:cs="Times New Roman"/>
          <w:noProof/>
          <w:sz w:val="24"/>
          <w:szCs w:val="24"/>
        </w:rPr>
      </w:pPr>
      <w:r>
        <w:rPr>
          <w:rFonts w:ascii="Times New Roman" w:hAnsi="Times New Roman"/>
          <w:noProof/>
          <w:sz w:val="24"/>
        </w:rPr>
        <w:t xml:space="preserve">în ceea ce privește politica de sancțiuni; </w:t>
      </w:r>
    </w:p>
    <w:p>
      <w:pPr>
        <w:pStyle w:val="ListParagraph"/>
        <w:numPr>
          <w:ilvl w:val="0"/>
          <w:numId w:val="5"/>
        </w:numPr>
        <w:spacing w:line="240" w:lineRule="auto"/>
        <w:jc w:val="both"/>
        <w:rPr>
          <w:rFonts w:ascii="Times New Roman" w:hAnsi="Times New Roman" w:cs="Times New Roman"/>
          <w:noProof/>
          <w:sz w:val="24"/>
          <w:szCs w:val="24"/>
        </w:rPr>
      </w:pPr>
      <w:r>
        <w:rPr>
          <w:rFonts w:ascii="Times New Roman" w:hAnsi="Times New Roman"/>
          <w:noProof/>
          <w:sz w:val="24"/>
        </w:rPr>
        <w:lastRenderedPageBreak/>
        <w:t xml:space="preserve">în ceea ce privește misiunile civile din domeniul politicii de securitate și apărare comune. </w:t>
      </w:r>
    </w:p>
    <w:p>
      <w:pPr>
        <w:spacing w:line="240" w:lineRule="auto"/>
        <w:jc w:val="both"/>
        <w:rPr>
          <w:rFonts w:ascii="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ont413">
    <w:altName w:val="MS Gothic"/>
    <w:charset w:val="8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ont221">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29718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line="240" w:lineRule="auto"/>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
        <w:r>
          <w:rPr>
            <w:rStyle w:val="Hyperlink"/>
            <w:rFonts w:ascii="Times New Roman" w:hAnsi="Times New Roman"/>
          </w:rPr>
          <w:t>Declarația de la Roma</w:t>
        </w:r>
      </w:hyperlink>
      <w:r>
        <w:rPr>
          <w:rFonts w:ascii="Times New Roman" w:hAnsi="Times New Roman"/>
        </w:rPr>
        <w:t xml:space="preserve"> a liderilor a 27 de state membre și a Consiliului European, a Parlamentului European și a Comisiei Europene. </w:t>
      </w:r>
    </w:p>
  </w:footnote>
  <w:footnote w:id="3">
    <w:p>
      <w:pPr>
        <w:pStyle w:val="FootnoteText"/>
        <w:spacing w:after="0" w:line="240" w:lineRule="auto"/>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Astfel numită de președintele Juncker în </w:t>
      </w:r>
      <w:hyperlink r:id="rId2">
        <w:r>
          <w:rPr>
            <w:rStyle w:val="Hyperlink"/>
            <w:rFonts w:ascii="Times New Roman" w:hAnsi="Times New Roman"/>
          </w:rPr>
          <w:t>discursul său</w:t>
        </w:r>
      </w:hyperlink>
      <w:r>
        <w:rPr>
          <w:rFonts w:ascii="Times New Roman" w:hAnsi="Times New Roman"/>
        </w:rPr>
        <w:t xml:space="preserve"> cu ocazia celei de a 54-a Conferințe privind securitatea de la München.</w:t>
      </w:r>
    </w:p>
  </w:footnote>
  <w:footnote w:id="4">
    <w:p>
      <w:pPr>
        <w:pStyle w:val="FootnoteText"/>
        <w:spacing w:after="0" w:line="240" w:lineRule="auto"/>
        <w:ind w:left="284" w:hanging="284"/>
      </w:pPr>
      <w:r>
        <w:rPr>
          <w:rStyle w:val="FootnoteReference"/>
        </w:rPr>
        <w:footnoteRef/>
      </w:r>
      <w:r>
        <w:t xml:space="preserve"> </w:t>
      </w:r>
      <w:r>
        <w:tab/>
      </w:r>
      <w:hyperlink r:id="rId3">
        <w:r>
          <w:rPr>
            <w:rStyle w:val="Hyperlink"/>
            <w:rFonts w:ascii="Times New Roman" w:hAnsi="Times New Roman"/>
          </w:rPr>
          <w:t>Viziune comună, acțiuni comune: o Europă mai puternică. O strategie globală pentru politica externă și de securitate a Uniunii Europene</w:t>
        </w:r>
      </w:hyperlink>
      <w:r>
        <w:rPr>
          <w:rFonts w:ascii="Times New Roman" w:hAnsi="Times New Roman"/>
        </w:rPr>
        <w:t>, din iunie 2017.</w:t>
      </w:r>
    </w:p>
  </w:footnote>
  <w:footnote w:id="5">
    <w:p>
      <w:pPr>
        <w:pStyle w:val="FootnoteText"/>
        <w:spacing w:after="0" w:line="240" w:lineRule="auto"/>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Discursul președintelui Juncker </w:t>
      </w:r>
      <w:hyperlink r:id="rId4">
        <w:r>
          <w:rPr>
            <w:rStyle w:val="Hyperlink"/>
            <w:rFonts w:ascii="Times New Roman" w:hAnsi="Times New Roman"/>
          </w:rPr>
          <w:t>din 2017 privind starea Uniunii</w:t>
        </w:r>
      </w:hyperlink>
      <w:r>
        <w:rPr>
          <w:rFonts w:ascii="Times New Roman" w:hAnsi="Times New Roman"/>
        </w:rPr>
        <w:t>.</w:t>
      </w:r>
    </w:p>
  </w:footnote>
  <w:footnote w:id="6">
    <w:p>
      <w:pPr>
        <w:pStyle w:val="FootnoteText"/>
        <w:spacing w:after="0" w:line="240" w:lineRule="auto"/>
        <w:ind w:left="284" w:hanging="284"/>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w:t>
      </w:r>
      <w:r>
        <w:tab/>
      </w:r>
      <w:hyperlink r:id="rId5">
        <w:r>
          <w:rPr>
            <w:rStyle w:val="Hyperlink"/>
            <w:rFonts w:ascii="Times New Roman" w:hAnsi="Times New Roman"/>
          </w:rPr>
          <w:t>Declarația de la Meseberg</w:t>
        </w:r>
      </w:hyperlink>
      <w:r>
        <w:rPr>
          <w:rFonts w:ascii="Times New Roman" w:hAnsi="Times New Roman"/>
        </w:rPr>
        <w:t xml:space="preserve"> pronunțată de cancelarul Germaniei, Angela Merkel, și de președintele Franței, Emmanuel Macron. În timpul Convenției Europene, diverse state membre au recunoscut deja importanța schimbării direcției și a introducerii votului cu majoritate calificată. În special, aceasta a fost poziția adoptată de Franța și Germania (cf. Contribuția franco-germană la Convenția europeană privind arhitectura instituțională a Uniunii Europene din 15 ianuarie 2003, de la Paris și Berlin; Contribuția domnilor Dominique de Villepin și Joschka Fischer). </w:t>
      </w:r>
    </w:p>
  </w:footnote>
  <w:footnote w:id="7">
    <w:p>
      <w:pPr>
        <w:pStyle w:val="FootnoteText"/>
        <w:spacing w:after="0" w:line="240" w:lineRule="auto"/>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Pentru mai multe informații, a se consulta </w:t>
      </w:r>
      <w:hyperlink r:id="rId6">
        <w:r>
          <w:rPr>
            <w:rStyle w:val="Hyperlink"/>
            <w:rFonts w:ascii="Times New Roman" w:hAnsi="Times New Roman"/>
          </w:rPr>
          <w:t>Construcția europeană prin intermediul tratatelor</w:t>
        </w:r>
      </w:hyperlink>
      <w:r>
        <w:rPr>
          <w:rFonts w:ascii="Times New Roman" w:hAnsi="Times New Roman"/>
        </w:rPr>
        <w:t xml:space="preserve"> din sintezele EUR-lex ale legislației UE.</w:t>
      </w:r>
    </w:p>
  </w:footnote>
  <w:footnote w:id="8">
    <w:p>
      <w:pPr>
        <w:pStyle w:val="FootnoteText"/>
        <w:spacing w:after="0" w:line="240" w:lineRule="auto"/>
        <w:ind w:left="284" w:hanging="284"/>
        <w:rPr>
          <w:rFonts w:ascii="Times New Roman" w:hAnsi="Times New Roman" w:cs="Times New Roman"/>
        </w:rPr>
      </w:pPr>
      <w:r>
        <w:rPr>
          <w:rStyle w:val="FootnoteReference"/>
          <w:rFonts w:ascii="Times New Roman" w:hAnsi="Times New Roman"/>
        </w:rPr>
        <w:footnoteRef/>
      </w:r>
      <w:r>
        <w:rPr>
          <w:rStyle w:val="FootnoteReference"/>
          <w:rFonts w:ascii="Times New Roman" w:hAnsi="Times New Roman"/>
        </w:rPr>
        <w:t xml:space="preserve"> </w:t>
      </w:r>
      <w:r>
        <w:tab/>
      </w:r>
      <w:r>
        <w:rPr>
          <w:rFonts w:ascii="Times New Roman" w:hAnsi="Times New Roman"/>
        </w:rPr>
        <w:t>Comunicare a Comisiei către Parlamentul European, Consiliu, Comitetul Economic și Social European și Comitetul Regiunilor „O perspectivă credibilă de aderare pentru Balcanii de Vest și un angajament sporit al UE în regiune“, COM (2018) 65 final.</w:t>
      </w:r>
    </w:p>
  </w:footnote>
  <w:footnote w:id="9">
    <w:p>
      <w:pPr>
        <w:pStyle w:val="FootnoteText"/>
        <w:spacing w:after="0" w:line="240" w:lineRule="auto"/>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Articolul 24 alineatul (3) din TUE.</w:t>
      </w:r>
    </w:p>
  </w:footnote>
  <w:footnote w:id="10">
    <w:p>
      <w:pPr>
        <w:pStyle w:val="FootnoteText"/>
        <w:spacing w:after="0" w:line="240" w:lineRule="auto"/>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Cu excepții foarte limitate și condiționate prevăzute la articolul 218 alineatul (8) primul paragraf din TFUE.</w:t>
      </w:r>
    </w:p>
  </w:footnote>
  <w:footnote w:id="11">
    <w:p>
      <w:pPr>
        <w:pStyle w:val="FootnoteText"/>
        <w:ind w:left="240" w:hanging="240"/>
        <w:rPr>
          <w:rFonts w:ascii="Times New Roman" w:hAnsi="Times New Roman" w:cs="Times New Roman"/>
        </w:rPr>
      </w:pPr>
      <w:r>
        <w:rPr>
          <w:rStyle w:val="FootnoteReference"/>
        </w:rPr>
        <w:footnoteRef/>
      </w:r>
      <w:r>
        <w:t xml:space="preserve"> </w:t>
      </w:r>
      <w:r>
        <w:tab/>
      </w:r>
      <w:r>
        <w:rPr>
          <w:rFonts w:ascii="Times New Roman" w:hAnsi="Times New Roman"/>
        </w:rPr>
        <w:t>Regulamentul (CE) nr. 2271/96 al Consiliului din 22 noiembrie 1996 de protecție împotriva efectelor aplicării extrateritoriale a unei legislații adoptate de către o țară terță, precum și a acțiunilor întemeiate pe aceasta sau care rezultă din aceasta.</w:t>
      </w:r>
      <w:r>
        <w:t xml:space="preserve"> </w:t>
      </w:r>
      <w:r>
        <w:rPr>
          <w:rFonts w:ascii="Times New Roman" w:hAnsi="Times New Roman"/>
        </w:rPr>
        <w:t>JO L 309, 29.11.1996, p. 1-6.</w:t>
      </w:r>
    </w:p>
  </w:footnote>
  <w:footnote w:id="12">
    <w:p>
      <w:pPr>
        <w:pStyle w:val="FootnoteText"/>
        <w:spacing w:after="0" w:line="240" w:lineRule="auto"/>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Celelalte domenii în care deciziile sunt adoptate prin unanimitate sunt fiscalitatea, securitatea socială sau protecția socială, aderarea unor noi țări la UE și cooperarea polițienească operațională.</w:t>
      </w:r>
    </w:p>
  </w:footnote>
  <w:footnote w:id="13">
    <w:p>
      <w:pPr>
        <w:pStyle w:val="FootnoteText"/>
        <w:spacing w:after="0" w:line="240" w:lineRule="auto"/>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În timp ce alte domenii ale acțiunii externe a UE sunt reglementate de dispozițiile Tratatului privind funcționarea Uniunii Europene, politica externă și de securitate comună este reglementată de dispozițiile Tratatului privind Uniunea Europeană.</w:t>
      </w:r>
    </w:p>
  </w:footnote>
  <w:footnote w:id="14">
    <w:p>
      <w:pPr>
        <w:pStyle w:val="FootnoteText"/>
        <w:spacing w:after="0" w:line="240" w:lineRule="auto"/>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Acțiunea comună 2005/124/PESC a Consiliului din 4 februarie 2008 (JO L 42, 16.2.2008, p. 92–98.</w:t>
      </w:r>
    </w:p>
    <w:p>
      <w:pPr>
        <w:pStyle w:val="FootnoteText"/>
        <w:spacing w:after="0" w:line="240" w:lineRule="auto"/>
        <w:rPr>
          <w:rFonts w:ascii="Times New Roman" w:hAnsi="Times New Roman" w:cs="Times New Roman"/>
        </w:rPr>
      </w:pPr>
    </w:p>
    <w:p>
      <w:pPr>
        <w:pStyle w:val="FootnoteText"/>
        <w:spacing w:after="0" w:line="240" w:lineRule="auto"/>
        <w:rPr>
          <w:rFonts w:ascii="Times New Roman" w:hAnsi="Times New Roman" w:cs="Times New Roman"/>
        </w:rPr>
      </w:pPr>
      <w:r>
        <w:rPr>
          <w:rFonts w:ascii="Times New Roman" w:hAnsi="Times New Roman"/>
        </w:rPr>
        <w:t>* Această denumire nu aduce atingere pozițiilor privind statutul și este conformă cu RCSONU 1244/99, precum și cu Avizul CIJ privind Declarația de independență a Kosovo.</w:t>
      </w:r>
    </w:p>
    <w:p>
      <w:pPr>
        <w:pStyle w:val="FootnoteText"/>
        <w:spacing w:after="0" w:line="240" w:lineRule="auto"/>
        <w:rPr>
          <w:rFonts w:ascii="Times New Roman" w:hAnsi="Times New Roman" w:cs="Times New Roman"/>
        </w:rPr>
      </w:pPr>
    </w:p>
  </w:footnote>
  <w:footnote w:id="15">
    <w:p>
      <w:pPr>
        <w:pStyle w:val="FootnoteText"/>
        <w:spacing w:after="0" w:line="240" w:lineRule="auto"/>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A se vedea Concluziile Consiliului în vederea pregătirii pentru Conferința interguvernamentală care a precedat încheierea Tratatului de la Maastricht </w:t>
      </w:r>
      <w:hyperlink r:id="rId7">
        <w:r>
          <w:rPr>
            <w:rFonts w:ascii="Times New Roman" w:hAnsi="Times New Roman"/>
          </w:rPr>
          <w:t>http</w:t>
        </w:r>
        <w:r>
          <w:rPr>
            <w:rStyle w:val="Hyperlink"/>
            <w:rFonts w:ascii="Times New Roman" w:hAnsi="Times New Roman"/>
          </w:rPr>
          <w:t>://www.consilium.europa.eu/media/20554/1990_october_-_rome__eng_.pdf</w:t>
        </w:r>
      </w:hyperlink>
      <w:r>
        <w:rPr>
          <w:rFonts w:ascii="Times New Roman" w:hAnsi="Times New Roman"/>
        </w:rPr>
        <w:t>.</w:t>
      </w:r>
    </w:p>
  </w:footnote>
  <w:footnote w:id="16">
    <w:p>
      <w:pPr>
        <w:pStyle w:val="FootnoteText"/>
        <w:spacing w:after="0" w:line="240" w:lineRule="auto"/>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Alte articole în care deciziile trebuie să fie adoptate cu majoritate calificată în temeiul Tratatului privind Uniunea Europeană: Articolul 41 alineatul (3) din TUE, articolul 45 alineatul (2) din TUE, articolul 46 alineatul (2) din TUE. Recent, în temeiul articolului 46 alineatul (2) din TUE, marea majoritate a statelor membre au decis să meargă mai departe în ceea ce privește cooperarea europeană în domeniul apărării prin adoptarea unei decizii prin vot cu majoritate calificată, în vederea instituirii cooperării structurate permanente în domeniul securității și al apărării. Instituirea acestui tip de cooperare va spori capacitatea UE în calitate de partener de securitate internațională și va maximiza eficacitatea cheltuielilor în materie de apărare ale statelor membre.</w:t>
      </w:r>
    </w:p>
  </w:footnote>
  <w:footnote w:id="17">
    <w:p>
      <w:pPr>
        <w:pStyle w:val="FootnoteText"/>
        <w:spacing w:after="0" w:line="240" w:lineRule="auto"/>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Acordul comun este o practică neprevăzută de tratate prin care toate statele membre convin în mod explicit adoptarea fără posibilitate de abținere.</w:t>
      </w:r>
    </w:p>
  </w:footnote>
  <w:footnote w:id="18">
    <w:p>
      <w:pPr>
        <w:pStyle w:val="FootnoteText"/>
        <w:spacing w:after="0" w:line="240" w:lineRule="auto"/>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Articolul 221 din TFUE.</w:t>
      </w:r>
    </w:p>
  </w:footnote>
  <w:footnote w:id="19">
    <w:p>
      <w:pPr>
        <w:pStyle w:val="FootnoteText"/>
        <w:spacing w:after="0" w:line="240" w:lineRule="auto"/>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 se vedea Decizia de punere în aplicare (PESC) 2018/1086 a Consiliului din 30 iulie 2018 privind măsuri restrictive având în vedere situația din Libia; JO L 194, 31.7.2018, p. 150-151.</w:t>
      </w:r>
    </w:p>
  </w:footnote>
  <w:footnote w:id="20">
    <w:p>
      <w:pPr>
        <w:pStyle w:val="FootnoteText"/>
        <w:spacing w:after="0" w:line="240" w:lineRule="auto"/>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Articolul 22 alineatul (1), articolul 22 alineatul (2) și articolul 26 alineatul (1) din TUE.</w:t>
      </w:r>
    </w:p>
  </w:footnote>
  <w:footnote w:id="21">
    <w:p>
      <w:pPr>
        <w:pStyle w:val="FootnoteText"/>
        <w:spacing w:after="0" w:line="240" w:lineRule="auto"/>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Astfel cum se prevede la articolul 21 din TUE.</w:t>
      </w:r>
    </w:p>
  </w:footnote>
  <w:footnote w:id="22">
    <w:p>
      <w:pPr>
        <w:pStyle w:val="FootnoteText"/>
        <w:spacing w:after="0" w:line="240" w:lineRule="auto"/>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Dincolo de posibilitatea menționată anterior în prima casetă din secțiunea 5.</w:t>
      </w:r>
    </w:p>
  </w:footnote>
  <w:footnote w:id="23">
    <w:p>
      <w:pPr>
        <w:pStyle w:val="FootnoteText"/>
        <w:spacing w:after="0" w:line="240" w:lineRule="auto"/>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În temeiul articolului 42 alineatul (4) din TUE, al articolului 43 alineatul (2) din TUE și al articolului 28 din TUE.</w:t>
      </w:r>
    </w:p>
  </w:footnote>
  <w:footnote w:id="24">
    <w:p>
      <w:pPr>
        <w:pStyle w:val="FootnoteText"/>
        <w:spacing w:after="0" w:line="240" w:lineRule="auto"/>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Inclusiv deciziile luate de autoritatea delegată.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DC2A692"/>
    <w:name w:val="WWNum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14E38CA"/>
    <w:multiLevelType w:val="hybridMultilevel"/>
    <w:tmpl w:val="A076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D26FC2"/>
    <w:multiLevelType w:val="hybridMultilevel"/>
    <w:tmpl w:val="622E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5E3852"/>
    <w:multiLevelType w:val="hybridMultilevel"/>
    <w:tmpl w:val="3CDE7990"/>
    <w:lvl w:ilvl="0" w:tplc="493E2FAC">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853D8A"/>
    <w:multiLevelType w:val="hybridMultilevel"/>
    <w:tmpl w:val="50125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A7133A"/>
    <w:multiLevelType w:val="hybridMultilevel"/>
    <w:tmpl w:val="98F0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FB13C4"/>
    <w:multiLevelType w:val="hybridMultilevel"/>
    <w:tmpl w:val="07F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187438B-07C6-4FCA-9BC3-C97D9841337C"/>
    <w:docVar w:name="LW_COVERPAGE_TYPE" w:val="1"/>
    <w:docVar w:name="LW_CROSSREFERENCE" w:val="&lt;UNUSED&gt;"/>
    <w:docVar w:name="LW_DocType" w:val="NORMAL"/>
    <w:docVar w:name="LW_EMISSION" w:val="12.9.2018"/>
    <w:docVar w:name="LW_EMISSION_ISODATE" w:val="2018-09-12"/>
    <w:docVar w:name="LW_EMISSION_LOCATION" w:val="BRX"/>
    <w:docVar w:name="LW_EMISSION_PREFIX" w:val="Bruxelles, "/>
    <w:docVar w:name="LW_EMISSION_SUFFIX" w:val=" "/>
    <w:docVar w:name="LW_ID_DOCTYPE_NONLW" w:val="CP-009"/>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8) 6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Un actor mai puternic pe plan mondial: un proces mai eficient de luare a deciziilor pentru politica extern\u259? \u537?i de securitate a UE&lt;/FMT&gt;_x000d__x000b__x000d__x000d__x000d__x000d__x000d__x000d__x000d__x000b__x000d__x000d__x000d__x000d__x000d__x000d__x000d__x000d__x000d__x000b_"/>
    <w:docVar w:name="LW_TYPE.DOC.CP" w:val="COMUNICARE A COMISIEI"/>
    <w:docVar w:name="LW_TYPE.DOC.CP.USERTEXT" w:val="C\u258?TRE CONSILIUL EUROPEAN, PARLAMENTUL EUROPEAN \u536?I CONSILI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41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styleId="FootnoteReference">
    <w:name w:val="footnote reference"/>
    <w:rPr>
      <w:vertAlign w:val="superscript"/>
    </w:rPr>
  </w:style>
  <w:style w:type="paragraph" w:styleId="ListParagraph">
    <w:name w:val="List Paragraph"/>
    <w:basedOn w:val="Normal"/>
    <w:qFormat/>
    <w:pPr>
      <w:ind w:left="720"/>
    </w:pPr>
  </w:style>
  <w:style w:type="paragraph" w:styleId="FootnoteText">
    <w:name w:val="footnote text"/>
    <w:basedOn w:val="Normal"/>
    <w:link w:val="FootnoteTextChar"/>
    <w:pPr>
      <w:suppressLineNumbers/>
      <w:ind w:left="283" w:hanging="283"/>
    </w:pPr>
    <w:rPr>
      <w:sz w:val="20"/>
      <w:szCs w:val="20"/>
    </w:rPr>
  </w:style>
  <w:style w:type="character" w:customStyle="1" w:styleId="FootnoteTextChar">
    <w:name w:val="Footnote Text Char"/>
    <w:basedOn w:val="DefaultParagraphFont"/>
    <w:link w:val="FootnoteText"/>
    <w:rPr>
      <w:rFonts w:ascii="Calibri" w:eastAsia="SimSun" w:hAnsi="Calibri" w:cs="font413"/>
      <w:sz w:val="20"/>
      <w:szCs w:val="20"/>
      <w:lang w:eastAsia="ro-RO"/>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lang w:eastAsia="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SimSun" w:hAnsi="Calibri" w:cs="font413"/>
      <w:sz w:val="20"/>
      <w:szCs w:val="20"/>
      <w:lang w:eastAsia="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SimSun" w:hAnsi="Calibri" w:cs="font413"/>
      <w:b/>
      <w:bCs/>
      <w:sz w:val="20"/>
      <w:szCs w:val="20"/>
      <w:lang w:eastAsia="ro-RO"/>
    </w:rPr>
  </w:style>
  <w:style w:type="paragraph" w:customStyle="1" w:styleId="CommentText1">
    <w:name w:val="Comment Text1"/>
    <w:basedOn w:val="Normal"/>
    <w:pPr>
      <w:spacing w:line="100" w:lineRule="atLeast"/>
    </w:pPr>
    <w:rPr>
      <w:sz w:val="20"/>
      <w:szCs w:val="20"/>
    </w:rPr>
  </w:style>
  <w:style w:type="character" w:customStyle="1" w:styleId="CommentTextChar1">
    <w:name w:val="Comment Text Char1"/>
    <w:uiPriority w:val="99"/>
    <w:semiHidden/>
    <w:rPr>
      <w:rFonts w:ascii="Calibri" w:eastAsia="SimSun" w:hAnsi="Calibri" w:cs="font413"/>
      <w:lang w:eastAsia="ro-RO"/>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SimSun" w:hAnsi="Calibri" w:cs="font413"/>
      <w:lang w:eastAsia="ro-RO"/>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SimSun" w:hAnsi="Calibri" w:cs="font413"/>
      <w:lang w:eastAsia="ro-RO"/>
    </w:rPr>
  </w:style>
  <w:style w:type="character" w:customStyle="1" w:styleId="FootnoteReference1">
    <w:name w:val="Footnote Reference1"/>
    <w:basedOn w:val="DefaultParagraphFont"/>
    <w:rPr>
      <w:vertAlign w:val="superscript"/>
    </w:rPr>
  </w:style>
  <w:style w:type="character" w:customStyle="1" w:styleId="Bodytext2">
    <w:name w:val="Body text (2)"/>
    <w:basedOn w:val="DefaultParagraphFont"/>
    <w:rPr>
      <w:rFonts w:ascii="Arial" w:eastAsia="Arial" w:hAnsi="Arial" w:cs="Arial"/>
      <w:b w:val="0"/>
      <w:bCs w:val="0"/>
      <w:i w:val="0"/>
      <w:iCs w:val="0"/>
      <w:caps w:val="0"/>
      <w:smallCaps w:val="0"/>
      <w:strike w:val="0"/>
      <w:dstrike w:val="0"/>
      <w:color w:val="4B4C4D"/>
      <w:spacing w:val="0"/>
      <w:w w:val="100"/>
      <w:position w:val="0"/>
      <w:sz w:val="19"/>
      <w:szCs w:val="19"/>
      <w:u w:val="none"/>
      <w:vertAlign w:val="baseline"/>
      <w:lang w:val="ro-RO" w:eastAsia="ro-RO" w:bidi="ro-RO"/>
    </w:rPr>
  </w:style>
  <w:style w:type="character" w:customStyle="1" w:styleId="Caracteresdenotaalpie">
    <w:name w:val="Caracteres de nota al pie"/>
  </w:style>
  <w:style w:type="paragraph" w:customStyle="1" w:styleId="FootnoteText1">
    <w:name w:val="Footnote Text1"/>
    <w:basedOn w:val="Normal"/>
    <w:pPr>
      <w:spacing w:after="0" w:line="100" w:lineRule="atLeast"/>
    </w:pPr>
    <w:rPr>
      <w:rFonts w:cs="font221"/>
      <w:sz w:val="20"/>
      <w:szCs w:val="20"/>
    </w:rPr>
  </w:style>
  <w:style w:type="paragraph" w:styleId="Revision">
    <w:name w:val="Revision"/>
    <w:hidden/>
    <w:uiPriority w:val="99"/>
    <w:semiHidden/>
    <w:pPr>
      <w:spacing w:after="0" w:line="240" w:lineRule="auto"/>
    </w:pPr>
    <w:rPr>
      <w:rFonts w:ascii="Calibri" w:eastAsia="SimSun" w:hAnsi="Calibri" w:cs="font413"/>
    </w:rPr>
  </w:style>
  <w:style w:type="character" w:customStyle="1" w:styleId="FootnoteReference2">
    <w:name w:val="Footnote Reference2"/>
    <w:rPr>
      <w:vertAlign w:val="superscript"/>
    </w:rPr>
  </w:style>
  <w:style w:type="paragraph" w:customStyle="1" w:styleId="FootnoteText2">
    <w:name w:val="Footnote Text2"/>
    <w:basedOn w:val="Normal"/>
    <w:pPr>
      <w:suppressLineNumbers/>
      <w:ind w:left="283" w:hanging="283"/>
    </w:pPr>
    <w:rPr>
      <w:sz w:val="20"/>
      <w:szCs w:val="2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uppressAutoHyphens w:val="0"/>
      <w:spacing w:after="0" w:line="240" w:lineRule="auto"/>
      <w:jc w:val="both"/>
    </w:pPr>
    <w:rPr>
      <w:rFonts w:ascii="Times New Roman" w:eastAsiaTheme="minorHAnsi"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eastAsia="SimSu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eastAsia="SimSu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eastAsia="SimSu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eastAsia="SimSu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41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styleId="FootnoteReference">
    <w:name w:val="footnote reference"/>
    <w:rPr>
      <w:vertAlign w:val="superscript"/>
    </w:rPr>
  </w:style>
  <w:style w:type="paragraph" w:styleId="ListParagraph">
    <w:name w:val="List Paragraph"/>
    <w:basedOn w:val="Normal"/>
    <w:qFormat/>
    <w:pPr>
      <w:ind w:left="720"/>
    </w:pPr>
  </w:style>
  <w:style w:type="paragraph" w:styleId="FootnoteText">
    <w:name w:val="footnote text"/>
    <w:basedOn w:val="Normal"/>
    <w:link w:val="FootnoteTextChar"/>
    <w:pPr>
      <w:suppressLineNumbers/>
      <w:ind w:left="283" w:hanging="283"/>
    </w:pPr>
    <w:rPr>
      <w:sz w:val="20"/>
      <w:szCs w:val="20"/>
    </w:rPr>
  </w:style>
  <w:style w:type="character" w:customStyle="1" w:styleId="FootnoteTextChar">
    <w:name w:val="Footnote Text Char"/>
    <w:basedOn w:val="DefaultParagraphFont"/>
    <w:link w:val="FootnoteText"/>
    <w:rPr>
      <w:rFonts w:ascii="Calibri" w:eastAsia="SimSun" w:hAnsi="Calibri" w:cs="font413"/>
      <w:sz w:val="20"/>
      <w:szCs w:val="20"/>
      <w:lang w:eastAsia="ro-RO"/>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lang w:eastAsia="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SimSun" w:hAnsi="Calibri" w:cs="font413"/>
      <w:sz w:val="20"/>
      <w:szCs w:val="20"/>
      <w:lang w:eastAsia="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SimSun" w:hAnsi="Calibri" w:cs="font413"/>
      <w:b/>
      <w:bCs/>
      <w:sz w:val="20"/>
      <w:szCs w:val="20"/>
      <w:lang w:eastAsia="ro-RO"/>
    </w:rPr>
  </w:style>
  <w:style w:type="paragraph" w:customStyle="1" w:styleId="CommentText1">
    <w:name w:val="Comment Text1"/>
    <w:basedOn w:val="Normal"/>
    <w:pPr>
      <w:spacing w:line="100" w:lineRule="atLeast"/>
    </w:pPr>
    <w:rPr>
      <w:sz w:val="20"/>
      <w:szCs w:val="20"/>
    </w:rPr>
  </w:style>
  <w:style w:type="character" w:customStyle="1" w:styleId="CommentTextChar1">
    <w:name w:val="Comment Text Char1"/>
    <w:uiPriority w:val="99"/>
    <w:semiHidden/>
    <w:rPr>
      <w:rFonts w:ascii="Calibri" w:eastAsia="SimSun" w:hAnsi="Calibri" w:cs="font413"/>
      <w:lang w:eastAsia="ro-RO"/>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SimSun" w:hAnsi="Calibri" w:cs="font413"/>
      <w:lang w:eastAsia="ro-RO"/>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SimSun" w:hAnsi="Calibri" w:cs="font413"/>
      <w:lang w:eastAsia="ro-RO"/>
    </w:rPr>
  </w:style>
  <w:style w:type="character" w:customStyle="1" w:styleId="FootnoteReference1">
    <w:name w:val="Footnote Reference1"/>
    <w:basedOn w:val="DefaultParagraphFont"/>
    <w:rPr>
      <w:vertAlign w:val="superscript"/>
    </w:rPr>
  </w:style>
  <w:style w:type="character" w:customStyle="1" w:styleId="Bodytext2">
    <w:name w:val="Body text (2)"/>
    <w:basedOn w:val="DefaultParagraphFont"/>
    <w:rPr>
      <w:rFonts w:ascii="Arial" w:eastAsia="Arial" w:hAnsi="Arial" w:cs="Arial"/>
      <w:b w:val="0"/>
      <w:bCs w:val="0"/>
      <w:i w:val="0"/>
      <w:iCs w:val="0"/>
      <w:caps w:val="0"/>
      <w:smallCaps w:val="0"/>
      <w:strike w:val="0"/>
      <w:dstrike w:val="0"/>
      <w:color w:val="4B4C4D"/>
      <w:spacing w:val="0"/>
      <w:w w:val="100"/>
      <w:position w:val="0"/>
      <w:sz w:val="19"/>
      <w:szCs w:val="19"/>
      <w:u w:val="none"/>
      <w:vertAlign w:val="baseline"/>
      <w:lang w:val="ro-RO" w:eastAsia="ro-RO" w:bidi="ro-RO"/>
    </w:rPr>
  </w:style>
  <w:style w:type="character" w:customStyle="1" w:styleId="Caracteresdenotaalpie">
    <w:name w:val="Caracteres de nota al pie"/>
  </w:style>
  <w:style w:type="paragraph" w:customStyle="1" w:styleId="FootnoteText1">
    <w:name w:val="Footnote Text1"/>
    <w:basedOn w:val="Normal"/>
    <w:pPr>
      <w:spacing w:after="0" w:line="100" w:lineRule="atLeast"/>
    </w:pPr>
    <w:rPr>
      <w:rFonts w:cs="font221"/>
      <w:sz w:val="20"/>
      <w:szCs w:val="20"/>
    </w:rPr>
  </w:style>
  <w:style w:type="paragraph" w:styleId="Revision">
    <w:name w:val="Revision"/>
    <w:hidden/>
    <w:uiPriority w:val="99"/>
    <w:semiHidden/>
    <w:pPr>
      <w:spacing w:after="0" w:line="240" w:lineRule="auto"/>
    </w:pPr>
    <w:rPr>
      <w:rFonts w:ascii="Calibri" w:eastAsia="SimSun" w:hAnsi="Calibri" w:cs="font413"/>
    </w:rPr>
  </w:style>
  <w:style w:type="character" w:customStyle="1" w:styleId="FootnoteReference2">
    <w:name w:val="Footnote Reference2"/>
    <w:rPr>
      <w:vertAlign w:val="superscript"/>
    </w:rPr>
  </w:style>
  <w:style w:type="paragraph" w:customStyle="1" w:styleId="FootnoteText2">
    <w:name w:val="Footnote Text2"/>
    <w:basedOn w:val="Normal"/>
    <w:pPr>
      <w:suppressLineNumbers/>
      <w:ind w:left="283" w:hanging="283"/>
    </w:pPr>
    <w:rPr>
      <w:sz w:val="20"/>
      <w:szCs w:val="2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uppressAutoHyphens w:val="0"/>
      <w:spacing w:after="0" w:line="240" w:lineRule="auto"/>
      <w:jc w:val="both"/>
    </w:pPr>
    <w:rPr>
      <w:rFonts w:ascii="Times New Roman" w:eastAsiaTheme="minorHAnsi"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eastAsia="SimSu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eastAsia="SimSu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eastAsia="SimSu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eastAsia="SimSu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361">
      <w:bodyDiv w:val="1"/>
      <w:marLeft w:val="0"/>
      <w:marRight w:val="0"/>
      <w:marTop w:val="0"/>
      <w:marBottom w:val="0"/>
      <w:divBdr>
        <w:top w:val="none" w:sz="0" w:space="0" w:color="auto"/>
        <w:left w:val="none" w:sz="0" w:space="0" w:color="auto"/>
        <w:bottom w:val="none" w:sz="0" w:space="0" w:color="auto"/>
        <w:right w:val="none" w:sz="0" w:space="0" w:color="auto"/>
      </w:divBdr>
    </w:div>
    <w:div w:id="352613982">
      <w:bodyDiv w:val="1"/>
      <w:marLeft w:val="0"/>
      <w:marRight w:val="0"/>
      <w:marTop w:val="0"/>
      <w:marBottom w:val="0"/>
      <w:divBdr>
        <w:top w:val="none" w:sz="0" w:space="0" w:color="auto"/>
        <w:left w:val="none" w:sz="0" w:space="0" w:color="auto"/>
        <w:bottom w:val="none" w:sz="0" w:space="0" w:color="auto"/>
        <w:right w:val="none" w:sz="0" w:space="0" w:color="auto"/>
      </w:divBdr>
      <w:divsChild>
        <w:div w:id="376317044">
          <w:marLeft w:val="0"/>
          <w:marRight w:val="0"/>
          <w:marTop w:val="0"/>
          <w:marBottom w:val="0"/>
          <w:divBdr>
            <w:top w:val="none" w:sz="0" w:space="0" w:color="auto"/>
            <w:left w:val="none" w:sz="0" w:space="0" w:color="auto"/>
            <w:bottom w:val="none" w:sz="0" w:space="0" w:color="auto"/>
            <w:right w:val="none" w:sz="0" w:space="0" w:color="auto"/>
          </w:divBdr>
        </w:div>
        <w:div w:id="1680965571">
          <w:marLeft w:val="0"/>
          <w:marRight w:val="0"/>
          <w:marTop w:val="0"/>
          <w:marBottom w:val="0"/>
          <w:divBdr>
            <w:top w:val="none" w:sz="0" w:space="0" w:color="auto"/>
            <w:left w:val="none" w:sz="0" w:space="0" w:color="auto"/>
            <w:bottom w:val="none" w:sz="0" w:space="0" w:color="auto"/>
            <w:right w:val="none" w:sz="0" w:space="0" w:color="auto"/>
          </w:divBdr>
        </w:div>
        <w:div w:id="2005277684">
          <w:marLeft w:val="0"/>
          <w:marRight w:val="0"/>
          <w:marTop w:val="0"/>
          <w:marBottom w:val="0"/>
          <w:divBdr>
            <w:top w:val="none" w:sz="0" w:space="0" w:color="auto"/>
            <w:left w:val="none" w:sz="0" w:space="0" w:color="auto"/>
            <w:bottom w:val="none" w:sz="0" w:space="0" w:color="auto"/>
            <w:right w:val="none" w:sz="0" w:space="0" w:color="auto"/>
          </w:divBdr>
        </w:div>
      </w:divsChild>
    </w:div>
    <w:div w:id="414909225">
      <w:bodyDiv w:val="1"/>
      <w:marLeft w:val="0"/>
      <w:marRight w:val="0"/>
      <w:marTop w:val="0"/>
      <w:marBottom w:val="0"/>
      <w:divBdr>
        <w:top w:val="none" w:sz="0" w:space="0" w:color="auto"/>
        <w:left w:val="none" w:sz="0" w:space="0" w:color="auto"/>
        <w:bottom w:val="none" w:sz="0" w:space="0" w:color="auto"/>
        <w:right w:val="none" w:sz="0" w:space="0" w:color="auto"/>
      </w:divBdr>
    </w:div>
    <w:div w:id="456219151">
      <w:bodyDiv w:val="1"/>
      <w:marLeft w:val="0"/>
      <w:marRight w:val="0"/>
      <w:marTop w:val="0"/>
      <w:marBottom w:val="0"/>
      <w:divBdr>
        <w:top w:val="none" w:sz="0" w:space="0" w:color="auto"/>
        <w:left w:val="none" w:sz="0" w:space="0" w:color="auto"/>
        <w:bottom w:val="none" w:sz="0" w:space="0" w:color="auto"/>
        <w:right w:val="none" w:sz="0" w:space="0" w:color="auto"/>
      </w:divBdr>
    </w:div>
    <w:div w:id="647828682">
      <w:bodyDiv w:val="1"/>
      <w:marLeft w:val="0"/>
      <w:marRight w:val="0"/>
      <w:marTop w:val="0"/>
      <w:marBottom w:val="0"/>
      <w:divBdr>
        <w:top w:val="none" w:sz="0" w:space="0" w:color="auto"/>
        <w:left w:val="none" w:sz="0" w:space="0" w:color="auto"/>
        <w:bottom w:val="none" w:sz="0" w:space="0" w:color="auto"/>
        <w:right w:val="none" w:sz="0" w:space="0" w:color="auto"/>
      </w:divBdr>
    </w:div>
    <w:div w:id="651253596">
      <w:bodyDiv w:val="1"/>
      <w:marLeft w:val="0"/>
      <w:marRight w:val="0"/>
      <w:marTop w:val="0"/>
      <w:marBottom w:val="0"/>
      <w:divBdr>
        <w:top w:val="none" w:sz="0" w:space="0" w:color="auto"/>
        <w:left w:val="none" w:sz="0" w:space="0" w:color="auto"/>
        <w:bottom w:val="none" w:sz="0" w:space="0" w:color="auto"/>
        <w:right w:val="none" w:sz="0" w:space="0" w:color="auto"/>
      </w:divBdr>
    </w:div>
    <w:div w:id="773399538">
      <w:bodyDiv w:val="1"/>
      <w:marLeft w:val="0"/>
      <w:marRight w:val="0"/>
      <w:marTop w:val="0"/>
      <w:marBottom w:val="0"/>
      <w:divBdr>
        <w:top w:val="none" w:sz="0" w:space="0" w:color="auto"/>
        <w:left w:val="none" w:sz="0" w:space="0" w:color="auto"/>
        <w:bottom w:val="none" w:sz="0" w:space="0" w:color="auto"/>
        <w:right w:val="none" w:sz="0" w:space="0" w:color="auto"/>
      </w:divBdr>
    </w:div>
    <w:div w:id="947660335">
      <w:bodyDiv w:val="1"/>
      <w:marLeft w:val="0"/>
      <w:marRight w:val="0"/>
      <w:marTop w:val="0"/>
      <w:marBottom w:val="0"/>
      <w:divBdr>
        <w:top w:val="none" w:sz="0" w:space="0" w:color="auto"/>
        <w:left w:val="none" w:sz="0" w:space="0" w:color="auto"/>
        <w:bottom w:val="none" w:sz="0" w:space="0" w:color="auto"/>
        <w:right w:val="none" w:sz="0" w:space="0" w:color="auto"/>
      </w:divBdr>
    </w:div>
    <w:div w:id="1234317299">
      <w:bodyDiv w:val="1"/>
      <w:marLeft w:val="0"/>
      <w:marRight w:val="0"/>
      <w:marTop w:val="0"/>
      <w:marBottom w:val="0"/>
      <w:divBdr>
        <w:top w:val="none" w:sz="0" w:space="0" w:color="auto"/>
        <w:left w:val="none" w:sz="0" w:space="0" w:color="auto"/>
        <w:bottom w:val="none" w:sz="0" w:space="0" w:color="auto"/>
        <w:right w:val="none" w:sz="0" w:space="0" w:color="auto"/>
      </w:divBdr>
    </w:div>
    <w:div w:id="133788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globalstrategy/sites/globalstrategy/files/eugs_ro_version.pdf" TargetMode="External"/><Relationship Id="rId7" Type="http://schemas.openxmlformats.org/officeDocument/2006/relationships/hyperlink" Target="http://www.consilium.europa.eu/media/20554/1990_october_-_rome__eng_.pdf" TargetMode="External"/><Relationship Id="rId2" Type="http://schemas.openxmlformats.org/officeDocument/2006/relationships/hyperlink" Target="http://europa.eu/rapid/press-release_SPEECH-18-841_de.htm" TargetMode="External"/><Relationship Id="rId1" Type="http://schemas.openxmlformats.org/officeDocument/2006/relationships/hyperlink" Target="http://www.consilium.europa.eu/ro/press/press-releases/2017/03/25/rome-declaration/" TargetMode="External"/><Relationship Id="rId6" Type="http://schemas.openxmlformats.org/officeDocument/2006/relationships/hyperlink" Target="https://eur-lex.europa.eu/search.html?SUM_2_CODED=0101&amp;SUBDOM_INIT=EU_LEGI_SUM&amp;qid=1535610237647&amp;type=advanced&amp;DTS_SUBDOM=EU_LEGI_SUM&amp;lang=en&amp;scope=EU_SUMMARY&amp;locale=ro" TargetMode="External"/><Relationship Id="rId5" Type="http://schemas.openxmlformats.org/officeDocument/2006/relationships/hyperlink" Target="https://www.bundesregierung.de/Content/EN/Pressemitteilungen/BPA/2018/2018-06-19-meseberg-declaration.html" TargetMode="External"/><Relationship Id="rId4" Type="http://schemas.openxmlformats.org/officeDocument/2006/relationships/hyperlink" Target="http://europa.eu/rapid/press-release_SPEECH-17-3165_r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20AE83-AABE-4021-96BE-E17C5E83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6387</Words>
  <Characters>35834</Characters>
  <Application>Microsoft Office Word</Application>
  <DocSecurity>0</DocSecurity>
  <Lines>542</Lines>
  <Paragraphs>141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22</cp:revision>
  <cp:lastPrinted>2018-09-10T09:24:00Z</cp:lastPrinted>
  <dcterms:created xsi:type="dcterms:W3CDTF">2018-09-10T15:14:00Z</dcterms:created>
  <dcterms:modified xsi:type="dcterms:W3CDTF">2018-10-01T07:07:00Z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