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4A904196-AE55-4362-BE5C-EDD2EC04D05D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pgNumType w:start="0"/>
          <w:cols w:space="720"/>
          <w:rtlGutter/>
          <w:docGrid w:linePitch="326"/>
        </w:sectPr>
      </w:pPr>
    </w:p>
    <w:p>
      <w:pPr>
        <w:rPr>
          <w:noProof/>
        </w:rPr>
      </w:pPr>
      <w:bookmarkStart w:id="0" w:name="_GoBack"/>
      <w:bookmarkEnd w:id="0"/>
    </w:p>
    <w:p>
      <w:pPr>
        <w:pStyle w:val="Annexetitre"/>
        <w:rPr>
          <w:noProof/>
        </w:rPr>
      </w:pPr>
      <w:r>
        <w:rPr>
          <w:noProof/>
        </w:rPr>
        <w:t>ANEXO 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noProof/>
        </w:rPr>
      </w:pPr>
      <w:r>
        <w:rPr>
          <w:noProof/>
        </w:rPr>
        <w:t>Prazos de transposição para o direito interno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noProof/>
        </w:rPr>
      </w:pPr>
      <w:r>
        <w:rPr>
          <w:noProof/>
        </w:rPr>
        <w:t>(referidos no artigo 25.º)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noProof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Diretiva</w:t>
            </w:r>
          </w:p>
        </w:tc>
        <w:tc>
          <w:tcPr>
            <w:tcW w:w="3107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Prazo de transposição</w:t>
            </w:r>
          </w:p>
        </w:tc>
        <w:tc>
          <w:tcPr>
            <w:tcW w:w="3100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Prazo de transposição do artigo 14.º,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 e 2</w:t>
            </w:r>
          </w:p>
        </w:tc>
      </w:tr>
      <w:tr>
        <w:trPr>
          <w:jc w:val="center"/>
        </w:trPr>
        <w:tc>
          <w:tcPr>
            <w:tcW w:w="3079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2008/115/CE</w:t>
            </w:r>
          </w:p>
        </w:tc>
        <w:tc>
          <w:tcPr>
            <w:tcW w:w="3107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[seis meses após a data de entrada em vigor]</w:t>
            </w:r>
          </w:p>
        </w:tc>
        <w:tc>
          <w:tcPr>
            <w:tcW w:w="3100" w:type="dxa"/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t>[um ano após a data de entrada em vigor]</w:t>
            </w:r>
          </w:p>
        </w:tc>
      </w:tr>
    </w:tbl>
    <w:p>
      <w:pPr>
        <w:jc w:val="center"/>
        <w:rPr>
          <w:noProof/>
          <w:szCs w:val="20"/>
        </w:rPr>
      </w:pPr>
      <w:r>
        <w:rPr>
          <w:noProof/>
        </w:rPr>
        <w:t>_____________</w:t>
      </w:r>
    </w:p>
    <w:p>
      <w:pPr>
        <w:pStyle w:val="Annexetitre"/>
        <w:rPr>
          <w:noProof/>
        </w:rPr>
      </w:pPr>
      <w:r>
        <w:rPr>
          <w:noProof/>
        </w:rPr>
        <w:br w:type="page"/>
        <w:t>ANEXO II</w:t>
      </w:r>
    </w:p>
    <w:p>
      <w:pPr>
        <w:keepNext/>
        <w:spacing w:before="360"/>
        <w:jc w:val="center"/>
        <w:outlineLvl w:val="0"/>
        <w:rPr>
          <w:b/>
          <w:smallCaps/>
          <w:noProof/>
          <w:szCs w:val="20"/>
        </w:rPr>
      </w:pPr>
      <w:r>
        <w:rPr>
          <w:b/>
          <w:smallCaps/>
          <w:noProof/>
          <w:szCs w:val="20"/>
        </w:rPr>
        <w:t>Quadro de correspondência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Diretiva 2008/115/CE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A presente diretiva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Artigos 1.º a 5.º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Artigos 1.º a 5.º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Artigos 6.º e 7.º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6.º,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 a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8.º,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 a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8.º, n.º 6, primeiro parágrafo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8.º, n.º 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8.º, n.º 6, segundo parágrafo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8.º, n.º 6, terceiro parágrafo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7.º, n.º 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9.º, n.º 1, primeiro e segundo parágrafos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9.º, n.º 1, terceiro parágrafo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7.º,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> 2 a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9.º,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> 2 a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8.º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10.º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10.º, n.º 1, segunda frase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9.º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11.º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10.º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12.º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11.º, n.º 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13.º, n.º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13.º, n.º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11.º,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> 2 a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13.º,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3 a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14.º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12.º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15.º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13.º, n.º 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16.º, n.º 1, primeiro parágrafo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16.º, n.º 1, segundo parágrafo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13.º, n.º 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16.º, n.º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16.º,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3 e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13.º,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3 e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16.º,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5 e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14.º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17.º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15.º, n.º 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18.º, n.º 1, primeiro parágrafo, alíneas a) e 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18.º, n.º 1, primeiro parágrafo, alínea c) e segundo parágrafo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15.º,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2 a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18.º,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2 a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Artigos 16.º a 18.º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Artigos 19.º a 21.º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22.º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19.º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23.º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20.º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25.º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21.º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24.º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 22.º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27.º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23.º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Artigo 28.º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Anexo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Anexo II</w:t>
            </w:r>
          </w:p>
        </w:tc>
      </w:tr>
    </w:tbl>
    <w:p>
      <w:pPr>
        <w:jc w:val="center"/>
        <w:rPr>
          <w:noProof/>
          <w:szCs w:val="20"/>
        </w:rPr>
      </w:pPr>
      <w:r>
        <w:rPr>
          <w:noProof/>
        </w:rPr>
        <w:t>_____________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6" w:h="16838"/>
      <w:pgMar w:top="1134" w:right="1418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9A2CC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04060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F3EE7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3FAFF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44AB5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A941F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FBC79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268A3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10-01 10:07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 Proposta de"/>
    <w:docVar w:name="LW_ACCOMPAGNANT.CP" w:val="da Proposta de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4A904196-AE55-4362-BE5C-EDD2EC04D05D"/>
    <w:docVar w:name="LW_COVERPAGE_TYPE" w:val="1"/>
    <w:docVar w:name="LW_CROSSREFERENCE" w:val="&lt;UNUSED&gt;"/>
    <w:docVar w:name="LW_DocType" w:val="ANNEX"/>
    <w:docVar w:name="LW_EMISSION" w:val="12.9.2018"/>
    <w:docVar w:name="LW_EMISSION_ISODATE" w:val="2018-09-12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a normas e procedimentos comuns nos Estados-Membros para o regresso de nacionais de países terceiros em situação irregular (reformulação)"/>
    <w:docVar w:name="LW_OBJETACTEPRINCIPAL.CP" w:val="relativa a normas e procedimentos comuns nos Estados-Membros para o regresso de nacionais de países terceiros em situação irregular (reformulação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6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DIRETIVA DO PARLAMENTO EUROPEU E DO CONSELHO"/>
    <w:docVar w:name="LW_TYPEACTEPRINCIPAL.CP" w:val="DIRETIVA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autoSpaceDE w:val="0"/>
      <w:autoSpaceDN w:val="0"/>
      <w:spacing w:before="240"/>
      <w:ind w:right="40"/>
    </w:pPr>
    <w:rPr>
      <w:rFonts w:eastAsia="Times New Roman"/>
      <w:lang w:eastAsia="en-GB"/>
    </w:rPr>
  </w:style>
  <w:style w:type="character" w:customStyle="1" w:styleId="CRSeparatorChar">
    <w:name w:val="CR Separator Char"/>
    <w:link w:val="CRSeparator"/>
    <w:locked/>
    <w:rPr>
      <w:rFonts w:ascii="Times New Roman" w:eastAsia="Times New Roman" w:hAnsi="Times New Roman" w:cs="Times New Roman"/>
      <w:sz w:val="24"/>
      <w:lang w:val="pt-PT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autoSpaceDE w:val="0"/>
      <w:autoSpaceDN w:val="0"/>
      <w:spacing w:before="240"/>
      <w:ind w:right="40"/>
    </w:pPr>
    <w:rPr>
      <w:rFonts w:eastAsia="Times New Roman"/>
      <w:lang w:eastAsia="en-GB"/>
    </w:rPr>
  </w:style>
  <w:style w:type="character" w:customStyle="1" w:styleId="CRSeparatorChar">
    <w:name w:val="CR Separator Char"/>
    <w:link w:val="CRSeparator"/>
    <w:locked/>
    <w:rPr>
      <w:rFonts w:ascii="Times New Roman" w:eastAsia="Times New Roman" w:hAnsi="Times New Roman" w:cs="Times New Roman"/>
      <w:sz w:val="24"/>
      <w:lang w:val="pt-PT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321</Words>
  <Characters>1353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Mauro.GAGLIARDI@ec.europa.eu</dc:creator>
  <cp:lastModifiedBy>DIGIT/A3</cp:lastModifiedBy>
  <cp:revision>10</cp:revision>
  <dcterms:created xsi:type="dcterms:W3CDTF">2018-09-25T12:52:00Z</dcterms:created>
  <dcterms:modified xsi:type="dcterms:W3CDTF">2018-10-01T08:07:00Z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