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1672E02B-8B22-4EDB-88EE-44B787B87F6C" style="width:450.4pt;height:39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0"/>
          <w:cols w:space="720"/>
          <w:rtlGutter/>
          <w:docGrid w:linePitch="326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I. MELLÉKLET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noProof/>
        </w:rPr>
        <w:t>A belső jogba való átültetésre vonatkozó határidők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noProof/>
        </w:rPr>
        <w:t>(a 25. cikk szerint)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noProof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Irányelv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Az átültetés határideje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A 14. cikk (1) és (2) bekezdése átültetésének határideje</w:t>
            </w:r>
          </w:p>
        </w:tc>
      </w:tr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2008/115/EK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[hat hónappal a hatálybalépés napját követően]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[1 évvel a hatálybalépés napját követően]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</w:rPr>
        <w:t>_____________</w:t>
      </w:r>
    </w:p>
    <w:p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II. MELLÉKLET</w:t>
      </w:r>
    </w:p>
    <w:p>
      <w:pPr>
        <w:keepNext/>
        <w:spacing w:before="360"/>
        <w:jc w:val="center"/>
        <w:outlineLvl w:val="0"/>
        <w:rPr>
          <w:b/>
          <w:smallCaps/>
          <w:noProof/>
          <w:szCs w:val="20"/>
        </w:rPr>
      </w:pPr>
      <w:r>
        <w:rPr>
          <w:b/>
          <w:smallCaps/>
          <w:noProof/>
        </w:rPr>
        <w:t>Megfelelési táblázat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2008/115/EK irányelv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Ez az irányelv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1–5.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1–5.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és 7.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cikk, (1)–(5)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cikk, (1)–(5)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cikk, (6) bekezdés, első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cikk, (6)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cikk, (6) bekezdés, második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cikk, (6) bekezdés, harmadik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7. cikk, (1)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cikk, (1) bekezdés, első és második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cikk, (1) bekezdés, harmadik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7. cikk, (2)–(4)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cikk, (2)–(4)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cikk, (1) bekezdés, második mondat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cikk, (1)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(1)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cikk, (2)–(5)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(3)–(7)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15.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(1)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cikk, (1) bekezdés, első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cikk, (1) bekezdés, második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(2)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cikk,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cikk, (3) és (4)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cikk, (3) és (4)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cikk, (5) és (6)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14.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15. cikk, (1)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18. cikk, (1) bekezdés, első albekezdés, a) és b) pont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18. cikk, (1) bekezdés, első albekezdés, c) pont és második albekezdés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15. cikk, (2)–(6)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18. cikk, (2)–(6)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16–18.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19–21.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19.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21.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24.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27.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I. melléklet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II. melléklet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</w:rPr>
        <w:t>_____________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6" w:h="16838"/>
      <w:pgMar w:top="1134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A2C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060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F3EE7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3FAFF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4AB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941F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FBC7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68A3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08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672E02B-8B22-4EDB-88EE-44B787B87F6C"/>
    <w:docVar w:name="LW_COVERPAGE_TYPE" w:val="1"/>
    <w:docVar w:name="LW_CROSSREFERENCE" w:val="&lt;UNUSED&gt;"/>
    <w:docVar w:name="LW_DocType" w:val="ANNEX"/>
    <w:docVar w:name="LW_EMISSION" w:val="2018.9.12."/>
    <w:docVar w:name="LW_EMISSION_ISODATE" w:val="2018-09-12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harmadik országok jogellenesen tartózkodó állampolgárainak visszatérésével kapcsolatban a tagállamokban használt közös normákról és eljárásokról (átdolgozás)_x000b_"/>
    <w:docVar w:name="LW_OBJETACTEPRINCIPAL.CP" w:val="a harmadik országok jogellenesen tartózkodó állampolgárainak visszatérésével kapcsolatban a tagállamokban használt közös normákról és eljárásokról (átdolgozás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AZ EURÓPAI PARLAMENT ÉS A TANÁCS IRÁNYELVE"/>
    <w:docVar w:name="LW_TYPEACTEPRINCIPAL.CP" w:val="AZ EURÓPAI PARLAMENT ÉS A TANÁCS IRÁNYELV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hu-HU" w:eastAsia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298</Words>
  <Characters>1402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Mauro.GAGLIARDI@ec.europa.eu</dc:creator>
  <cp:lastModifiedBy>DIGIT/A3</cp:lastModifiedBy>
  <cp:revision>10</cp:revision>
  <dcterms:created xsi:type="dcterms:W3CDTF">2018-09-26T10:16:00Z</dcterms:created>
  <dcterms:modified xsi:type="dcterms:W3CDTF">2018-10-01T08:08:00Z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