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74" w:rsidRDefault="0048754F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33E5980-B7EE-4216-B12E-37767DC52B58" style="width:450pt;height:362pt">
            <v:imagedata r:id="rId8" o:title=""/>
          </v:shape>
        </w:pict>
      </w:r>
    </w:p>
    <w:bookmarkEnd w:id="0"/>
    <w:p w:rsidR="004C4B74" w:rsidRDefault="004C4B74">
      <w:pPr>
        <w:spacing w:line="240" w:lineRule="auto"/>
        <w:rPr>
          <w:noProof/>
        </w:rPr>
        <w:sectPr w:rsidR="004C4B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C4B74" w:rsidRDefault="0048754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t>YHTEINEN TIEDONANTO EUROOPAN PARLAMENTILLE,</w:t>
      </w:r>
    </w:p>
    <w:p w:rsidR="004C4B74" w:rsidRDefault="0048754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NEUVOSTOLLE, EUROOPAN TALOUS- JA SOSIAALIKOMITEALLE, ALUEIDEN KOMITEALLE JA EUROOPAN INVESTOINTIPANKILLE</w:t>
      </w:r>
    </w:p>
    <w:p w:rsidR="004C4B74" w:rsidRDefault="0048754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Euroopan ja Aasian yhteydet – EU:n strategian perusta </w:t>
      </w: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Johdanto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Euroopan unionin (EU) ja Aasian suhde on koko maailman kannalta merkittävä, ja alueiden väliset kytkökset tulevat todennäköisesti lisääntymään tulevina vuosina. Aasiassa asuu noin 60 prosentt</w:t>
      </w:r>
      <w:r>
        <w:rPr>
          <w:rFonts w:ascii="Times New Roman" w:hAnsi="Times New Roman"/>
          <w:noProof/>
          <w:sz w:val="24"/>
        </w:rPr>
        <w:t>ia maailman väestöstä, ja sen osuus EU:n viennistä on 35 prosenttia (618 miljardia euroa) ja EU:n tuonnista 45 prosenttia (774 miljardia euroa).</w:t>
      </w:r>
      <w:r>
        <w:rPr>
          <w:rStyle w:val="FootnoteReference"/>
          <w:rFonts w:ascii="Times New Roman" w:hAnsi="Times New Roman"/>
          <w:noProof/>
          <w:sz w:val="24"/>
        </w:rPr>
        <w:footnoteReference w:id="2"/>
      </w:r>
      <w:r>
        <w:rPr>
          <w:rFonts w:ascii="Times New Roman" w:hAnsi="Times New Roman"/>
          <w:noProof/>
          <w:sz w:val="24"/>
        </w:rPr>
        <w:t xml:space="preserve"> Maailman eri alueiden yhä voimakkaampi keskinäisriippuvuus tarjoaa sekä Euroopalle että Aasialle mahdollisuude</w:t>
      </w:r>
      <w:r>
        <w:rPr>
          <w:rFonts w:ascii="Times New Roman" w:hAnsi="Times New Roman"/>
          <w:noProof/>
          <w:sz w:val="24"/>
        </w:rPr>
        <w:t xml:space="preserve">n laajempaan yhteistoimintaan, rauhanomaiseen poliittiseen yhteistyöhön, tasapuolisiin ja vahvempiin taloudellisiin suhteisiin, laaja-alaiseen yhteiskunnalliseen vuoropuheluun sekä yhteistyöhön kansainvälisen ja alueellisen turvallisuuden alalla. Eurooppa </w:t>
      </w:r>
      <w:r>
        <w:rPr>
          <w:rFonts w:ascii="Times New Roman" w:hAnsi="Times New Roman"/>
          <w:noProof/>
          <w:sz w:val="24"/>
        </w:rPr>
        <w:t xml:space="preserve">ja Aasia voivat yhdessä edistää laajempaa yhteistyötä maailmanpolitiikan, maailmanlaajuisen vakauden ja eri alueiden taloudellisen vaurauden alalla. </w:t>
      </w:r>
    </w:p>
    <w:p w:rsidR="004C4B74" w:rsidRDefault="0048754F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Jotta yhteistyön kehittämisessä voitaisiin ottaa seuraava askel ja maailmantaloudessa avata uusia </w:t>
      </w:r>
      <w:r>
        <w:rPr>
          <w:rFonts w:ascii="Times New Roman" w:hAnsi="Times New Roman"/>
          <w:noProof/>
          <w:sz w:val="24"/>
        </w:rPr>
        <w:t>mahdollisuuksia, EU:n ja Aasian tulisi varmistaa tehokkaat ja kestävät keskinäiset yhteydet. Yhteyksillä</w:t>
      </w:r>
      <w:r>
        <w:rPr>
          <w:rStyle w:val="FootnoteReference"/>
          <w:rFonts w:ascii="Times New Roman" w:hAnsi="Times New Roman"/>
          <w:noProof/>
          <w:sz w:val="24"/>
        </w:rPr>
        <w:footnoteReference w:id="3"/>
      </w:r>
      <w:r>
        <w:rPr>
          <w:rFonts w:ascii="Times New Roman" w:hAnsi="Times New Roman"/>
          <w:noProof/>
          <w:sz w:val="24"/>
        </w:rPr>
        <w:t xml:space="preserve"> edistetään talouskasvua ja työpaikkojen luomista, globaalia kilpailukykyä ja kauppaa sekä ihmisten, tavaroiden ja palvelujen liikkuvuutta Euroopan ja </w:t>
      </w:r>
      <w:r>
        <w:rPr>
          <w:rFonts w:ascii="Times New Roman" w:hAnsi="Times New Roman"/>
          <w:noProof/>
          <w:sz w:val="24"/>
        </w:rPr>
        <w:t>Aasian välillä.</w:t>
      </w:r>
    </w:p>
    <w:p w:rsidR="004C4B74" w:rsidRDefault="0048754F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Eräiden arvioiden mukaan nykyisen kasvun ylläpitäminen ja ilmastonmuutokseen sopeutuminen edellyttävät Aasiassa tulevina vuosikymmeninä joka vuosi yli 1,3 biljoonan euron infrastruktuuri-investointeja.</w:t>
      </w:r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r>
        <w:rPr>
          <w:rFonts w:ascii="Times New Roman" w:hAnsi="Times New Roman"/>
          <w:noProof/>
          <w:sz w:val="24"/>
        </w:rPr>
        <w:t xml:space="preserve"> EU:ssa puolestaan Euroopan laajuinen </w:t>
      </w:r>
      <w:r>
        <w:rPr>
          <w:rFonts w:ascii="Times New Roman" w:hAnsi="Times New Roman"/>
          <w:noProof/>
          <w:sz w:val="24"/>
        </w:rPr>
        <w:t>liikenneverkko edellyttää vuosina 2021–2030 arviolta 1,5 biljoonan euron investointeja. Haasteena eivät kuitenkaan ole pelkät investoinnit. Aasian alueet ovat keskenään erilaisia, ja Aasian maiden talousjärjestelmissä ja kehitysasteissa on suuria eroja. Tä</w:t>
      </w:r>
      <w:r>
        <w:rPr>
          <w:rFonts w:ascii="Times New Roman" w:hAnsi="Times New Roman"/>
          <w:noProof/>
          <w:sz w:val="24"/>
        </w:rPr>
        <w:t>män vuoksi markkinoille pääsyn sekä tavaroiden, palvelujen, pääoman ja ihmisten rajanylisen liikkuvuuden edistämiseksi tarvitaankin yhtenäisiä ja johdonmukaisia sääntöjä, normeja ja käytäntöjä. Tiukat sosiaaliset ja ympäristönormit, asianmukainen suunnitte</w:t>
      </w:r>
      <w:r>
        <w:rPr>
          <w:rFonts w:ascii="Times New Roman" w:hAnsi="Times New Roman"/>
          <w:noProof/>
          <w:sz w:val="24"/>
        </w:rPr>
        <w:t xml:space="preserve">lu ja koko elinkaaren kattavat kustannus-hyötyanalyysit ovat tarpeen, jotta voidaan varmistaa yhteysinvestointien pitkän aikavälin kestävyys. Velka-ahdingon välttämiseksi on varmistettava, että infrastruktuurihankkeet ovat rahoituksen ja julkisen talouden </w:t>
      </w:r>
      <w:r>
        <w:rPr>
          <w:rFonts w:ascii="Times New Roman" w:hAnsi="Times New Roman"/>
          <w:noProof/>
          <w:sz w:val="24"/>
        </w:rPr>
        <w:t>kannalta kestäviä.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Edellä kuvattujen syiden vuoksi Euroopan komissio esittää toimia, joilla rakennetaan perusta </w:t>
      </w:r>
      <w:r>
        <w:rPr>
          <w:rFonts w:ascii="Times New Roman" w:hAnsi="Times New Roman"/>
          <w:b/>
          <w:noProof/>
          <w:sz w:val="24"/>
        </w:rPr>
        <w:t>Euroopan ja Aasian yhteyksiä koskevalle EU:n strategialle</w:t>
      </w:r>
      <w:r>
        <w:rPr>
          <w:rFonts w:ascii="Times New Roman" w:hAnsi="Times New Roman"/>
          <w:noProof/>
          <w:sz w:val="24"/>
        </w:rPr>
        <w:t>. Toimiin sisältyy konkreettisia toimintapoliittisia ehdotuksia ja aloitteita, joiden a</w:t>
      </w:r>
      <w:r>
        <w:rPr>
          <w:rFonts w:ascii="Times New Roman" w:hAnsi="Times New Roman"/>
          <w:noProof/>
          <w:sz w:val="24"/>
        </w:rPr>
        <w:t>vulla voidaan parantaa Euroopan ja Aasian välisiä yhteyksiä muun muassa liikenne-, energia- ja digitaalisten verkkojen yhteentoimivuuden kautta.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Tämä tiedonanto on myös osa EU:n panosta vuoden 2018 lokakuussa järjestettävään 12. Aasia–Eurooppa-kokoukseen </w:t>
      </w:r>
      <w:r>
        <w:rPr>
          <w:rFonts w:ascii="Times New Roman" w:hAnsi="Times New Roman"/>
          <w:noProof/>
          <w:sz w:val="24"/>
        </w:rPr>
        <w:t>(Asem), joka tarjoaa mahdollisuuden edistää yhteyksien vahvistamista ja yhteistyötä aasialaisten kumppaniemme kanssa.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lastRenderedPageBreak/>
        <w:t>Tätä tiedonantoa tulisi lukea yhdessä seuraavaa monivuotista rahoituskehystä koskevan komission ehdotuksen</w:t>
      </w:r>
      <w:r>
        <w:rPr>
          <w:rStyle w:val="FootnoteReference"/>
          <w:rFonts w:ascii="Times New Roman" w:hAnsi="Times New Roman"/>
          <w:noProof/>
          <w:sz w:val="24"/>
        </w:rPr>
        <w:footnoteReference w:id="6"/>
      </w:r>
      <w:r>
        <w:rPr>
          <w:rFonts w:ascii="Times New Roman" w:hAnsi="Times New Roman"/>
          <w:noProof/>
          <w:sz w:val="24"/>
        </w:rPr>
        <w:t xml:space="preserve"> kanssa. Ehdotuksessa asetetaan</w:t>
      </w:r>
      <w:r>
        <w:rPr>
          <w:rFonts w:ascii="Times New Roman" w:hAnsi="Times New Roman"/>
          <w:noProof/>
          <w:sz w:val="24"/>
        </w:rPr>
        <w:t xml:space="preserve"> selkeät painopisteet, joita on selvennetty myös komission viimeaikaisissa tiedonannoissa</w:t>
      </w:r>
      <w:r>
        <w:rPr>
          <w:rStyle w:val="FootnoteReference"/>
          <w:rFonts w:ascii="Times New Roman" w:hAnsi="Times New Roman"/>
          <w:noProof/>
          <w:sz w:val="24"/>
        </w:rPr>
        <w:footnoteReference w:id="7"/>
      </w:r>
      <w:r>
        <w:rPr>
          <w:rFonts w:ascii="Times New Roman" w:hAnsi="Times New Roman"/>
          <w:noProof/>
          <w:sz w:val="24"/>
        </w:rPr>
        <w:t xml:space="preserve"> ja jotka mahdollistavat yksityisten investointien edistämisen ja tukemisen koko maailmassa. </w:t>
      </w: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EU:n toimintatapa: kestävät, kattavat ja sääntöihin perustuvat yhteydet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 on viime vuosikymmeninä aktiivisesti edistänyt sisäisiä yhteyksiään. </w:t>
      </w:r>
      <w:r>
        <w:rPr>
          <w:rFonts w:ascii="Times New Roman" w:hAnsi="Times New Roman"/>
          <w:b/>
          <w:noProof/>
          <w:sz w:val="24"/>
        </w:rPr>
        <w:t>Sisämarkkinoiden</w:t>
      </w:r>
      <w:r>
        <w:rPr>
          <w:rFonts w:ascii="Times New Roman" w:hAnsi="Times New Roman"/>
          <w:noProof/>
          <w:sz w:val="24"/>
        </w:rPr>
        <w:t xml:space="preserve"> luominen mahdollisti EU:ssa ihmisten, tavaroiden, palvelujen ja pääoman vapaan liikkuvuuden. EU:n laajuisilla säännöillä, kuten valtiontukia ja julkisia hankintoja kos</w:t>
      </w:r>
      <w:r>
        <w:rPr>
          <w:rFonts w:ascii="Times New Roman" w:hAnsi="Times New Roman"/>
          <w:noProof/>
          <w:sz w:val="24"/>
        </w:rPr>
        <w:t>kevilla säännöillä, taataan, että kilpailu on tasapuolista ja avointa, ja unionin politiikan avulla varmistetaan myös ympäristönsuojelun, turvallisuuden sekä sosiaalisten ja yksilön oikeuksien toteutuminen.</w:t>
      </w:r>
      <w:r>
        <w:rPr>
          <w:rStyle w:val="FootnoteReference"/>
          <w:noProof/>
        </w:rPr>
        <w:footnoteReference w:id="8"/>
      </w:r>
      <w:r>
        <w:rPr>
          <w:rFonts w:ascii="Times New Roman" w:hAnsi="Times New Roman"/>
          <w:noProof/>
          <w:sz w:val="24"/>
        </w:rPr>
        <w:t xml:space="preserve"> EU edistää myös kiertotaloutta, kasvihuonekaasupäästöjen vähentämistä sekä ilmastokestävää tulevaisuutta, jotta voidaan saavuttaa kestävän kehityksen tavoitteet ja Pariisin ilmastosopimuksen tavoitteet.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Näillä politiikoilla on tuettu investointeja rajanyl</w:t>
      </w:r>
      <w:r>
        <w:rPr>
          <w:rFonts w:ascii="Times New Roman" w:hAnsi="Times New Roman"/>
          <w:noProof/>
          <w:sz w:val="24"/>
        </w:rPr>
        <w:t>isiin yhteyksiin, jotka perustuvat selkeään Euroopan laajuiseen verkkoon (TEN) ja sen selkeästi määriteltyihin painopisteisiin ja vaatimuksiin. Yhteyksiä käyttävät kansalaiset ja yritykset hyötyvät voidessaan luottaa tehokkaaseen Euroopan laajuiseen infras</w:t>
      </w:r>
      <w:r>
        <w:rPr>
          <w:rFonts w:ascii="Times New Roman" w:hAnsi="Times New Roman"/>
          <w:noProof/>
          <w:sz w:val="24"/>
        </w:rPr>
        <w:t xml:space="preserve">truktuuriin, vapaaseen ja tasapuoliseen kilpailuun sekä yhteisiin normeihin. EU:n sisämarkkinat ovat lisänneet tuottavuutta ja kilpailukykyä ja voivatkin toimia esimerkkinä ja innoituksen lähteenä koko maailmalle. 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Yhteyksiä koskevilla EU:n politiikoilla </w:t>
      </w:r>
      <w:r>
        <w:rPr>
          <w:rFonts w:ascii="Times New Roman" w:hAnsi="Times New Roman"/>
          <w:noProof/>
          <w:sz w:val="24"/>
        </w:rPr>
        <w:t>pyritään tehostamaan EU:n sisämarkkinoiden toimintaa ja parantamaan yhteyksiä myös maailmanlaajuisesti painottaen ihmisille koituvia hyötyjä ja heidän oikeuksiaan. Näitä tavoitteita tuetaan kestävää kehitystä, hiilestä irtautumista, digitalisaatiota, inves</w:t>
      </w:r>
      <w:r>
        <w:rPr>
          <w:rFonts w:ascii="Times New Roman" w:hAnsi="Times New Roman"/>
          <w:noProof/>
          <w:sz w:val="24"/>
        </w:rPr>
        <w:t>tointeja, innovointia ja maailmanlaajuista johtajuutta koskevilla politiikoilla.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</w:rPr>
        <w:t xml:space="preserve">Kokemuksensa avulla EU voi edistää kestävää, kattavaa ja sääntöihin perustuvaa lähestymistapaa yhteyksien lisäämisessä: </w:t>
      </w: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Kestävät yhteydet:</w:t>
      </w:r>
      <w:r>
        <w:rPr>
          <w:rFonts w:ascii="Times New Roman" w:hAnsi="Times New Roman"/>
          <w:noProof/>
          <w:sz w:val="24"/>
        </w:rPr>
        <w:t xml:space="preserve"> Tuottavuuden lisäämiseksi sekä kasv</w:t>
      </w:r>
      <w:r>
        <w:rPr>
          <w:rFonts w:ascii="Times New Roman" w:hAnsi="Times New Roman"/>
          <w:noProof/>
          <w:sz w:val="24"/>
        </w:rPr>
        <w:t>un ja työpaikkojen luomiseksi yhteyksiä koskevissa investoinneissa on varmistettava markkinatehokkuus ja investointien toteutettavuus julkisen talouden näkökulmasta. Jotta voidaan vastata ilmastonmuutoksen ja ympäristön pilaantumisen haasteisiin, investoin</w:t>
      </w:r>
      <w:r>
        <w:rPr>
          <w:rFonts w:ascii="Times New Roman" w:hAnsi="Times New Roman"/>
          <w:noProof/>
          <w:sz w:val="24"/>
        </w:rPr>
        <w:t>tien on edistettävä vähähiiliseen talouteen siirtymistä ja täytettävä ympäristövaikutusten arviointiin perustuvat tiukat vaatimukset. Sosiaalisen kehityksen tukemiseksi investointien on täytettävä myös tiukat avoimuuden ja hyvän hallinnon vaatimukset ja ni</w:t>
      </w:r>
      <w:r>
        <w:rPr>
          <w:rFonts w:ascii="Times New Roman" w:hAnsi="Times New Roman"/>
          <w:noProof/>
          <w:sz w:val="24"/>
        </w:rPr>
        <w:t>istä on järjestettävä asianmukaisia julkisia kuulemisia, jotta voidaan kuulla hankkeiden vaikutuspiiriin kuuluvia ihmisiä. Yhteyksiä koskevien politiikkojen tulisi vähentää kielteisiä ulkoisvaikutuksia, kuten ympäristövaikutuksia, ruuhkia, melua, saasteita</w:t>
      </w:r>
      <w:r>
        <w:rPr>
          <w:rFonts w:ascii="Times New Roman" w:hAnsi="Times New Roman"/>
          <w:noProof/>
          <w:sz w:val="24"/>
        </w:rPr>
        <w:t xml:space="preserve"> ja onnettomuuksia. Yhteyksien on siis oltava pitkällä aikavälillä taloudellisesti, sosiaalisesti sekä julkisen talouden ja ympäristön kannalta kestäviä.</w:t>
      </w:r>
    </w:p>
    <w:p w:rsidR="004C4B74" w:rsidRDefault="004C4B74">
      <w:pPr>
        <w:pStyle w:val="ListParagraph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Kattavat yhteydet</w:t>
      </w:r>
      <w:r>
        <w:rPr>
          <w:rFonts w:ascii="Times New Roman" w:hAnsi="Times New Roman"/>
          <w:i/>
          <w:noProof/>
          <w:sz w:val="24"/>
        </w:rPr>
        <w:t xml:space="preserve">: </w:t>
      </w:r>
      <w:r>
        <w:rPr>
          <w:rFonts w:ascii="Times New Roman" w:hAnsi="Times New Roman"/>
          <w:noProof/>
          <w:sz w:val="24"/>
        </w:rPr>
        <w:t>Yhteyksissä on kyse verkoista sekä niiden kautta kulkevien ihmisten, tavaroiden, p</w:t>
      </w:r>
      <w:r>
        <w:rPr>
          <w:rFonts w:ascii="Times New Roman" w:hAnsi="Times New Roman"/>
          <w:noProof/>
          <w:sz w:val="24"/>
        </w:rPr>
        <w:t>alvelujen ja pääoman liikkeistä. Tämä tarkoittaa paitsi lento-, maa- ja meriliikenneyhteyksiä myös digitaalisia verkkoja matkaviestinverkoista kiinteisiin verkkoihin, internetin runkoverkosta asiakasliittymiin ja kaapeleista satelliitteihin. Yhteydet tarko</w:t>
      </w:r>
      <w:r>
        <w:rPr>
          <w:rFonts w:ascii="Times New Roman" w:hAnsi="Times New Roman"/>
          <w:noProof/>
          <w:sz w:val="24"/>
        </w:rPr>
        <w:t>ittavat myös energiaverkkoja ja energiavirtoja kaasusta ja nesteytetystä maakaasusta sähköverkkoihin, uusiutuvasta energiasta energiatehokkuuteen. Näiden kolmen alan välillä tulisi pyrkiä löytämään synergiaetuja, sillä ne voivat johtaa innovatiivisiin ja u</w:t>
      </w:r>
      <w:r>
        <w:rPr>
          <w:rFonts w:ascii="Times New Roman" w:hAnsi="Times New Roman"/>
          <w:noProof/>
          <w:sz w:val="24"/>
        </w:rPr>
        <w:t>udenlaisiin yhteyksiin. Yhteyksillä on myös tärkeä inhimillinen ulottuvuus, minkä vuoksi ihmisten etujen ja oikeuksien tulisi olla kaiken politiikan keskiössä.</w:t>
      </w:r>
    </w:p>
    <w:p w:rsidR="004C4B74" w:rsidRDefault="004C4B74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Kansainväliset sääntöihin perustuvat yhteydet</w:t>
      </w:r>
      <w:r>
        <w:rPr>
          <w:rFonts w:ascii="Times New Roman" w:hAnsi="Times New Roman"/>
          <w:i/>
          <w:noProof/>
          <w:sz w:val="24"/>
        </w:rPr>
        <w:t>:</w:t>
      </w:r>
      <w:r>
        <w:rPr>
          <w:rFonts w:ascii="Times New Roman" w:hAnsi="Times New Roman"/>
          <w:noProof/>
          <w:sz w:val="24"/>
        </w:rPr>
        <w:t xml:space="preserve"> Jotta ihmiset, tavarat, palvelut ja pääoma voisi</w:t>
      </w:r>
      <w:r>
        <w:rPr>
          <w:rFonts w:ascii="Times New Roman" w:hAnsi="Times New Roman"/>
          <w:noProof/>
          <w:sz w:val="24"/>
        </w:rPr>
        <w:t>vat liikkua tehokkaasti, tasapuolisesti ja sujuvasti, tarvitaan sääntöjä ja sääntelyä. Kansainvälisellä tasolla sovitut ja kansainvälisten organisaatioiden ja laitosten tukemat käytännöt, säännöt, yleissopimukset ja tekniset standardit mahdollistavat verkk</w:t>
      </w:r>
      <w:r>
        <w:rPr>
          <w:rFonts w:ascii="Times New Roman" w:hAnsi="Times New Roman"/>
          <w:noProof/>
          <w:sz w:val="24"/>
        </w:rPr>
        <w:t>ojen yhteentoimivuuden ja rajanylisen kaupankäynnin. EU takaa sisämarkkinoillaan kaikille yrityksille syrjimättömän kohtelun ja tasapuoliset toimintaedellytykset sekä edistää avointa ja läpinäkyvää investointiympäristöä suojellen kuitenkin keskeisiä omistu</w:t>
      </w:r>
      <w:r>
        <w:rPr>
          <w:rFonts w:ascii="Times New Roman" w:hAnsi="Times New Roman"/>
          <w:noProof/>
          <w:sz w:val="24"/>
        </w:rPr>
        <w:t>ksiaan.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rFonts w:ascii="Times New Roman" w:hAnsi="Times New Roman"/>
          <w:noProof/>
          <w:sz w:val="24"/>
        </w:rPr>
        <w:t xml:space="preserve"> EU:n tulisi jatkossakin edistää avoimia ja läpinäkyviä hankintamenettelyjä, joissa yrityksillä tulisi olla tasapuoliset toimintaedellytykset. </w:t>
      </w:r>
    </w:p>
    <w:p w:rsidR="004C4B74" w:rsidRDefault="0048754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Näiden periaatteiden pohjalta EU tekee yhteistyötä lähialueidensa ja aasialaisten kumppaniensa kanssa ko</w:t>
      </w:r>
      <w:r>
        <w:rPr>
          <w:rFonts w:ascii="Times New Roman" w:hAnsi="Times New Roman"/>
          <w:noProof/>
          <w:sz w:val="24"/>
        </w:rPr>
        <w:t xml:space="preserve">lmella tavalla: </w:t>
      </w: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edistämällä kansalaisia ja talouksia palvelevien tehokkaiden yhteyksien ja verkkojen rakentamista Euroopan ja Aasian välille ensisijaisten liikennekäytävien, digitaalisten yhteyksien ja energiayhteistyön avulla </w:t>
      </w: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muodostamalla yhteyskumppan</w:t>
      </w:r>
      <w:r>
        <w:rPr>
          <w:rFonts w:ascii="Times New Roman" w:hAnsi="Times New Roman"/>
          <w:noProof/>
          <w:sz w:val="24"/>
        </w:rPr>
        <w:t xml:space="preserve">uuksia, jotka perustuvat yhdessä sovituille säännöille ja normeille ja jotka mahdollistavat tavaroiden, ihmisten, pääoman ja palvelujen virtojen paremman hallinnoinnin </w:t>
      </w:r>
    </w:p>
    <w:p w:rsidR="004C4B74" w:rsidRDefault="0048754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pyrkimällä pienentämään merkittäviä investointivajeita parantamalla varojen hankintaa j</w:t>
      </w:r>
      <w:r>
        <w:rPr>
          <w:rFonts w:ascii="Times New Roman" w:hAnsi="Times New Roman"/>
          <w:noProof/>
          <w:sz w:val="24"/>
        </w:rPr>
        <w:t>a EU:n rahoituksen vipuvaikutusta sekä vahvistamalla kansainvälisiä kumppanuuksia.</w:t>
      </w:r>
    </w:p>
    <w:p w:rsidR="004C4B74" w:rsidRDefault="004C4B74">
      <w:pPr>
        <w:pStyle w:val="ListParagraph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Tehokkaiden yhteyksien rakentaminen Euroopan ja Aasian välille</w:t>
      </w:r>
    </w:p>
    <w:p w:rsidR="004C4B74" w:rsidRDefault="0048754F">
      <w:pPr>
        <w:spacing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Nykyisten ja tulevien yhteyksien tehostamiseksi unionin olisi yhdessä kumppaniensa kanssa puututtava Euroopan</w:t>
      </w:r>
      <w:r>
        <w:rPr>
          <w:rFonts w:ascii="Times New Roman" w:hAnsi="Times New Roman"/>
          <w:noProof/>
          <w:sz w:val="24"/>
        </w:rPr>
        <w:t xml:space="preserve"> ja Aasian välisiin liikenne-, energia- ja digitaalisiin yhteyksiin. Tässä yhteydessä on otettava huomioon tekniikan nopea muutos, joka vaikuttaa yhteyksiin suuresti. Euroopan ja Aasian fyysisten yhteyksien lisäksi EU:n ja sen kumppanien olisi myös edistet</w:t>
      </w:r>
      <w:r>
        <w:rPr>
          <w:rFonts w:ascii="Times New Roman" w:hAnsi="Times New Roman"/>
          <w:noProof/>
          <w:sz w:val="24"/>
        </w:rPr>
        <w:t>tävä opiskelijoiden, yliopistoväen ja tutkijoiden yhteyksiä ja liikkuvuutta.</w:t>
      </w:r>
    </w:p>
    <w:p w:rsidR="0048754F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Liikenne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Tehokkaiden, taloudellisesti elinkelpoisten ja ympäristön kannalta kestävien kauppareittien ja käytävien kehittäminen Euroopan ja Aasian välille hyödyttää sekä unionia </w:t>
      </w:r>
      <w:r>
        <w:rPr>
          <w:rFonts w:ascii="Times New Roman" w:hAnsi="Times New Roman"/>
          <w:noProof/>
          <w:sz w:val="24"/>
        </w:rPr>
        <w:t>että sen aasialaisia kumppaneita. Tällä hetkellä arvossa mitattuna 70 prosenttia kauppatavarasta kulkee meritse ja reilu 25 prosenttia ilmateitse. Raideliikenteen osuus on vähäinen. Kasvupotentiaali on kaikilla aloilla merkittävä.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EU:n olisi parannettava l</w:t>
      </w:r>
      <w:r>
        <w:rPr>
          <w:rFonts w:ascii="Times New Roman" w:hAnsi="Times New Roman"/>
          <w:noProof/>
          <w:sz w:val="24"/>
        </w:rPr>
        <w:t xml:space="preserve">iikenneyhteyksiä naapurialueidensa ja aasialaisten kumppaniensa kanssa. EU:n tulisi pyrkiä </w:t>
      </w:r>
      <w:r>
        <w:rPr>
          <w:rFonts w:ascii="Times New Roman" w:hAnsi="Times New Roman"/>
          <w:b/>
          <w:noProof/>
          <w:sz w:val="24"/>
        </w:rPr>
        <w:t>yhdistämään kehittynyt Euroopan laajuinen liikenneverkko (TEN-T) Aasian verkkoihin</w:t>
      </w:r>
      <w:r>
        <w:rPr>
          <w:rFonts w:ascii="Times New Roman" w:hAnsi="Times New Roman"/>
          <w:noProof/>
          <w:sz w:val="24"/>
        </w:rPr>
        <w:t>. TEN-T-kehys sisältää selkeät painopisteet ja normit, joiden avulla edistetään raj</w:t>
      </w:r>
      <w:r>
        <w:rPr>
          <w:rFonts w:ascii="Times New Roman" w:hAnsi="Times New Roman"/>
          <w:noProof/>
          <w:sz w:val="24"/>
        </w:rPr>
        <w:t>anylistä ja yhteentoimivaa multimodaaliliikennettä eli raide-, meri- ja sisävesikuljetuksia yhdistävää liikennettä. Tämän tavoitteen saavuttamiseksi EU voisi tarjota kumppaneilleen tarvittavaa teknistä apua ja auttaa niitä suunnittelemaan liikennejärjestel</w:t>
      </w:r>
      <w:r>
        <w:rPr>
          <w:rFonts w:ascii="Times New Roman" w:hAnsi="Times New Roman"/>
          <w:noProof/>
          <w:sz w:val="24"/>
        </w:rPr>
        <w:t xml:space="preserve">miään ja varmistamaan niiden yhteenliittämisen sekä osallistua infrastruktuurin rahoittamiseen tarpeen mukaan (ks. 4 luku). Vajeita ja mahdollisuuksia voidaan tunnistaa yhteyksien tason arviointiin tarkoitettujen uusien menetelmien, kuten yhteysindeksien, </w:t>
      </w:r>
      <w:r>
        <w:rPr>
          <w:rFonts w:ascii="Times New Roman" w:hAnsi="Times New Roman"/>
          <w:noProof/>
          <w:sz w:val="24"/>
        </w:rPr>
        <w:t>avulla. EU:n tulisi myös osaltaan auttaa tekemään Euroopan ja Aasian liikenneyhteyksistä varmempia.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Varmat yhteydet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4C4B74" w:rsidRDefault="004875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Maailma on yhä riippuvaisempi hienostuneista dataverkoista ja tiedonsiirtomenetelmistä, energiaverkoista, tarkkaan ajoitetuista arvoketjui</w:t>
            </w:r>
            <w:r>
              <w:rPr>
                <w:rFonts w:ascii="Times New Roman" w:hAnsi="Times New Roman"/>
                <w:noProof/>
              </w:rPr>
              <w:t>sta ja ihmisten liikkuvuudesta. Näiden virtojen hallinnointi edellyttää oikeaa tasapainoa virtojen liikkuvuuden helpottamisen ja niiden turvallisuuden ja toimintavarmuuden välillä. Hybridiuhkien ja terrorismin aikakaudella toimintavarmuudella on väliä. Kau</w:t>
            </w:r>
            <w:r>
              <w:rPr>
                <w:rFonts w:ascii="Times New Roman" w:hAnsi="Times New Roman"/>
                <w:noProof/>
              </w:rPr>
              <w:t>ppareittien käytettävyys edellyttää yhä asianmukaista poliittista ja turvallisuusympäristöä. Lisäksi on ratkaistava monia haasteita, kuten kansainvälinen järjestäytynyt rikollisuus, kaikenlainen salakuljetus ja laiton kauppa, kyberturvallisuushaasteet sekä</w:t>
            </w:r>
            <w:r>
              <w:rPr>
                <w:rFonts w:ascii="Times New Roman" w:hAnsi="Times New Roman"/>
                <w:noProof/>
              </w:rPr>
              <w:t xml:space="preserve"> liikenne- ja energiaturvallisuuteen kohdistuvat hyökkäykset. Näitä haasteita ei voida ratkaista pelkästään maiden tai muiden yksittäisten toimijoiden sisäisillä tai ulkoisilla politiikoilla. EU:n olisi tehtävä kumppanimaiden kanssa yhteistyötä etenkin kyb</w:t>
            </w:r>
            <w:r>
              <w:rPr>
                <w:rFonts w:ascii="Times New Roman" w:hAnsi="Times New Roman"/>
                <w:noProof/>
              </w:rPr>
              <w:t xml:space="preserve">erturvallisuuden alalla Euroopan ja Aasian välisten liikenneyhteyksien turvallisuuden ja varmuuden parantamiseksi. </w:t>
            </w: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Lentoliikenne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EU:n kolmansien maiden kanssa tekemät </w:t>
      </w:r>
      <w:r>
        <w:rPr>
          <w:rFonts w:ascii="Times New Roman" w:hAnsi="Times New Roman"/>
          <w:b/>
          <w:noProof/>
          <w:sz w:val="24"/>
        </w:rPr>
        <w:t>ilmailusopimukset</w:t>
      </w:r>
      <w:r>
        <w:rPr>
          <w:rFonts w:ascii="Times New Roman" w:hAnsi="Times New Roman"/>
          <w:noProof/>
          <w:sz w:val="24"/>
        </w:rPr>
        <w:t xml:space="preserve"> luovat uusia taloudellisia mahdollisuuksia avaamalla markkinoita ja edistämällä investointimahdollisuuksia. Jotta EU:n ja sen kumppanimaiden kansalaisia ja yrityksiä hyödyttävä lentoliikenne voisi kasvaa, EU neuvottelee parhaillaan ilmailusopimuksista use</w:t>
      </w:r>
      <w:r>
        <w:rPr>
          <w:rFonts w:ascii="Times New Roman" w:hAnsi="Times New Roman"/>
          <w:noProof/>
          <w:sz w:val="24"/>
        </w:rPr>
        <w:t>iden EU:n naapurustoon kuuluvien maiden ja Aasian maiden kanssa.</w:t>
      </w:r>
      <w:r>
        <w:rPr>
          <w:rStyle w:val="FootnoteReference"/>
          <w:rFonts w:ascii="Times New Roman" w:hAnsi="Times New Roman"/>
          <w:noProof/>
          <w:sz w:val="24"/>
        </w:rPr>
        <w:footnoteReference w:id="10"/>
      </w:r>
      <w:r>
        <w:rPr>
          <w:rFonts w:ascii="Times New Roman" w:hAnsi="Times New Roman"/>
          <w:noProof/>
          <w:sz w:val="24"/>
        </w:rPr>
        <w:t xml:space="preserve"> EU pyrkii sopimusten avulla vaikuttamaan myös ilmailun ympäristö- ja ilmastovaikutuksiin ja ennen kaikkea ilmailun päästöihin. EU aikoo jatkossakin tukea Euroopassa, Aasiassa ja muualla vält</w:t>
      </w:r>
      <w:r>
        <w:rPr>
          <w:rFonts w:ascii="Times New Roman" w:hAnsi="Times New Roman"/>
          <w:noProof/>
          <w:sz w:val="24"/>
        </w:rPr>
        <w:t xml:space="preserve">tämätöntä </w:t>
      </w:r>
      <w:r>
        <w:rPr>
          <w:rFonts w:ascii="Times New Roman" w:hAnsi="Times New Roman"/>
          <w:b/>
          <w:noProof/>
          <w:sz w:val="24"/>
        </w:rPr>
        <w:t>pitkän aikavälin siirtymää vähähiiliseen</w:t>
      </w:r>
      <w:r>
        <w:rPr>
          <w:rFonts w:ascii="Times New Roman" w:hAnsi="Times New Roman"/>
          <w:noProof/>
          <w:sz w:val="24"/>
        </w:rPr>
        <w:t xml:space="preserve"> lentoliikenteeseen muun muassa edistämällä kansainvälisten sopimusten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  <w:sz w:val="24"/>
        </w:rPr>
        <w:t xml:space="preserve"> tehokasta täytäntöönpanoa ja toteuttamalla kohdennettuja toimia kumppanimaiden valmiuksien parantamiseksi. </w:t>
      </w:r>
    </w:p>
    <w:p w:rsidR="004C4B74" w:rsidRDefault="0048754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Meriliikenne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 tukee puh</w:t>
      </w:r>
      <w:r>
        <w:rPr>
          <w:rFonts w:ascii="Times New Roman" w:hAnsi="Times New Roman"/>
          <w:noProof/>
          <w:sz w:val="24"/>
        </w:rPr>
        <w:t xml:space="preserve">dasta ja kestävää merenkulkua EU:n laajuisilla politiikkatoimilla ja osallistumalla esimerkiksi Kansainvälisen merenkulkujärjestön (IMO) ympäristötoimiin. Komissio aikoo osana vähähiiliseen liikenteeseen siirtymistä koskevaa strategiaansa edistää </w:t>
      </w:r>
      <w:r>
        <w:rPr>
          <w:rFonts w:ascii="Times New Roman" w:hAnsi="Times New Roman"/>
          <w:b/>
          <w:noProof/>
          <w:sz w:val="24"/>
        </w:rPr>
        <w:t>vaihtoeht</w:t>
      </w:r>
      <w:r>
        <w:rPr>
          <w:rFonts w:ascii="Times New Roman" w:hAnsi="Times New Roman"/>
          <w:b/>
          <w:noProof/>
          <w:sz w:val="24"/>
        </w:rPr>
        <w:t>oisten polttoaineiden</w:t>
      </w:r>
      <w:r>
        <w:rPr>
          <w:rFonts w:ascii="Times New Roman" w:hAnsi="Times New Roman"/>
          <w:noProof/>
          <w:sz w:val="24"/>
        </w:rPr>
        <w:t xml:space="preserve"> käyttöä Euroopan ja Aasian satamissa. Komissio aikoo myös jatkaa yhteistyötään Aasian kolmansien maiden kanssa asiaankuuluvien </w:t>
      </w:r>
      <w:r>
        <w:rPr>
          <w:rFonts w:ascii="Times New Roman" w:hAnsi="Times New Roman"/>
          <w:b/>
          <w:noProof/>
          <w:sz w:val="24"/>
        </w:rPr>
        <w:t>meriliikennesopimusten</w:t>
      </w:r>
      <w:r>
        <w:rPr>
          <w:rFonts w:ascii="Times New Roman" w:hAnsi="Times New Roman"/>
          <w:noProof/>
          <w:sz w:val="24"/>
        </w:rPr>
        <w:t xml:space="preserve"> avulla ja auttaa siten meriliikenteen sääntelyä ja helpottamista. Tullimuodollisuuks</w:t>
      </w:r>
      <w:r>
        <w:rPr>
          <w:rFonts w:ascii="Times New Roman" w:hAnsi="Times New Roman"/>
          <w:noProof/>
          <w:sz w:val="24"/>
        </w:rPr>
        <w:t>ien nopeuttamiseksi komission tulisi edistää Aasian satamien hallinnollisten muodollisuuksien digitalisointia ja yksinkertaistamista koskevia aloitteita.</w:t>
      </w:r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r>
        <w:rPr>
          <w:rFonts w:ascii="Times New Roman" w:hAnsi="Times New Roman"/>
          <w:noProof/>
          <w:sz w:val="24"/>
        </w:rPr>
        <w:t xml:space="preserve"> EU:n olisi myös edistettävä Rotterdamin sääntöjen laajempaa hyväksymistä, sillä se helpottaisi sähköi</w:t>
      </w:r>
      <w:r>
        <w:rPr>
          <w:rFonts w:ascii="Times New Roman" w:hAnsi="Times New Roman"/>
          <w:noProof/>
          <w:sz w:val="24"/>
        </w:rPr>
        <w:t>sten asiakirjojen käyttöä merenkulussa.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 EU:n tulisi ehdottaa lisätoimia meriturvallisuuden parantamiseksi ja jatkaa kansainvälisten toimien tukemista muun muassa IMO:n puitteissa. EU:n tulisi jatkossakin kehittää Mustanmeren alueen roolia siltana Euroopan</w:t>
      </w:r>
      <w:r>
        <w:rPr>
          <w:rFonts w:ascii="Times New Roman" w:hAnsi="Times New Roman"/>
          <w:noProof/>
          <w:sz w:val="24"/>
        </w:rPr>
        <w:t xml:space="preserve"> ja Aasian välillä. </w:t>
      </w:r>
    </w:p>
    <w:p w:rsidR="004C4B74" w:rsidRDefault="0048754F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Maaliikenne</w:t>
      </w:r>
    </w:p>
    <w:p w:rsidR="004C4B74" w:rsidRDefault="0048754F">
      <w:pPr>
        <w:spacing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Raideliikenteen</w:t>
      </w:r>
      <w:r>
        <w:rPr>
          <w:rFonts w:ascii="Times New Roman" w:hAnsi="Times New Roman"/>
          <w:noProof/>
          <w:sz w:val="24"/>
        </w:rPr>
        <w:t xml:space="preserve"> alalla EU:n tulisi yhdessä kumppaniensa kanssa pyrkiä lisäämään raideyhteyksien kilpailukykyä lyhentämällä kuljetusaikoja ja parantamalla käyttöasteita.  EU on laajentanut Euroopan laajuista liikenneverkkoa </w:t>
      </w:r>
      <w:r>
        <w:rPr>
          <w:rFonts w:ascii="Times New Roman" w:hAnsi="Times New Roman"/>
          <w:noProof/>
          <w:sz w:val="24"/>
        </w:rPr>
        <w:t xml:space="preserve">(TEN-T) Länsi-Balkanin maihin ja on hiljattain sopinut sen laajentamisesta kuuteen itäisen kumppanuuden maahan (Armenia, Azerbaidžan, Georgia, Moldova, Ukraina ja Valko-Venäjä). Sekä </w:t>
      </w:r>
      <w:r>
        <w:rPr>
          <w:rFonts w:ascii="Times New Roman" w:hAnsi="Times New Roman"/>
          <w:b/>
          <w:noProof/>
          <w:sz w:val="24"/>
        </w:rPr>
        <w:t>pohjois–etelä</w:t>
      </w:r>
      <w:r>
        <w:rPr>
          <w:rFonts w:ascii="Times New Roman" w:hAnsi="Times New Roman"/>
          <w:noProof/>
          <w:sz w:val="24"/>
        </w:rPr>
        <w:t>-suuntaiset raideyhteydet</w:t>
      </w:r>
      <w:r>
        <w:rPr>
          <w:rStyle w:val="FootnoteReference"/>
          <w:rFonts w:ascii="Times New Roman" w:hAnsi="Times New Roman"/>
          <w:noProof/>
          <w:sz w:val="24"/>
        </w:rPr>
        <w:footnoteReference w:id="14"/>
      </w:r>
      <w:r>
        <w:rPr>
          <w:rFonts w:ascii="Times New Roman" w:hAnsi="Times New Roman"/>
          <w:noProof/>
          <w:sz w:val="24"/>
        </w:rPr>
        <w:t xml:space="preserve"> että </w:t>
      </w:r>
      <w:r>
        <w:rPr>
          <w:rFonts w:ascii="Times New Roman" w:hAnsi="Times New Roman"/>
          <w:b/>
          <w:noProof/>
          <w:sz w:val="24"/>
        </w:rPr>
        <w:t>itä–länsi</w:t>
      </w:r>
      <w:r>
        <w:rPr>
          <w:rFonts w:ascii="Times New Roman" w:hAnsi="Times New Roman"/>
          <w:noProof/>
          <w:sz w:val="24"/>
        </w:rPr>
        <w:t>-suuntaiset raideyh</w:t>
      </w:r>
      <w:r>
        <w:rPr>
          <w:rFonts w:ascii="Times New Roman" w:hAnsi="Times New Roman"/>
          <w:noProof/>
          <w:sz w:val="24"/>
        </w:rPr>
        <w:t>teydet</w:t>
      </w:r>
      <w:r>
        <w:rPr>
          <w:rStyle w:val="FootnoteReference"/>
          <w:rFonts w:ascii="Times New Roman" w:hAnsi="Times New Roman"/>
          <w:noProof/>
          <w:sz w:val="24"/>
        </w:rPr>
        <w:footnoteReference w:id="15"/>
      </w:r>
      <w:r>
        <w:rPr>
          <w:rFonts w:ascii="Times New Roman" w:hAnsi="Times New Roman"/>
          <w:noProof/>
          <w:sz w:val="24"/>
        </w:rPr>
        <w:t xml:space="preserve"> voisivat olla tulevaisuudessa tärkeitä. Liikenne on kasvanut huomattavasti erityisesti EU:n ja Kiinan välisellä raideyhteydellä. Tämän raideyhteyden pitkän aikavälin taloudellista kannattavuutta ja kilpailuneutraliteettia koskeviin haasteisiin olis</w:t>
      </w:r>
      <w:r>
        <w:rPr>
          <w:rFonts w:ascii="Times New Roman" w:hAnsi="Times New Roman"/>
          <w:noProof/>
          <w:sz w:val="24"/>
        </w:rPr>
        <w:t>i puututtava. EU tukee YK:n Euroopan talouskomission (UNECE) Unified Rail Law </w:t>
      </w:r>
      <w:r>
        <w:rPr>
          <w:noProof/>
        </w:rPr>
        <w:noBreakHyphen/>
      </w:r>
      <w:r>
        <w:rPr>
          <w:rFonts w:ascii="Times New Roman" w:hAnsi="Times New Roman"/>
          <w:noProof/>
          <w:sz w:val="24"/>
        </w:rPr>
        <w:t>aloitetta, jossa pyritään yhtenäistämään rautateiden tavaraliikenteeseen Euraasian mantereella sovellettavaa lainsäädäntöä. EU aikoo tehdä yhteystyötä asianomaisten raideliikenn</w:t>
      </w:r>
      <w:r>
        <w:rPr>
          <w:rFonts w:ascii="Times New Roman" w:hAnsi="Times New Roman"/>
          <w:noProof/>
          <w:sz w:val="24"/>
        </w:rPr>
        <w:t>eorganisaatioiden</w:t>
      </w:r>
      <w:r>
        <w:rPr>
          <w:rStyle w:val="FootnoteReference"/>
          <w:rFonts w:ascii="Times New Roman" w:hAnsi="Times New Roman"/>
          <w:noProof/>
          <w:sz w:val="24"/>
        </w:rPr>
        <w:footnoteReference w:id="16"/>
      </w:r>
      <w:r>
        <w:rPr>
          <w:rFonts w:ascii="Times New Roman" w:hAnsi="Times New Roman"/>
          <w:noProof/>
          <w:sz w:val="24"/>
        </w:rPr>
        <w:t xml:space="preserve"> kanssa laajentaakseen EU:n teknisten eritelmien ja turvallisuusjohtamisjärjestelmien soveltamista. Euroopan ja Aasian välisten yhteyksien kannalta </w:t>
      </w:r>
      <w:r>
        <w:rPr>
          <w:rFonts w:ascii="Times New Roman" w:hAnsi="Times New Roman"/>
          <w:b/>
          <w:noProof/>
          <w:sz w:val="24"/>
        </w:rPr>
        <w:t>maantieliikenne</w:t>
      </w:r>
      <w:r>
        <w:rPr>
          <w:rFonts w:ascii="Times New Roman" w:hAnsi="Times New Roman"/>
          <w:noProof/>
          <w:sz w:val="24"/>
        </w:rPr>
        <w:t xml:space="preserve"> on usein järkevä vaihtoehto keskipitkillä matkoilla (esim. Keski-Aasiaan) </w:t>
      </w:r>
      <w:r>
        <w:rPr>
          <w:rFonts w:ascii="Times New Roman" w:hAnsi="Times New Roman"/>
          <w:noProof/>
          <w:sz w:val="24"/>
        </w:rPr>
        <w:t xml:space="preserve">ja muihin liikennemuotoihin yhdistettävänä toissijaisena liikenneverkkona. Alalla on tärkeää varmistaa työntekijöiden kohtuulliset työolot ja kuljetusyritysten tasapuolinen kilpailu. EU:n tulisi keskittyä yhteistyössään Aasian maiden kanssa edistämään </w:t>
      </w:r>
      <w:r>
        <w:rPr>
          <w:rFonts w:ascii="Times New Roman" w:hAnsi="Times New Roman"/>
          <w:b/>
          <w:noProof/>
          <w:sz w:val="24"/>
        </w:rPr>
        <w:t>liik</w:t>
      </w:r>
      <w:r>
        <w:rPr>
          <w:rFonts w:ascii="Times New Roman" w:hAnsi="Times New Roman"/>
          <w:b/>
          <w:noProof/>
          <w:sz w:val="24"/>
        </w:rPr>
        <w:t>enneturvallisuutta</w:t>
      </w:r>
      <w:r>
        <w:rPr>
          <w:rFonts w:ascii="Times New Roman" w:hAnsi="Times New Roman"/>
          <w:noProof/>
          <w:sz w:val="24"/>
        </w:rPr>
        <w:t xml:space="preserve"> jakamalla hyviä käytäntöjä ja parhaita ratkaisuja, joiden avulla voidaan vähentää tieliikennekuolemia ja </w:t>
      </w:r>
      <w:r>
        <w:rPr>
          <w:noProof/>
        </w:rPr>
        <w:noBreakHyphen/>
      </w:r>
      <w:r>
        <w:rPr>
          <w:rFonts w:ascii="Times New Roman" w:hAnsi="Times New Roman"/>
          <w:noProof/>
          <w:sz w:val="24"/>
        </w:rPr>
        <w:t>loukkaantumisia.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EU aikoo myös edistää </w:t>
      </w:r>
      <w:r>
        <w:rPr>
          <w:rFonts w:ascii="Times New Roman" w:hAnsi="Times New Roman"/>
          <w:b/>
          <w:noProof/>
          <w:sz w:val="24"/>
        </w:rPr>
        <w:t>tullialan</w:t>
      </w:r>
      <w:r>
        <w:rPr>
          <w:rFonts w:ascii="Times New Roman" w:hAnsi="Times New Roman"/>
          <w:noProof/>
          <w:sz w:val="24"/>
        </w:rPr>
        <w:t xml:space="preserve"> tiedonvaihtoa ja kehittää passitusyhteistyötä kahdenvälisesti ja Maailman tullijär</w:t>
      </w:r>
      <w:r>
        <w:rPr>
          <w:rFonts w:ascii="Times New Roman" w:hAnsi="Times New Roman"/>
          <w:noProof/>
          <w:sz w:val="24"/>
        </w:rPr>
        <w:t xml:space="preserve">jestön (WCO) kautta. </w:t>
      </w:r>
    </w:p>
    <w:p w:rsidR="0048754F" w:rsidRDefault="0048754F">
      <w:pPr>
        <w:spacing w:line="240" w:lineRule="auto"/>
        <w:jc w:val="both"/>
        <w:rPr>
          <w:rFonts w:ascii="Times New Roman" w:hAnsi="Times New Roman"/>
          <w:noProof/>
          <w:sz w:val="24"/>
        </w:rPr>
      </w:pPr>
    </w:p>
    <w:p w:rsidR="0048754F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Digitaaliset yhteydet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Suuren kapasiteetin verkkoyhteydet</w:t>
      </w:r>
      <w:r>
        <w:rPr>
          <w:rFonts w:ascii="Times New Roman" w:hAnsi="Times New Roman"/>
          <w:noProof/>
          <w:sz w:val="24"/>
        </w:rPr>
        <w:t xml:space="preserve"> ovat keskeisen tärkeä digitaalitalouden tuki.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Runkoverkkoyhteydet Aasian maihin ja muihin kolmansiin maihin edistävät silmukkaverkon luomista ja mahdollistavat tämän yhä tärkeämmän infrastruktuurin edellyttämän kaistanleveyden ja muiden laatuvaatimusten täyttymisen. Internet-yhteyden yleinen ja kohtuu</w:t>
      </w:r>
      <w:r>
        <w:rPr>
          <w:rFonts w:ascii="Times New Roman" w:hAnsi="Times New Roman"/>
          <w:noProof/>
          <w:sz w:val="24"/>
        </w:rPr>
        <w:t xml:space="preserve">hintainen saatavuus todistetusti </w:t>
      </w:r>
      <w:r>
        <w:rPr>
          <w:rFonts w:ascii="Times New Roman" w:hAnsi="Times New Roman"/>
          <w:b/>
          <w:noProof/>
          <w:sz w:val="24"/>
        </w:rPr>
        <w:t>edistää sosioekonomista kehitystä</w:t>
      </w:r>
      <w:r>
        <w:rPr>
          <w:rFonts w:ascii="Times New Roman" w:hAnsi="Times New Roman"/>
          <w:noProof/>
          <w:sz w:val="24"/>
        </w:rPr>
        <w:t xml:space="preserve">.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EU:n olisi suhteissaan Aasian maiden kanssa edistettävä rauhanomaista, varmaa ja avointa tieto- ja viestintäteknistä ympäristöä sekä puututtava kyberturvallisuusuhkiin ja suojeltava ihmis</w:t>
      </w:r>
      <w:r>
        <w:rPr>
          <w:rFonts w:ascii="Times New Roman" w:hAnsi="Times New Roman"/>
          <w:noProof/>
          <w:sz w:val="24"/>
        </w:rPr>
        <w:t>oikeuksia ja vapauksia verkossa, henkilötietojen suoja mukaan lukien. Yksityisiä ja julkisia investointeja digitaaliseen infrastruktuuriin on tuettava yhtenäisellä sääntelyllä</w:t>
      </w:r>
      <w:r>
        <w:rPr>
          <w:rStyle w:val="FootnoteReference"/>
          <w:rFonts w:ascii="Times New Roman" w:hAnsi="Times New Roman"/>
          <w:noProof/>
          <w:sz w:val="24"/>
        </w:rPr>
        <w:footnoteReference w:id="17"/>
      </w:r>
      <w:r>
        <w:rPr>
          <w:rFonts w:ascii="Times New Roman" w:hAnsi="Times New Roman"/>
          <w:noProof/>
          <w:sz w:val="24"/>
        </w:rPr>
        <w:t xml:space="preserve"> sekä politiikoilla ja kannustimilla, joilla voidaan kaventaa digitaalista kuilu</w:t>
      </w:r>
      <w:r>
        <w:rPr>
          <w:rFonts w:ascii="Times New Roman" w:hAnsi="Times New Roman"/>
          <w:noProof/>
          <w:sz w:val="24"/>
        </w:rPr>
        <w:t xml:space="preserve">a etenkin syrjäisillä alueilla tai sisämaavaltioissa. Tätä varten EU toteuttaa Aasiassa tarpeen mukaan </w:t>
      </w:r>
      <w:r>
        <w:rPr>
          <w:rFonts w:ascii="Times New Roman" w:hAnsi="Times New Roman"/>
          <w:b/>
          <w:noProof/>
          <w:sz w:val="24"/>
        </w:rPr>
        <w:t>Digital4Development-strategiaansa</w:t>
      </w:r>
      <w:r>
        <w:rPr>
          <w:rStyle w:val="FootnoteReference"/>
          <w:rFonts w:ascii="Times New Roman" w:hAnsi="Times New Roman"/>
          <w:noProof/>
          <w:sz w:val="24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ja pyrkii tukemaan sosioekonomista kehitystä edistämällä digitaaliteknologiaa ja digitaalisia palveluja. </w:t>
      </w: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Energiayhte</w:t>
      </w:r>
      <w:r>
        <w:rPr>
          <w:rFonts w:ascii="Times New Roman" w:hAnsi="Times New Roman"/>
          <w:b/>
          <w:noProof/>
          <w:sz w:val="24"/>
        </w:rPr>
        <w:t>ydet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EU:n energiamarkkinoiden vapauttaminen, vuodelle 2020 asetetut uusiutuvaa energiaa ja energiatehokkuutta koskevat tavoitteet sekä energiaunionistrategia ovat yhdessä edistäneet markkinavetoista siirtymistä kohti puhtaita energialähteitä. Muutoksen myötä sä</w:t>
      </w:r>
      <w:r>
        <w:rPr>
          <w:rFonts w:ascii="Times New Roman" w:hAnsi="Times New Roman"/>
          <w:noProof/>
          <w:sz w:val="24"/>
        </w:rPr>
        <w:t xml:space="preserve">hköverkosta on tullut vähähiilisempi ja sen eri osia on liitetty paremmin yhteen, mikä on tärkeää kilpailun kannalta ja mahdollistaa vaihtelevan uusiutuvan energian hyödyntämisen. EU:n olisi hyödynnettävä kokemustaan ja edistettävä alueellisia </w:t>
      </w:r>
      <w:r>
        <w:rPr>
          <w:rFonts w:ascii="Times New Roman" w:hAnsi="Times New Roman"/>
          <w:b/>
          <w:noProof/>
          <w:sz w:val="24"/>
        </w:rPr>
        <w:t>energiayhtey</w:t>
      </w:r>
      <w:r>
        <w:rPr>
          <w:rFonts w:ascii="Times New Roman" w:hAnsi="Times New Roman"/>
          <w:b/>
          <w:noProof/>
          <w:sz w:val="24"/>
        </w:rPr>
        <w:t>ksiä tukevia alustoja</w:t>
      </w:r>
      <w:r>
        <w:rPr>
          <w:rFonts w:ascii="Times New Roman" w:hAnsi="Times New Roman"/>
          <w:noProof/>
          <w:sz w:val="24"/>
        </w:rPr>
        <w:t xml:space="preserve">, joissa painotetaan markkinaperiaatteita. Lisäksi EU:n olisi tuettava energiajärjestelmän nykyaikaistamista, puhtaiden (hajautettujen) ratkaisujen käyttöönottoa, energiatehokkuutta ja </w:t>
      </w:r>
      <w:r>
        <w:rPr>
          <w:rFonts w:ascii="Times New Roman" w:hAnsi="Times New Roman"/>
          <w:b/>
          <w:noProof/>
          <w:sz w:val="24"/>
        </w:rPr>
        <w:t xml:space="preserve">EU:n ja Aasian välisiä ja aasialaisten kumppanien </w:t>
      </w:r>
      <w:r>
        <w:rPr>
          <w:rFonts w:ascii="Times New Roman" w:hAnsi="Times New Roman"/>
          <w:b/>
          <w:noProof/>
          <w:sz w:val="24"/>
        </w:rPr>
        <w:t>keskinäisiä energiayhteyksiä</w:t>
      </w:r>
      <w:r>
        <w:rPr>
          <w:rFonts w:ascii="Times New Roman" w:hAnsi="Times New Roman"/>
          <w:noProof/>
          <w:sz w:val="24"/>
        </w:rPr>
        <w:t>.</w:t>
      </w: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Ihmisten väliset yhteydet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Opiskelijoiden, yliopistoväen ja tutkijoiden väliset yhteydet ja heidän liikkuvuutensa ovat </w:t>
      </w:r>
      <w:r>
        <w:rPr>
          <w:rFonts w:ascii="Times New Roman" w:hAnsi="Times New Roman"/>
          <w:b/>
          <w:noProof/>
          <w:sz w:val="24"/>
        </w:rPr>
        <w:t>tärkeitä keskinäisen ymmärryksen ja talouskasvun mahdollistavia tekijöitä</w:t>
      </w:r>
      <w:r>
        <w:rPr>
          <w:rFonts w:ascii="Times New Roman" w:hAnsi="Times New Roman"/>
          <w:noProof/>
          <w:sz w:val="24"/>
        </w:rPr>
        <w:t>. Vuodesta 2014 lähtien eri ohjelmi</w:t>
      </w:r>
      <w:r>
        <w:rPr>
          <w:rFonts w:ascii="Times New Roman" w:hAnsi="Times New Roman"/>
          <w:noProof/>
          <w:sz w:val="24"/>
        </w:rPr>
        <w:t>sta on rahoitettu yli 18 000 opiskelijan, tutkijan ja työntekijän liikkuvuutta. EU:n olisi lisättävä opiskelija- ja tutkijavaihtoa Aasian maiden kanssa Erasmus-ohjelman, Marie Skłodowska-Curie </w:t>
      </w:r>
      <w:r>
        <w:rPr>
          <w:noProof/>
        </w:rPr>
        <w:noBreakHyphen/>
      </w:r>
      <w:r>
        <w:rPr>
          <w:rFonts w:ascii="Times New Roman" w:hAnsi="Times New Roman"/>
          <w:noProof/>
          <w:sz w:val="24"/>
        </w:rPr>
        <w:t>toimien, tutkintotodistusten vastavuoroisen tunnustamisen sekä</w:t>
      </w:r>
      <w:r>
        <w:rPr>
          <w:rFonts w:ascii="Times New Roman" w:hAnsi="Times New Roman"/>
          <w:noProof/>
          <w:sz w:val="24"/>
        </w:rPr>
        <w:t xml:space="preserve"> tutkijoiden ja innovoijien alueellisten vaihto-ohjelmien avulla. EU:n olisi edistettävä kaupunkien välistä yhteistyötä, kuten EU:n kulttuuripääkaupunkien ja niiden aasialaisten vastineiden vuorovaikutusta, sekä lisättävä taiteilijoiden liikkuvuutta ja urh</w:t>
      </w:r>
      <w:r>
        <w:rPr>
          <w:rFonts w:ascii="Times New Roman" w:hAnsi="Times New Roman"/>
          <w:noProof/>
          <w:sz w:val="24"/>
        </w:rPr>
        <w:t>eilun saralla tehtävää yhteistyötä.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Keskeiset toimet – 3 luku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4B74" w:rsidRDefault="0048754F">
            <w:p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Komissio aikoo</w:t>
            </w:r>
          </w:p>
          <w:p w:rsidR="004C4B74" w:rsidRDefault="004C4B74">
            <w:p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kehittää menetelmän, jolla voidaan arvioida kestävien yhteyksien tasoa Euroopan ja Aasian välillä ja niiden taloudellista vaikutusta EU:ssa ja sen eri alueilla</w:t>
            </w: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edistää tulliala</w:t>
            </w:r>
            <w:r>
              <w:rPr>
                <w:rFonts w:ascii="Times New Roman" w:hAnsi="Times New Roman"/>
                <w:i/>
                <w:noProof/>
                <w:sz w:val="24"/>
              </w:rPr>
              <w:t>a ja digitaalisia liikennekäytäviä koskevaa tiedonvaihtoa sekä arvioida riskejä</w:t>
            </w: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käydä lentoliikennesopimuksia koskevia neuvotteluja Kaakkois-Aasian maiden liiton (ASEAN), Azerbaidžanin, Turkin ja Qatarin kanssa sekä allekirjoittaa kahdenväliset lentoliiken</w:t>
            </w:r>
            <w:r>
              <w:rPr>
                <w:rFonts w:ascii="Times New Roman" w:hAnsi="Times New Roman"/>
                <w:i/>
                <w:noProof/>
                <w:sz w:val="24"/>
              </w:rPr>
              <w:t>teen turvallisuussopimukset Kiinan ja Japanin kanssa</w:t>
            </w: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edistää vähähiiliseen liikenteeseen siirtymistä koskevia sopimuksia kansainvälisillä foorumeilla, etenkin ilmailu- ja meriliikennealalla</w:t>
            </w: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edistää Aasian ja Mustanmeren maiden meriliikenteen </w:t>
            </w:r>
            <w:r>
              <w:rPr>
                <w:rFonts w:ascii="Times New Roman" w:hAnsi="Times New Roman"/>
                <w:i/>
                <w:noProof/>
                <w:sz w:val="24"/>
              </w:rPr>
              <w:t>digitalisaatiota ja hallintomenettelyjen yksinkertaistamista sekä Rotterdamin sääntöjen soveltamista</w:t>
            </w:r>
          </w:p>
          <w:p w:rsidR="004C4B74" w:rsidRDefault="0048754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selvittää mahdollisuutta laajentaa EU:n TEN-T-käytävistä vastaavien koordinaattorien toimeksiantoa kattamaan myös laajentumisprosessissa mukana olevat ja n</w:t>
            </w:r>
            <w:r>
              <w:rPr>
                <w:rFonts w:ascii="Times New Roman" w:hAnsi="Times New Roman"/>
                <w:i/>
                <w:noProof/>
                <w:sz w:val="24"/>
              </w:rPr>
              <w:t>aapuruuspolitiikan piiriin kuuluvat maat suunnitteilla olevan, vuoteen 2023 mennessä tehtävän TEN-T-asetuksen uudelleentarkastelun yhteydessä</w:t>
            </w:r>
          </w:p>
          <w:p w:rsidR="004C4B74" w:rsidRDefault="0048754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edistää tulevaisuuden teknologian, kuten tekoälyn, eettistä käyttöä koskevia normeja ja valtioiden vastuullisia to</w:t>
            </w:r>
            <w:r>
              <w:rPr>
                <w:rFonts w:ascii="Times New Roman" w:hAnsi="Times New Roman"/>
                <w:i/>
                <w:noProof/>
                <w:sz w:val="24"/>
              </w:rPr>
              <w:t>imintatapoja verkossa</w:t>
            </w:r>
          </w:p>
          <w:p w:rsidR="004C4B74" w:rsidRDefault="0048754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edistää Aasiassa Erasmus- ja Marie Skłodowska-Curie </w:t>
            </w:r>
            <w:r>
              <w:rPr>
                <w:noProof/>
              </w:rPr>
              <w:noBreakHyphen/>
            </w:r>
            <w:r>
              <w:rPr>
                <w:rFonts w:ascii="Times New Roman" w:hAnsi="Times New Roman"/>
                <w:i/>
                <w:noProof/>
                <w:sz w:val="24"/>
              </w:rPr>
              <w:t>toimia ja niihin liittyviä vastavuoroisia järjestelyjä vaihto- ja liikkuvuusmahdollisuuksien lisäämiseksi.</w:t>
            </w:r>
          </w:p>
          <w:p w:rsidR="004C4B74" w:rsidRDefault="004C4B74">
            <w:pPr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C4B74" w:rsidRDefault="004C4B7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C4B7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C4B7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C4B7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C4B7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Kestäviä yhteyksiä koskevien kansainvälisten kumppanuuksien luomine</w:t>
      </w:r>
      <w:r>
        <w:rPr>
          <w:rFonts w:ascii="Times New Roman" w:hAnsi="Times New Roman"/>
          <w:b/>
          <w:noProof/>
          <w:sz w:val="24"/>
        </w:rPr>
        <w:t>n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Kestäviä yhteyksiä koskevaan yhteistyöhön vaikuttavat </w:t>
      </w:r>
      <w:r>
        <w:rPr>
          <w:rFonts w:ascii="Times New Roman" w:hAnsi="Times New Roman"/>
          <w:b/>
          <w:noProof/>
          <w:sz w:val="24"/>
        </w:rPr>
        <w:t>monet eri toimijat</w:t>
      </w:r>
      <w:r>
        <w:rPr>
          <w:rFonts w:ascii="Times New Roman" w:hAnsi="Times New Roman"/>
          <w:noProof/>
          <w:sz w:val="24"/>
        </w:rPr>
        <w:t xml:space="preserve"> ja vuorovaikutussuhteet.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 Voidakseen edistää yhteyksiä tehokkaasti EU:n olisi vahvistettava nykyisiä ja luotava uusia kahdenvälisiä, alueellisia ja kansainvälisiä kumppanuuksia, jotka ovat kestäviä, avoimia, osallistavia ja sääntöihin perustuvia. </w:t>
      </w: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Kahdenvälinen yhteistyö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 on Aasian maille merkittävä </w:t>
      </w:r>
      <w:r>
        <w:rPr>
          <w:rFonts w:ascii="Times New Roman" w:hAnsi="Times New Roman"/>
          <w:b/>
          <w:noProof/>
          <w:sz w:val="24"/>
        </w:rPr>
        <w:t>kehitys- ja investointiyhteistyökumppani</w:t>
      </w:r>
      <w:r>
        <w:rPr>
          <w:rFonts w:ascii="Times New Roman" w:hAnsi="Times New Roman"/>
          <w:noProof/>
          <w:sz w:val="24"/>
        </w:rPr>
        <w:t xml:space="preserve">. Kehitysasioita koskevissa vuoropuheluissa käsitellään myös investointeja ja kestäviä yhteyksiä, ja niissä olisi huomioitava myös mahdollinen yhteistyö kolmansien maiden kanssa. EU ja </w:t>
      </w:r>
      <w:r>
        <w:rPr>
          <w:rFonts w:ascii="Times New Roman" w:hAnsi="Times New Roman"/>
          <w:noProof/>
          <w:sz w:val="24"/>
        </w:rPr>
        <w:t>sen aasialaiset kumppanit voisivat kehittää yhteistyötään parantaakseen alan sääntely-ympäristöä ja julkista varainhoitoa sekä saadakseen paikallisia voimavaroja laajemmin käyttöön. EU aikoo lisäksi tarjota tukea (esimerkiksi teknistä apua) suunnitteluvalm</w:t>
      </w:r>
      <w:r>
        <w:rPr>
          <w:rFonts w:ascii="Times New Roman" w:hAnsi="Times New Roman"/>
          <w:noProof/>
          <w:sz w:val="24"/>
        </w:rPr>
        <w:t xml:space="preserve">iuksien parantamiseksi sekä sellaisten hankkeiden, politiikkojen ja sääntelyjärjestelmien kehittämiseksi ja toteuttamiseksi, jotka koskevat kestäviä yhteyksiä ja perustuvat kansainvälisiin normeihin ja hyviin käytäntöihin.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Yksittäisten maiden kanssa tehtä</w:t>
      </w:r>
      <w:r>
        <w:rPr>
          <w:rFonts w:ascii="Times New Roman" w:hAnsi="Times New Roman"/>
          <w:noProof/>
          <w:sz w:val="24"/>
        </w:rPr>
        <w:t>vä kahdenvälinen yhteistyö olisi mukautettava kunkin maan tilanteeseen. Esimerkiksi Kiinan kanssa EU:n olisi vahvistettava nykyistä infrastruktuuri- ja kehitysyhteistyöaloitteisiin liittyvää yhteistyötä, edistettävä markkinoille pääsyn ja tasapuolisten toi</w:t>
      </w:r>
      <w:r>
        <w:rPr>
          <w:rFonts w:ascii="Times New Roman" w:hAnsi="Times New Roman"/>
          <w:noProof/>
          <w:sz w:val="24"/>
        </w:rPr>
        <w:t>mintaedellytysten periaatteiden noudattamista sekä noudatettava yhteyksiä koskevissa aloitteissa kansainvälisiä normeja. Japanin kanssa EU:n olisi puolestaan koordinoitava tiiviisti kansainvälisten normien ja Aasian alueellisen yhteistyön kehittämistoimia,</w:t>
      </w:r>
      <w:r>
        <w:rPr>
          <w:rFonts w:ascii="Times New Roman" w:hAnsi="Times New Roman"/>
          <w:noProof/>
          <w:sz w:val="24"/>
        </w:rPr>
        <w:t xml:space="preserve"> erityisesti aktivoimalla EU:n ja Japanin välistä liikennealan vuoropuhelua. Kaakkois-Aasiassa EU:n olisi jatkettava Singaporen kanssa vuonna 2011 aloitettua liikennealan vuoropuhelua.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EU:n olisi samalla myös lisättävä kestäviä yhteyksiä koskevaa vuoropuhe</w:t>
      </w:r>
      <w:r>
        <w:rPr>
          <w:rFonts w:ascii="Times New Roman" w:hAnsi="Times New Roman"/>
          <w:noProof/>
          <w:sz w:val="24"/>
        </w:rPr>
        <w:t>lua muiden kumppaniensa, kuten Afganistanin, Intian, Indonesian, Iranin, Pakistanin, Venäjän, Etelä-Korean, Turkin ja Keski-Aasian maiden sekä Australian ja Yhdysvaltojen kanssa.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Kestävät yhteydet</w:t>
            </w:r>
          </w:p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ja EU:n laajentumis- ja naapuruuspolitiikka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4C4B74" w:rsidRDefault="0048754F">
            <w:pPr>
              <w:spacing w:after="20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Yhteydet ovat</w:t>
            </w:r>
            <w:r>
              <w:rPr>
                <w:rFonts w:ascii="Times New Roman" w:hAnsi="Times New Roman"/>
                <w:noProof/>
                <w:sz w:val="24"/>
              </w:rPr>
              <w:t xml:space="preserve"> tärkeä osa EU:n laajentumis- ja naapuruuspolitiikkaa. Kun näiden politiikkojen piiriin kuuluvat valtiot lähentävät tai yhdenmukaistavat lähestymistapaansa EU:n lähestymistavan kanssa, kestävät yhteydet tulevat vähitellen osaksi maiden lainsäädäntöä. </w:t>
            </w:r>
          </w:p>
          <w:p w:rsidR="004C4B74" w:rsidRDefault="0048754F">
            <w:pPr>
              <w:spacing w:after="20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</w:t>
            </w:r>
            <w:r>
              <w:rPr>
                <w:rFonts w:ascii="Times New Roman" w:hAnsi="Times New Roman"/>
                <w:noProof/>
                <w:sz w:val="24"/>
              </w:rPr>
              <w:t>ssio on EU:n uuden Länsi-Balkanin-politiikan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20"/>
            </w:r>
            <w:r>
              <w:rPr>
                <w:rFonts w:ascii="Times New Roman" w:hAnsi="Times New Roman"/>
                <w:noProof/>
                <w:sz w:val="24"/>
              </w:rPr>
              <w:t xml:space="preserve"> yhteydessä käynnistänyt hiljattain lippulaiva-aloitteita, joilla pyritään lisäämään verkkojen yhteenliittämistä ja tukemaan digitaalistrategian toteuttamista alueella. Sofian julistuksessa, joka hyväksyttiin to</w:t>
            </w:r>
            <w:r>
              <w:rPr>
                <w:rFonts w:ascii="Times New Roman" w:hAnsi="Times New Roman"/>
                <w:noProof/>
                <w:sz w:val="24"/>
              </w:rPr>
              <w:t>ukokuussa 2018 järjestetyssä EU:n ja Länsi-Balkanin huippukokouksessa, luvataan lisätä merkittävästi kaikentyyppisiä yhteyksiä niin liikenneverkkojen, energiaverkkojen, digitaalisten verkkojen kuin ihmistenkin välillä.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21"/>
            </w:r>
            <w:r>
              <w:rPr>
                <w:rStyle w:val="FootnoteReference"/>
                <w:noProof/>
              </w:rPr>
              <w:t>.</w:t>
            </w:r>
            <w:r>
              <w:rPr>
                <w:rFonts w:ascii="Times New Roman" w:hAnsi="Times New Roman"/>
                <w:noProof/>
                <w:sz w:val="24"/>
              </w:rPr>
              <w:t xml:space="preserve"> Itäisen kumppanuuden maiden kanssa </w:t>
            </w:r>
            <w:r>
              <w:rPr>
                <w:rFonts w:ascii="Times New Roman" w:hAnsi="Times New Roman"/>
                <w:noProof/>
                <w:sz w:val="24"/>
              </w:rPr>
              <w:t xml:space="preserve">on hiljattain sitouduttu digitaalitaloutta koskevan yhteistyön lisäämiseen ja parhaillaan laaditaan liikennealan investointeja koskevaa toimintasuunnitelmaa. </w:t>
            </w:r>
          </w:p>
          <w:p w:rsidR="004C4B74" w:rsidRDefault="0048754F">
            <w:pPr>
              <w:spacing w:after="20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Komissio aikoo varmistaa, että kestävät yhteydet otetaan laajemmin huomioon EU:n laajentumis- ja </w:t>
            </w:r>
            <w:r>
              <w:rPr>
                <w:rFonts w:ascii="Times New Roman" w:hAnsi="Times New Roman"/>
                <w:noProof/>
                <w:sz w:val="24"/>
              </w:rPr>
              <w:t>naapuruuspolitiikassa. Lisäksi komissio edistää alan tekniikan ja sääntelyn yhdenmukaistamista. Komissio aikoo myös tukea edelleen julkisia hankintoja koskevan lainsäädännön täytäntöönpanoa sekä edistää avoimuutta ja hyviä käytäntöjä.</w:t>
            </w: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Alueellinen yhteist</w:t>
      </w:r>
      <w:r>
        <w:rPr>
          <w:rFonts w:ascii="Times New Roman" w:hAnsi="Times New Roman"/>
          <w:b/>
          <w:noProof/>
          <w:sz w:val="24"/>
        </w:rPr>
        <w:t>yö</w:t>
      </w:r>
      <w:r>
        <w:rPr>
          <w:rFonts w:ascii="Times New Roman" w:hAnsi="Times New Roman"/>
          <w:noProof/>
          <w:sz w:val="24"/>
        </w:rPr>
        <w:t xml:space="preserve">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EU:lla on kokemusta alueellisten yhteistyörakenteiden luomisesta esimerkiksi Itämeren alueella. EU:n olisi yhdessä kumppanimaidensa sekä kansainvälisten organisaatioiden ja rahoituslaitosten kanssa harkittava </w:t>
      </w:r>
      <w:r>
        <w:rPr>
          <w:rFonts w:ascii="Times New Roman" w:hAnsi="Times New Roman"/>
          <w:b/>
          <w:noProof/>
          <w:sz w:val="24"/>
        </w:rPr>
        <w:t>yhteyksiä koskevan alueellisen yhteistyön t</w:t>
      </w:r>
      <w:r>
        <w:rPr>
          <w:rFonts w:ascii="Times New Roman" w:hAnsi="Times New Roman"/>
          <w:b/>
          <w:noProof/>
          <w:sz w:val="24"/>
        </w:rPr>
        <w:t>oimintatapojen</w:t>
      </w:r>
      <w:r>
        <w:rPr>
          <w:rFonts w:ascii="Times New Roman" w:hAnsi="Times New Roman"/>
          <w:noProof/>
          <w:sz w:val="24"/>
        </w:rPr>
        <w:t xml:space="preserve"> kehittämistä Aasiassa sekä analysoitava yhteyksiin liittyviä toimia tietyillä alueilla, yhteyksien puutteita sekä EU:n ja Aasian välisiä yhteyksiä tukevan yhteistyön mahdollisuuksia.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Aasiassa on useita kansainvälisiä organisaatioita ja mekan</w:t>
      </w:r>
      <w:r>
        <w:rPr>
          <w:rFonts w:ascii="Times New Roman" w:hAnsi="Times New Roman"/>
          <w:noProof/>
          <w:sz w:val="24"/>
        </w:rPr>
        <w:t>ismeja, joiden toiminta liittyy myös yhteyksiin.</w:t>
      </w:r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r>
        <w:rPr>
          <w:rFonts w:ascii="Times New Roman" w:hAnsi="Times New Roman"/>
          <w:noProof/>
          <w:sz w:val="24"/>
        </w:rPr>
        <w:t xml:space="preserve"> EU tekee näiden organisaatioiden kanssa yhteistyötä eri tavoin ja ottaa tällöin huomioon niiden toiminnot ja toimien laajuuden. ASEM on keskeinen foorumi yhteistyölle EU:n tärkeimpien aasialaiskumppanien ka</w:t>
      </w:r>
      <w:r>
        <w:rPr>
          <w:rFonts w:ascii="Times New Roman" w:hAnsi="Times New Roman"/>
          <w:noProof/>
          <w:sz w:val="24"/>
        </w:rPr>
        <w:t>nssa. EU:n olisi jatkossakin vahvistettava yhteistyötään ASEANin kanssa, sillä ASEAN on yhteyksien kannalta keskeinen toimija Kaakkois-Aasiassa. EU:n olisi myös tuettava ASEANin vuoteen 2025 ulottuvaa yhteyksiä koskevaa yleissuunnitelmaa (</w:t>
      </w:r>
      <w:r>
        <w:rPr>
          <w:rFonts w:ascii="Times New Roman" w:hAnsi="Times New Roman"/>
          <w:i/>
          <w:noProof/>
          <w:sz w:val="24"/>
        </w:rPr>
        <w:t>Master Plan on AS</w:t>
      </w:r>
      <w:r>
        <w:rPr>
          <w:rFonts w:ascii="Times New Roman" w:hAnsi="Times New Roman"/>
          <w:i/>
          <w:noProof/>
          <w:sz w:val="24"/>
        </w:rPr>
        <w:t>EAN Connectivity 2025</w:t>
      </w:r>
      <w:r>
        <w:rPr>
          <w:rFonts w:ascii="Times New Roman" w:hAnsi="Times New Roman"/>
          <w:noProof/>
          <w:sz w:val="24"/>
        </w:rPr>
        <w:t>) ja siihen sisältyvien normien yhdenmukaistamista muun muassa käynnissä olevan liikennealan vuoropuhelun puitteissa.</w:t>
      </w:r>
      <w:r>
        <w:rPr>
          <w:rStyle w:val="FootnoteReference"/>
          <w:rFonts w:ascii="Times New Roman" w:hAnsi="Times New Roman"/>
          <w:noProof/>
          <w:sz w:val="24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EU:n olisi myös edistettävä kestäviä yhteyksiä koskevaa alueellista yhteistyötä keskeisenä osana Keski-Aasian strate</w:t>
      </w:r>
      <w:r>
        <w:rPr>
          <w:rFonts w:ascii="Times New Roman" w:hAnsi="Times New Roman"/>
          <w:noProof/>
          <w:sz w:val="24"/>
        </w:rPr>
        <w:t>giaansa.</w:t>
      </w: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Kansainvälinen yhteistyö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Kansainvälinen yhteistyö on keskeistä, kun yhteyksien oikeudellisista kehyksistä ja konkreettisista muodoista päätetään. Yhteistyö on tärkeää myös sen varmistamiseksi, että kehykset ovat yhä kestävämpiä. Tästä voidaan </w:t>
      </w:r>
      <w:r>
        <w:rPr>
          <w:rFonts w:ascii="Times New Roman" w:hAnsi="Times New Roman"/>
          <w:noProof/>
          <w:sz w:val="24"/>
        </w:rPr>
        <w:t>mainita hyvänä esimerkkinä EU:n hiljattain toteuttama valtamerten hallinnointia koskeva aloite.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47"/>
      </w:tblGrid>
      <w:tr w:rsidR="004C4B74">
        <w:trPr>
          <w:trHeight w:val="128"/>
        </w:trPr>
        <w:tc>
          <w:tcPr>
            <w:tcW w:w="9047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Valtamerten hallinnointi</w:t>
            </w:r>
          </w:p>
        </w:tc>
      </w:tr>
      <w:tr w:rsidR="004C4B74">
        <w:trPr>
          <w:trHeight w:val="1467"/>
        </w:trPr>
        <w:tc>
          <w:tcPr>
            <w:tcW w:w="9047" w:type="dxa"/>
          </w:tcPr>
          <w:p w:rsidR="004C4B74" w:rsidRDefault="004C4B7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4C4B74" w:rsidRDefault="004875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EU on sitoutunut tukemaan merenkulun vapautta sekä merten ja valtamerten kestävää hallinnointia. Marraskuussa 2016 annetussa </w:t>
            </w:r>
            <w:r>
              <w:rPr>
                <w:rFonts w:ascii="Times New Roman" w:hAnsi="Times New Roman"/>
                <w:noProof/>
              </w:rPr>
              <w:t>yhteisessä tiedonannossa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24"/>
            </w:r>
            <w:r>
              <w:rPr>
                <w:rFonts w:ascii="Times New Roman" w:hAnsi="Times New Roman"/>
                <w:noProof/>
              </w:rPr>
              <w:t xml:space="preserve"> ehdotettiin 50:tä toimea valtamerten turvallisuuden, puhtauden ja kestävän hoidon varmistamiseksi sekä valtamerikumppanuuksien solmimista keskeisten toimijoiden kanssa. Yhdessä Maailmanpankin kanssa EU loi sinisen talouden kehittä</w:t>
            </w:r>
            <w:r>
              <w:rPr>
                <w:rFonts w:ascii="Times New Roman" w:hAnsi="Times New Roman"/>
                <w:noProof/>
              </w:rPr>
              <w:t xml:space="preserve">miskehyksen, joka auttaa rannikkovaltioita, </w:t>
            </w:r>
            <w:r>
              <w:rPr>
                <w:noProof/>
              </w:rPr>
              <w:noBreakHyphen/>
            </w:r>
            <w:r>
              <w:rPr>
                <w:rFonts w:ascii="Times New Roman" w:hAnsi="Times New Roman"/>
                <w:noProof/>
              </w:rPr>
              <w:t xml:space="preserve">alueita ja </w:t>
            </w:r>
            <w:r>
              <w:rPr>
                <w:noProof/>
              </w:rPr>
              <w:noBreakHyphen/>
            </w:r>
            <w:r>
              <w:rPr>
                <w:rFonts w:ascii="Times New Roman" w:hAnsi="Times New Roman"/>
                <w:noProof/>
              </w:rPr>
              <w:t xml:space="preserve">yhteisöjä siirtymään siniseen talouteen. Kehyksen avulla perustetaan julkisen ja yksityisen sektorin investointikumppanuuksille rahoituslähteiden yhdistämismekanismi yli 30 vuoden ajaksi. </w:t>
            </w: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Kansainv</w:t>
      </w:r>
      <w:r>
        <w:rPr>
          <w:rFonts w:ascii="Times New Roman" w:hAnsi="Times New Roman"/>
          <w:noProof/>
          <w:sz w:val="24"/>
        </w:rPr>
        <w:t>äliset organisaatiot</w:t>
      </w:r>
      <w:r>
        <w:rPr>
          <w:rStyle w:val="FootnoteReference"/>
          <w:rFonts w:ascii="Times New Roman" w:hAnsi="Times New Roman"/>
          <w:noProof/>
          <w:sz w:val="24"/>
        </w:rPr>
        <w:footnoteReference w:id="25"/>
      </w:r>
      <w:r>
        <w:rPr>
          <w:rFonts w:ascii="Times New Roman" w:hAnsi="Times New Roman"/>
          <w:noProof/>
          <w:sz w:val="24"/>
        </w:rPr>
        <w:t xml:space="preserve"> laativat </w:t>
      </w:r>
      <w:r>
        <w:rPr>
          <w:rFonts w:ascii="Times New Roman" w:hAnsi="Times New Roman"/>
          <w:b/>
          <w:noProof/>
          <w:sz w:val="24"/>
        </w:rPr>
        <w:t>kansainvälisiä sopimuksia ja standardeja</w:t>
      </w:r>
      <w:r>
        <w:rPr>
          <w:rFonts w:ascii="Times New Roman" w:hAnsi="Times New Roman"/>
          <w:noProof/>
          <w:sz w:val="24"/>
        </w:rPr>
        <w:t>, joiden täytäntöönpano ja tunnustaminen on välttämätön edellytys ilmastonmuutoksen ja ympäristön pilaantumisen torjunnalle, markkinoille pääsyn sekä vapaan ja tasapuolisen kaupan edist</w:t>
      </w:r>
      <w:r>
        <w:rPr>
          <w:rFonts w:ascii="Times New Roman" w:hAnsi="Times New Roman"/>
          <w:noProof/>
          <w:sz w:val="24"/>
        </w:rPr>
        <w:t xml:space="preserve">ämiselle ja </w:t>
      </w:r>
      <w:r>
        <w:rPr>
          <w:rFonts w:ascii="Times New Roman" w:hAnsi="Times New Roman"/>
          <w:b/>
          <w:noProof/>
          <w:sz w:val="24"/>
        </w:rPr>
        <w:t>verkkojen yhteentoimivuuden</w:t>
      </w:r>
      <w:r>
        <w:rPr>
          <w:rFonts w:ascii="Times New Roman" w:hAnsi="Times New Roman"/>
          <w:noProof/>
          <w:sz w:val="24"/>
        </w:rPr>
        <w:t xml:space="preserve"> varmistamiselle.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 xml:space="preserve"> Yhteiset kansainväliset standardit mahdollistavat tekniikan yhdenmukaistamisen ja siten eri verkkojen yhteentoimivuuden.</w:t>
      </w:r>
      <w:r>
        <w:rPr>
          <w:rFonts w:ascii="Times New Roman" w:hAnsi="Times New Roman"/>
          <w:b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Kansainväliset ja eurooppalaiset standardointiorganisaatiot</w:t>
      </w:r>
      <w:r>
        <w:rPr>
          <w:rStyle w:val="FootnoteReference"/>
          <w:rFonts w:ascii="Times New Roman" w:hAnsi="Times New Roman"/>
          <w:noProof/>
          <w:sz w:val="24"/>
        </w:rPr>
        <w:footnoteReference w:id="27"/>
      </w:r>
      <w:r>
        <w:rPr>
          <w:rFonts w:ascii="Times New Roman" w:hAnsi="Times New Roman"/>
          <w:noProof/>
          <w:sz w:val="24"/>
        </w:rPr>
        <w:t xml:space="preserve"> ovat EU:lle tärk</w:t>
      </w:r>
      <w:r>
        <w:rPr>
          <w:rFonts w:ascii="Times New Roman" w:hAnsi="Times New Roman"/>
          <w:noProof/>
          <w:sz w:val="24"/>
        </w:rPr>
        <w:t>eitä kumppaneita, jotka auttavat varmistamaan tekniikan yhdenmukaistamisen Euroopassa ja Aasiassa laatimalla teollisuusvetoisista aloitteista konsensukseen perustuvia standardeja. Komissio aikoo selvittää näiden organisaatioiden ja asiaankuuluvien alojen t</w:t>
      </w:r>
      <w:r>
        <w:rPr>
          <w:rFonts w:ascii="Times New Roman" w:hAnsi="Times New Roman"/>
          <w:noProof/>
          <w:sz w:val="24"/>
        </w:rPr>
        <w:t>oimijoiden kanssa, onko tarvetta laatia yhteyksiä koskevia standardeja. Komissio aikoo laajentaa teknisen avun antamista ja sovittaa toimensa entistä paremmin yhteen kansainvälisten organisaatioiden ja ulkomaisten kumppaniensa kanssa, jotta voidaan yhdessä</w:t>
      </w:r>
      <w:r>
        <w:rPr>
          <w:rFonts w:ascii="Times New Roman" w:hAnsi="Times New Roman"/>
          <w:noProof/>
          <w:sz w:val="24"/>
        </w:rPr>
        <w:t xml:space="preserve"> varmistaa, että keskeiset kolmannet maat sitoutuvat standardeihin ja niiden laajempaan soveltamiseen. EU:n olisi yleisesti tehtävä aktiivisempaa yhteistyötä kansainvälisten organisaatioiden kanssa, vahvistettava ulkoista edustustaan ja osallistumistaan se</w:t>
      </w:r>
      <w:r>
        <w:rPr>
          <w:rFonts w:ascii="Times New Roman" w:hAnsi="Times New Roman"/>
          <w:noProof/>
          <w:sz w:val="24"/>
        </w:rPr>
        <w:t>kä parannettava toimiensa koordinointia muiden toimijoiden kanssa.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Keskeiset toimet – 4 luku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4B74" w:rsidRDefault="0048754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Komissio aikoo</w:t>
            </w:r>
          </w:p>
          <w:p w:rsidR="004C4B74" w:rsidRDefault="004C4B7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4C4B74" w:rsidRDefault="0048754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lisätä yhteistyötä asianomaisten kolmansien maiden kanssa muun muassa EU:n ja Kiinan yhteyskehyksen puitteissa edistääkseen digitaalitaloutta, tehokkaita liikenneyhteyksiä sekä älykästä, kestävää, turvallista ja varmaa liikkuvuutta laajentamalla TEN-T-verk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koa; lisäksi näin edistetään tasapuolisia toimintaedellytyksiä investointien alalla </w:t>
            </w:r>
          </w:p>
          <w:p w:rsidR="004C4B74" w:rsidRDefault="0048754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tukea kestäviä yhteyksiä politiikkaa ja kehitysasioita koskevissa vuoropuheluissa kolmansien maiden kanssa</w:t>
            </w:r>
          </w:p>
          <w:p w:rsidR="004C4B74" w:rsidRDefault="0048754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syventää yhteistyötään Aasian alueellisten organisaatioiden kans</w:t>
            </w:r>
            <w:r>
              <w:rPr>
                <w:rFonts w:ascii="Times New Roman" w:hAnsi="Times New Roman"/>
                <w:i/>
                <w:noProof/>
                <w:sz w:val="24"/>
              </w:rPr>
              <w:t>sa ja kokeilla uusia toimintatapoja, jotka koskevat yhteyksiä koskevaa alueellista yhteistyötä Aasiassa</w:t>
            </w:r>
          </w:p>
          <w:p w:rsidR="004C4B74" w:rsidRDefault="0048754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tehdä yhteistyötä eurooppalaisten ja kansainvälisten standardointiorganisaatioiden ja niiden kansallisten jäsenten kanssa tarvittavien teknisten standar</w:t>
            </w:r>
            <w:r>
              <w:rPr>
                <w:rFonts w:ascii="Times New Roman" w:hAnsi="Times New Roman"/>
                <w:i/>
                <w:noProof/>
                <w:sz w:val="24"/>
              </w:rPr>
              <w:t>dien tehokkaan ja yhteisen kehittämisen edistämiseksi esimerkiksi kohdennetun teknisen avun ja yhteistyön kautta</w:t>
            </w:r>
          </w:p>
          <w:p w:rsidR="004C4B74" w:rsidRDefault="0048754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tehdä yhteistyötä YK:n Euroopan talouskomission (UNECE) kanssa rautateiden tavarakuljetuksia koskevan oikeudellisen kehyksen yhtenäistämiseksi </w:t>
            </w:r>
            <w:r>
              <w:rPr>
                <w:rFonts w:ascii="Times New Roman" w:hAnsi="Times New Roman"/>
                <w:i/>
                <w:noProof/>
                <w:sz w:val="24"/>
              </w:rPr>
              <w:t>Euraasiassa sekä Valtioiden välisen kansainvälisten rautatiekuljetusten järjestön (OTIF) ja rautateiden yhteistyöjärjestön (OSJD) kanssa EU:n teknisten eritelmien ja turvallisuusjohtamisjärjestelmien soveltamisalan laajentamiseksi.</w:t>
            </w:r>
          </w:p>
          <w:p w:rsidR="004C4B74" w:rsidRDefault="004C4B74">
            <w:pPr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Enemmän ja parempia </w:t>
      </w:r>
      <w:r>
        <w:rPr>
          <w:rFonts w:ascii="Times New Roman" w:hAnsi="Times New Roman"/>
          <w:b/>
          <w:noProof/>
          <w:sz w:val="24"/>
        </w:rPr>
        <w:t>investointeja kestäviin yhteyksiin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Yhteyksiin investoidaan maailmanlaajuisesti liian vähän. Maailmanpankin selvityksen mukaan investointitarve on suhteellisesti suurin köyhimmissä maissa (keskimäärin 12,5 % BKT:sta). Myös infrastruktuurimenojen vaje on suu</w:t>
      </w:r>
      <w:r>
        <w:rPr>
          <w:rFonts w:ascii="Times New Roman" w:hAnsi="Times New Roman"/>
          <w:noProof/>
          <w:sz w:val="24"/>
        </w:rPr>
        <w:t>rin köyhimmissä maissa (7,5 % BKT:sta). Tämän merkittävän investointivajeen korjaamiseksi tarvitaan kokonaisvaltaista lähestymistapaa rahoitukseen. Tätä varten on saatava käyttöön enemmän kotimaisia varoja, kehitettävä infrastruktuurin käytölle parempia hi</w:t>
      </w:r>
      <w:r>
        <w:rPr>
          <w:rFonts w:ascii="Times New Roman" w:hAnsi="Times New Roman"/>
          <w:noProof/>
          <w:sz w:val="24"/>
        </w:rPr>
        <w:t>nnoittelumalleja ja parannettava sääntelykehyksiä. Tämä koskee myös Aasiaa, jossa alueelliset erot ovat suuria.</w:t>
      </w:r>
      <w:r>
        <w:rPr>
          <w:rStyle w:val="FootnoteReference"/>
          <w:rFonts w:ascii="Times New Roman" w:hAnsi="Times New Roman"/>
          <w:noProof/>
          <w:sz w:val="24"/>
        </w:rPr>
        <w:footnoteReference w:id="28"/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noProof/>
        </w:rPr>
        <w:t xml:space="preserve"> </w:t>
      </w: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Uudenlaista ja innovatiivista EU-rahoitusta yhteyksien lisäämiseen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Tämän tiedonannon tarkoituksena ei ole esittää investointiohjelmaa, vaikkakin EU:n nykyisistä ja tulevista rahoitusvälineistä voitaisiin saada näkökulmia yksityisten investointien tukemiseen erilaisissa yhteyshankkeissa.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EU:lla on vahvaa </w:t>
      </w:r>
      <w:r>
        <w:rPr>
          <w:rFonts w:ascii="Times New Roman" w:hAnsi="Times New Roman"/>
          <w:b/>
          <w:noProof/>
          <w:sz w:val="24"/>
        </w:rPr>
        <w:t>kokemusta ja näyt</w:t>
      </w:r>
      <w:r>
        <w:rPr>
          <w:rFonts w:ascii="Times New Roman" w:hAnsi="Times New Roman"/>
          <w:b/>
          <w:noProof/>
          <w:sz w:val="24"/>
        </w:rPr>
        <w:t>töä</w:t>
      </w:r>
      <w:r>
        <w:rPr>
          <w:rFonts w:ascii="Times New Roman" w:hAnsi="Times New Roman"/>
          <w:noProof/>
          <w:sz w:val="24"/>
        </w:rPr>
        <w:t xml:space="preserve"> yhteyksien taloudellisesta tukemisesta.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 xml:space="preserve"> Infrastruktuuri- ja yhteyshankkeisiin on annettu rahoitusta ja teknistä apua maantieteellisistä investointivälineistä, kuten naapuruuspolitiikan investointivälineestä, Keski-Aasian investointikehyksestä ja Aasia</w:t>
      </w:r>
      <w:r>
        <w:rPr>
          <w:rFonts w:ascii="Times New Roman" w:hAnsi="Times New Roman"/>
          <w:noProof/>
          <w:sz w:val="24"/>
        </w:rPr>
        <w:t>n investointivälineestä. Pelkästään Aasian investointivälineen ja Keski-Aasian investointikehyksen avulla on saatu vuodesta 2010 vuoden 2018 puoliväliin mennessä vivutettua yli 4,2 miljardin euron investoinnit yhdistämällä avustuksia ja lainoja.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 xml:space="preserve"> Myös Euro</w:t>
      </w:r>
      <w:r>
        <w:rPr>
          <w:rFonts w:ascii="Times New Roman" w:hAnsi="Times New Roman"/>
          <w:noProof/>
          <w:sz w:val="24"/>
        </w:rPr>
        <w:t>opan investointiohjelma tarjoaa konkreettisia mahdollisuuksia yhteisinvestointeihin Euroopassa.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Komissio on ehdottanut seuraavaan monivuotiseen rahoituskehykseen (2021–2027) useita innovatiivisia toimenpiteitä, jotka voisivat lisätä julkisia ja yksityisiä </w:t>
      </w:r>
      <w:r>
        <w:rPr>
          <w:rFonts w:ascii="Times New Roman" w:hAnsi="Times New Roman"/>
          <w:noProof/>
          <w:sz w:val="24"/>
        </w:rPr>
        <w:t>investointeja yhteyksien kehittämiseen. Komission ehdotukseen sisältyy erityisesti ulkoisen toiminnan investointikehys, joka perustuu nykyiseen Euroopan kestävän kehityksen rahastoon (EKKR)</w:t>
      </w:r>
      <w:r>
        <w:rPr>
          <w:rStyle w:val="FootnoteReference"/>
          <w:rFonts w:ascii="Times New Roman" w:hAnsi="Times New Roman"/>
          <w:noProof/>
          <w:sz w:val="24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 (EKKR on osa EU:n ulkoista investointiohjelmaa, ja sitä sovelleta</w:t>
      </w:r>
      <w:r>
        <w:rPr>
          <w:rFonts w:ascii="Times New Roman" w:hAnsi="Times New Roman"/>
          <w:noProof/>
          <w:sz w:val="24"/>
        </w:rPr>
        <w:t>an Afrikkaan ja naapuruuspolitiikan piiriin kuuluviin maihin). Investointikehyksen tarkoituksena on saada liikkeelle lisää julkista ja yksityistä pääomaa. Kehyksen ensisijaisia kohdealueita ovat Afrikka ja EU:n naapuruuspolitiikan piiriin kuuluvat maat, mu</w:t>
      </w:r>
      <w:r>
        <w:rPr>
          <w:rFonts w:ascii="Times New Roman" w:hAnsi="Times New Roman"/>
          <w:noProof/>
          <w:sz w:val="24"/>
        </w:rPr>
        <w:t xml:space="preserve">tta osa varoista kohdennetaan muille maantieteellisille alueille.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Komissio tukee myös kaikkia toimia, joilla pyritään entisestään tehostamaan EU:n ulkoisten investointien institutionaalista ja operatiivista kehystä ja sen toimintaa, jotta EU voisi vastata</w:t>
      </w:r>
      <w:r>
        <w:rPr>
          <w:rFonts w:ascii="Times New Roman" w:hAnsi="Times New Roman"/>
          <w:noProof/>
          <w:sz w:val="24"/>
        </w:rPr>
        <w:t xml:space="preserve"> suurimpiin investointihaasteisiinsa. Komission hiljattain antamassa tiedonannossa</w:t>
      </w:r>
      <w:r>
        <w:rPr>
          <w:rStyle w:val="FootnoteReference"/>
          <w:rFonts w:ascii="Times New Roman" w:hAnsi="Times New Roman"/>
          <w:noProof/>
          <w:sz w:val="24"/>
        </w:rPr>
        <w:footnoteReference w:id="32"/>
      </w:r>
      <w:r>
        <w:rPr>
          <w:rFonts w:ascii="Times New Roman" w:hAnsi="Times New Roman"/>
          <w:noProof/>
          <w:sz w:val="24"/>
        </w:rPr>
        <w:t xml:space="preserve"> korostetaan kansainvälisen yhteistyön tarvetta, jotta voitaisiin yhdistää useita rahoituslähteitä, erityisesti hankkimalla enemmän yksityisiä investointeja. Tiedonannossa p</w:t>
      </w:r>
      <w:r>
        <w:rPr>
          <w:rFonts w:ascii="Times New Roman" w:hAnsi="Times New Roman"/>
          <w:noProof/>
          <w:sz w:val="24"/>
        </w:rPr>
        <w:t>ainotetaan myös sitä, että nykyisiä välineitä, kuten Euroopan kestävän kehityksen rahastoa, on hyödynnettävä mahdollisimman tehokkaasti. Tiedonannossa kehotetaan keskeisiä kehitysrahoituksen alalla toimivia rahoituslaitoksia ja kehitysyhteistyöelimiä tekem</w:t>
      </w:r>
      <w:r>
        <w:rPr>
          <w:rFonts w:ascii="Times New Roman" w:hAnsi="Times New Roman"/>
          <w:noProof/>
          <w:sz w:val="24"/>
        </w:rPr>
        <w:t>ään tiiviimpää yhteistyötä.</w:t>
      </w: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Innovatiivinen kansainvälisen yhteistyön rahoitus </w:t>
            </w:r>
          </w:p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seuraavassa monivuotisessa rahoituskehyksessä (2021–2027)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4C4B74" w:rsidRDefault="0048754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Komissio antoi toukokuussa 2018 ehdotuksen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33"/>
            </w:r>
            <w:r>
              <w:rPr>
                <w:rFonts w:ascii="Times New Roman" w:hAnsi="Times New Roman"/>
                <w:noProof/>
              </w:rPr>
              <w:t xml:space="preserve"> EU:n seuraavasta monivuotisesta rahoituskehyksestä. Ehdotukseen sisälty</w:t>
            </w:r>
            <w:r>
              <w:rPr>
                <w:rFonts w:ascii="Times New Roman" w:hAnsi="Times New Roman"/>
                <w:noProof/>
              </w:rPr>
              <w:t>y toimenpiteitä, joilla pyritään edistämään investointeja muun muassa kestäviin yhteyksiin. Komissio ehdottaa uusia ulkoisten investointien puitteita, joiden maailmanlaajuista soveltamisalaa laajennettaisiin, myös Aasian osalta.</w:t>
            </w:r>
            <w:r>
              <w:rPr>
                <w:rStyle w:val="FootnoteReference"/>
                <w:rFonts w:ascii="Times New Roman" w:hAnsi="Times New Roman"/>
                <w:noProof/>
              </w:rPr>
              <w:footnoteReference w:id="34"/>
            </w:r>
            <w:r>
              <w:rPr>
                <w:rFonts w:ascii="Times New Roman" w:hAnsi="Times New Roman"/>
                <w:noProof/>
              </w:rPr>
              <w:t xml:space="preserve"> Aiempien kehysten tavoin u</w:t>
            </w:r>
            <w:r>
              <w:rPr>
                <w:rFonts w:ascii="Times New Roman" w:hAnsi="Times New Roman"/>
                <w:noProof/>
              </w:rPr>
              <w:t>usilla puitteilla pyritään saamaan käyttöön julkista ja yksityistä rahoitusta aiempaa paremman EU:n takuun avulla. Takuuta voidaan täydentää avustuksilla ja lainoilla. Jos uudet puitteet hyväksytään, niiden avulla voidaan edistää investointeja myös kestävi</w:t>
            </w:r>
            <w:r>
              <w:rPr>
                <w:rFonts w:ascii="Times New Roman" w:hAnsi="Times New Roman"/>
                <w:noProof/>
              </w:rPr>
              <w:t>in yhteyksiin. EU:n tutkimusbudjetin ehdotettu laajennus tukee siirtymistä kestävämpiin yhteyksiin.</w:t>
            </w: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EU:n olisi tiivistettävä yhteistyötään </w:t>
      </w:r>
      <w:r>
        <w:rPr>
          <w:rFonts w:ascii="Times New Roman" w:hAnsi="Times New Roman"/>
          <w:b/>
          <w:noProof/>
          <w:sz w:val="24"/>
        </w:rPr>
        <w:t>EU:n jäsenvaltioiden julkisten ja yksityisten rahoituslaitosten, myös valtion sijoitusyhtiöiden</w:t>
      </w:r>
      <w:r>
        <w:rPr>
          <w:rFonts w:ascii="Times New Roman" w:hAnsi="Times New Roman"/>
          <w:noProof/>
          <w:sz w:val="24"/>
        </w:rPr>
        <w:t>, kanssa ja pyrittäv</w:t>
      </w:r>
      <w:r>
        <w:rPr>
          <w:rFonts w:ascii="Times New Roman" w:hAnsi="Times New Roman"/>
          <w:noProof/>
          <w:sz w:val="24"/>
        </w:rPr>
        <w:t>ä tiiviimmin suunnittelemaan ja toteuttamaan yhteistoimia niiden kanssa. Kestävän rahoituksen edistämiseksi EU:n ja eurooppalaisten luottolaitosten olisi myös parannettava vuoropuheluaan kolmansien maiden julkisten ja yksityisten rahoituslaitosten kanssa k</w:t>
      </w:r>
      <w:r>
        <w:rPr>
          <w:rFonts w:ascii="Times New Roman" w:hAnsi="Times New Roman"/>
          <w:noProof/>
          <w:sz w:val="24"/>
        </w:rPr>
        <w:t>estävän kasvun rahoitusta koskevan toimintasuunnitelman</w:t>
      </w:r>
      <w:r>
        <w:rPr>
          <w:rStyle w:val="FootnoteReference"/>
          <w:rFonts w:ascii="Times New Roman" w:hAnsi="Times New Roman"/>
          <w:noProof/>
          <w:sz w:val="24"/>
        </w:rPr>
        <w:footnoteReference w:id="35"/>
      </w:r>
      <w:r>
        <w:rPr>
          <w:rFonts w:ascii="Times New Roman" w:hAnsi="Times New Roman"/>
          <w:noProof/>
          <w:sz w:val="24"/>
        </w:rPr>
        <w:t xml:space="preserve"> mukaisesti. Toimintasuunnitelma luo pohjan kansainvälisillä foorumeilla käytävälle keskustelulle, ja sen tavoitteena on edistää rahoitusjärjestelmien kestävämpää hallinnointia. Komissio tukee kestävä</w:t>
      </w:r>
      <w:r>
        <w:rPr>
          <w:rFonts w:ascii="Times New Roman" w:hAnsi="Times New Roman"/>
          <w:noProof/>
          <w:sz w:val="24"/>
        </w:rPr>
        <w:t>ä rahoitusta koskevaa yhteistyötä ja hyvien käytäntöjen vaihtamista eurooppalaisten pankkien, myös julkisten pankkien, ja EU:n ulkopuolisten maiden pankkien välillä. Komissio tukee myös yritysten yhteiskuntavastuuta koskevia aloitteita, jotta yhteyksiin li</w:t>
      </w:r>
      <w:r>
        <w:rPr>
          <w:rFonts w:ascii="Times New Roman" w:hAnsi="Times New Roman"/>
          <w:noProof/>
          <w:sz w:val="24"/>
        </w:rPr>
        <w:t>ittyvien hankkeiden rahoituksessa noudatettaisiin kansainvälisiä normeja. EU tukee G7- ja G20-ryhmän sekä OECD:n prosesseja, joilla pyritään saattamaan julkisten rahoituslaitosten luotonantokäytännöt kestävien yhteyksien periaatteiden mukaisiksi.</w:t>
      </w: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Kansainvä</w:t>
      </w:r>
      <w:r>
        <w:rPr>
          <w:rFonts w:ascii="Times New Roman" w:hAnsi="Times New Roman"/>
          <w:b/>
          <w:noProof/>
          <w:sz w:val="24"/>
        </w:rPr>
        <w:t>liset rahoituskumppanuudet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Kansainväliset rahoituslaitokset ja kansainväliset kehityspankit</w:t>
      </w:r>
      <w:r>
        <w:rPr>
          <w:rFonts w:ascii="Times New Roman" w:hAnsi="Times New Roman"/>
          <w:noProof/>
          <w:sz w:val="24"/>
        </w:rPr>
        <w:t xml:space="preserve"> ovat keskeinen osa järjestelmää, joka rahoittaa yhteyksien parantamista maailmanlaajuisesti. Euroopan investointipankki (EIP) EU:n pankkina ja investointikumppanina</w:t>
      </w:r>
      <w:r>
        <w:rPr>
          <w:rFonts w:ascii="Times New Roman" w:hAnsi="Times New Roman"/>
          <w:noProof/>
          <w:sz w:val="24"/>
        </w:rPr>
        <w:t xml:space="preserve"> sekä Euroopan jälleenrakennus- ja kehityspankki (EBRD) ovat laajentaneet luotonantoaan. Tämä avaa uusia yhteistyömahdollisuuksia. Kansainvälinen valuuttarahasto (IMF) ja Maailmanpankki ovat EU:n keskeisiä kumppaneita velkakestävyyttä ja yhteyksiä koskevas</w:t>
      </w:r>
      <w:r>
        <w:rPr>
          <w:rFonts w:ascii="Times New Roman" w:hAnsi="Times New Roman"/>
          <w:noProof/>
          <w:sz w:val="24"/>
        </w:rPr>
        <w:t>sa yhteistyössä. EU:n olisi myös syvennettävä yhteistyötään Aasian kehityspankin (ADB) ja Aasian infrastruktuuri-investointipankin (AIIB) kanssa. Samalla on kuitenkin varmistettava, että nämä yhteistyösuhteet ovat kaikilta osin EU:n painopisteiden mukaisia</w:t>
      </w:r>
      <w:r>
        <w:rPr>
          <w:rFonts w:ascii="Times New Roman" w:hAnsi="Times New Roman"/>
          <w:noProof/>
          <w:sz w:val="24"/>
        </w:rPr>
        <w:t>. Kansainvälisten kehityspankkien tuki on tärkeää infrastruktuurin käsittelyä omaisuusluokkana koskevan G20-maiden tiekartan (”Roadmap to Infrastructure as an Asset Class”) täytäntöönpanossa, ja infrastruktuurin hallinta-alustojen laajempi käyttöönotto hel</w:t>
      </w:r>
      <w:r>
        <w:rPr>
          <w:rFonts w:ascii="Times New Roman" w:hAnsi="Times New Roman"/>
          <w:noProof/>
          <w:sz w:val="24"/>
        </w:rPr>
        <w:t>pottaisi hankkeiden toteuttamista.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EU:n jäsenyyksiä kansainvälisissä kehityspankeissa olisi myös pyrittävä koordinoimaan paremmin.</w:t>
      </w: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Yrityksille tasapuoliset toimintaedellytykset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Jotta yritykset voisivat kehittää ja edistää EU:n ja Aasian välisiä </w:t>
      </w:r>
      <w:r>
        <w:rPr>
          <w:rFonts w:ascii="Times New Roman" w:hAnsi="Times New Roman"/>
          <w:noProof/>
          <w:sz w:val="24"/>
        </w:rPr>
        <w:t>yhteyksiä, ne tarvitsevat markkinoille pääsyn ja suorien ulkomaisten sijoitusten suhteen riittävän tasapuoliset toimintaedellytykset, tasapuoliset ja avoimet julkiset hankintamenettelyt, syrjimättömiä markkinakäytäntöjä sekä teollis- ja tekijänoikeuksien t</w:t>
      </w:r>
      <w:r>
        <w:rPr>
          <w:rFonts w:ascii="Times New Roman" w:hAnsi="Times New Roman"/>
          <w:noProof/>
          <w:sz w:val="24"/>
        </w:rPr>
        <w:t>asapainoista suojaa.</w:t>
      </w:r>
      <w:r>
        <w:rPr>
          <w:rStyle w:val="FootnoteReference"/>
          <w:rFonts w:ascii="Times New Roman" w:hAnsi="Times New Roman"/>
          <w:noProof/>
          <w:sz w:val="24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Tämä edellyttää välttämättä vahvoja makrotalouden ja finanssivakauden kehyksiä, vakaita alakohtaisia politiikkoja ja uudistuksia, kattavia vuotuisia ja keskipitkän aikavälin finanssipolitiikan kehyksiä ja budjettikehyksiä sekä moittee</w:t>
      </w:r>
      <w:r>
        <w:rPr>
          <w:rFonts w:ascii="Times New Roman" w:hAnsi="Times New Roman"/>
          <w:noProof/>
          <w:sz w:val="24"/>
        </w:rPr>
        <w:t xml:space="preserve">ttomia julkisen talouden varainhoitojärjestelmiä. EU aikoo jatkossakin tukea aloitteita, joissa pyritään varmistamaan yrityksille tasapuoliset toimintaedellytykset. Yksi konkreettinen edistysaskel olisi useampien maiden liittyminen </w:t>
      </w:r>
      <w:r>
        <w:rPr>
          <w:rFonts w:ascii="Times New Roman" w:hAnsi="Times New Roman"/>
          <w:b/>
          <w:noProof/>
          <w:sz w:val="24"/>
        </w:rPr>
        <w:t>julkisia hankintoja kosk</w:t>
      </w:r>
      <w:r>
        <w:rPr>
          <w:rFonts w:ascii="Times New Roman" w:hAnsi="Times New Roman"/>
          <w:b/>
          <w:noProof/>
          <w:sz w:val="24"/>
        </w:rPr>
        <w:t>evaan</w:t>
      </w:r>
      <w:r>
        <w:rPr>
          <w:rFonts w:ascii="Times New Roman" w:hAnsi="Times New Roman"/>
          <w:noProof/>
          <w:sz w:val="24"/>
        </w:rPr>
        <w:t xml:space="preserve"> WTO:n </w:t>
      </w:r>
      <w:r>
        <w:rPr>
          <w:rFonts w:ascii="Times New Roman" w:hAnsi="Times New Roman"/>
          <w:b/>
          <w:noProof/>
          <w:sz w:val="24"/>
        </w:rPr>
        <w:t>sopimukseen</w:t>
      </w:r>
      <w:r>
        <w:rPr>
          <w:rFonts w:ascii="Times New Roman" w:hAnsi="Times New Roman"/>
          <w:noProof/>
          <w:sz w:val="24"/>
        </w:rPr>
        <w:t xml:space="preserve"> (GPA-sopimus). Kansainvälisestä julkisia hankintoja koskevasta säädöksestä annetun komission ehdotuksen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 xml:space="preserve"> nopea hyväksyminen kannustaisi kumppaneita liittymään sopimukseen ja suhtautumaan myönteisemmin markkinoillepääsyä koskeviin si</w:t>
      </w:r>
      <w:r>
        <w:rPr>
          <w:rFonts w:ascii="Times New Roman" w:hAnsi="Times New Roman"/>
          <w:noProof/>
          <w:sz w:val="24"/>
        </w:rPr>
        <w:t xml:space="preserve">toumuksiin. EU:n olisi jatkossakin kannustettava kumppaneitaan käyttämään julkisissa hankintamenettelyissä laatuvaatimuksia ja elinkaarikustannuksia. Tasapuolisten toimintaedellytysten luominen edellyttää myös </w:t>
      </w:r>
      <w:r>
        <w:rPr>
          <w:rFonts w:ascii="Times New Roman" w:hAnsi="Times New Roman"/>
          <w:b/>
          <w:noProof/>
          <w:sz w:val="24"/>
        </w:rPr>
        <w:t>vientiluottojärjestelmien</w:t>
      </w:r>
      <w:r>
        <w:rPr>
          <w:rFonts w:ascii="Times New Roman" w:hAnsi="Times New Roman"/>
          <w:noProof/>
          <w:sz w:val="24"/>
        </w:rPr>
        <w:t xml:space="preserve"> avoimuuden lisäämist</w:t>
      </w:r>
      <w:r>
        <w:rPr>
          <w:rFonts w:ascii="Times New Roman" w:hAnsi="Times New Roman"/>
          <w:noProof/>
          <w:sz w:val="24"/>
        </w:rPr>
        <w:t xml:space="preserve">ä. Syrjivät käytännöt tulisi lopettaa. Kansainvälisen vientiluottotyöryhmän olisi laadittava säännöt, joiden avulla voitaisiin varmistaa eri maiden viejille tasapuoliset toimintaedellytykset.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 aikoo tehostaa </w:t>
      </w:r>
      <w:r>
        <w:rPr>
          <w:rFonts w:ascii="Times New Roman" w:hAnsi="Times New Roman"/>
          <w:b/>
          <w:noProof/>
          <w:sz w:val="24"/>
        </w:rPr>
        <w:t>talousdiplomatiaansa</w:t>
      </w:r>
      <w:r>
        <w:rPr>
          <w:rStyle w:val="FootnoteReference"/>
          <w:rFonts w:ascii="Times New Roman" w:hAnsi="Times New Roman"/>
          <w:noProof/>
          <w:sz w:val="24"/>
        </w:rPr>
        <w:footnoteReference w:id="39"/>
      </w:r>
      <w:r>
        <w:rPr>
          <w:rFonts w:ascii="Times New Roman" w:hAnsi="Times New Roman"/>
          <w:noProof/>
          <w:sz w:val="24"/>
        </w:rPr>
        <w:t xml:space="preserve"> Aasiassa. EU aikoo tuke</w:t>
      </w:r>
      <w:r>
        <w:rPr>
          <w:rFonts w:ascii="Times New Roman" w:hAnsi="Times New Roman"/>
          <w:noProof/>
          <w:sz w:val="24"/>
        </w:rPr>
        <w:t>a alustoja, joiden avulla voidaan saattaa yhteen eurooppalaisia ja aasialaisia yrityksiä, erityisesti pk-yrityksiä. Lisäksi EU aikoo perustaa Euroopan ja Aasian välisiä yhteyksiä edistävän yritysneuvontaryhmän. EU:n tulisi jatkossakin edistää kehittämäänsä</w:t>
      </w:r>
      <w:r>
        <w:rPr>
          <w:rFonts w:ascii="Times New Roman" w:hAnsi="Times New Roman"/>
          <w:noProof/>
          <w:sz w:val="24"/>
        </w:rPr>
        <w:t xml:space="preserve"> Euroopan investointihankeportaalia (tulevaisuudessa InvestEU-portaali), josta kiinnostuneet saavat tietoa investointimahdollisuuksista EU:ssa.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4C4B74">
        <w:tc>
          <w:tcPr>
            <w:tcW w:w="9072" w:type="dxa"/>
            <w:shd w:val="clear" w:color="auto" w:fill="8DB3E2" w:themeFill="text2" w:themeFillTint="66"/>
          </w:tcPr>
          <w:p w:rsidR="004C4B74" w:rsidRDefault="0048754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Keskeiset toimet – 5 luku</w:t>
            </w:r>
          </w:p>
        </w:tc>
      </w:tr>
      <w:tr w:rsidR="004C4B74">
        <w:tc>
          <w:tcPr>
            <w:tcW w:w="9072" w:type="dxa"/>
          </w:tcPr>
          <w:p w:rsidR="004C4B74" w:rsidRDefault="004C4B74">
            <w:pPr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4B74" w:rsidRDefault="0048754F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Komissio (ja tarvittaessa korkea edustaja) aikoo</w:t>
            </w:r>
          </w:p>
          <w:p w:rsidR="004C4B74" w:rsidRDefault="004C4B74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4C4B74" w:rsidRDefault="004875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helpottaa investointeja Euroopan </w:t>
            </w:r>
            <w:r>
              <w:rPr>
                <w:rFonts w:ascii="Times New Roman" w:hAnsi="Times New Roman"/>
                <w:i/>
                <w:noProof/>
                <w:sz w:val="24"/>
              </w:rPr>
              <w:t>ja Aasian välisiin yhteyksiin investointivälineiden ja takuiden avulla ja saada näihin toimiin mukaan eurooppalaisia julkisia pankkeja (EIP, EBRD ja jäsenvaltioiden kansalliset pankit ja laitokset) ja kansainvälisiä rahoituslaitoksia samalla noudattaen kan</w:t>
            </w:r>
            <w:r>
              <w:rPr>
                <w:rFonts w:ascii="Times New Roman" w:hAnsi="Times New Roman"/>
                <w:i/>
                <w:noProof/>
                <w:sz w:val="24"/>
              </w:rPr>
              <w:t>sainvälisiä normeja ja tasapuolisten toimintaedellytysten periaatteita</w:t>
            </w:r>
          </w:p>
          <w:p w:rsidR="004C4B74" w:rsidRDefault="004875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lisätä EU:n investointiyhteistyötä Aasian kehityspankin ja Aasian infrastruktuuri-investointipankin kanssa</w:t>
            </w:r>
          </w:p>
          <w:p w:rsidR="004C4B74" w:rsidRDefault="004875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 xml:space="preserve">perustaa Euroopan ja Aasian välisiä yhteyksiä edistävän yritysneuvontaryhmän </w:t>
            </w:r>
          </w:p>
          <w:p w:rsidR="004C4B74" w:rsidRDefault="0048754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</w:rPr>
              <w:t>ajaa tarmokkaasti Euroopan ja Aasian infrastruktuuria koskevien julkisten hankintojen avoimuuden lisäämistä muun muassa edistämällä maiden laajempaa liittymistä julkisia hankintoja koskevaan WTO:n sopimukseen ja siihen perustuvien normien hyväksymistä sekä</w:t>
            </w:r>
            <w:r>
              <w:rPr>
                <w:rFonts w:ascii="Times New Roman" w:hAnsi="Times New Roman"/>
                <w:i/>
                <w:noProof/>
                <w:sz w:val="24"/>
              </w:rPr>
              <w:t xml:space="preserve"> tukemalla julkisia hankintoja koskevien verkkosivustojen luomista.</w:t>
            </w:r>
          </w:p>
          <w:p w:rsidR="004C4B74" w:rsidRDefault="004C4B74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4B74" w:rsidRDefault="0048754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Päätelmät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Tämä yhteinen tiedonanto muodostaa pohjan Euroopan ja Aasian välisiä yhteyksiä koskevalle EU:n strategialle. </w:t>
      </w:r>
      <w:r>
        <w:rPr>
          <w:rFonts w:ascii="Times New Roman" w:hAnsi="Times New Roman"/>
          <w:b/>
          <w:noProof/>
          <w:sz w:val="24"/>
        </w:rPr>
        <w:t xml:space="preserve">Strategian perusperiaatteina ovat kestävät, kattavat ja </w:t>
      </w:r>
      <w:r>
        <w:rPr>
          <w:rFonts w:ascii="Times New Roman" w:hAnsi="Times New Roman"/>
          <w:b/>
          <w:noProof/>
          <w:sz w:val="24"/>
        </w:rPr>
        <w:t>kansainväliset sääntöihin perustuvat yhteydet.</w:t>
      </w:r>
      <w:r>
        <w:rPr>
          <w:rFonts w:ascii="Times New Roman" w:hAnsi="Times New Roman"/>
          <w:noProof/>
          <w:sz w:val="24"/>
        </w:rPr>
        <w:t xml:space="preserve"> Tämän lähestymistavan avulla EU aikoo parantaa sääntelyn laatua ja luoda yhteyksien alalle tasapuoliset toimintaedellytykset. Innoituksen lähteenä toimivat EU:n omat sisämarkkinat. EU edistää liikenne- ja ener</w:t>
      </w:r>
      <w:r>
        <w:rPr>
          <w:rFonts w:ascii="Times New Roman" w:hAnsi="Times New Roman"/>
          <w:noProof/>
          <w:sz w:val="24"/>
        </w:rPr>
        <w:t>giaverkkojen sekä digitaalisten verkkojen kehittämistä omien rajanylisiä yhteyksiä koskevien kokemustensa pohjalta. EU pyrkii vahvistamaan kumppanuuksiaan kolmansien maiden, alueiden ja kansainvälisten järjestöjen kanssa. Lisäksi se aikoo lisätä koulutusta</w:t>
      </w:r>
      <w:r>
        <w:rPr>
          <w:rFonts w:ascii="Times New Roman" w:hAnsi="Times New Roman"/>
          <w:noProof/>
          <w:sz w:val="24"/>
        </w:rPr>
        <w:t>, tutkimusta, innovointia, kulttuuria, urheilua ja matkailua koskevaa yhteistyötä ja siten edistää monimuotoisuutta sekä ajatusten vapaata liikkuvuutta. Näiden eri politiikkojen ja toimien tukemiseksi EU:n olisi hyödynnettävä kaikkia käytössään olevia raho</w:t>
      </w:r>
      <w:r>
        <w:rPr>
          <w:rFonts w:ascii="Times New Roman" w:hAnsi="Times New Roman"/>
          <w:noProof/>
          <w:sz w:val="24"/>
        </w:rPr>
        <w:t>ituskeinoja ja -välineitä edistääkseen kestäviin yhteyksiin kohdistuvia julkisia ja yksityisiä investointeja. Strategian onnistumisen kannalta on myös tärkeää, että EU ja sen jäsenvaltiot pyrkivät yhdessä parantamaan aasialaisten kumppanien kanssa toteutet</w:t>
      </w:r>
      <w:r>
        <w:rPr>
          <w:rFonts w:ascii="Times New Roman" w:hAnsi="Times New Roman"/>
          <w:noProof/>
          <w:sz w:val="24"/>
        </w:rPr>
        <w:t xml:space="preserve">tavien yhteyshankkeiden ja </w:t>
      </w:r>
      <w:r>
        <w:rPr>
          <w:noProof/>
        </w:rPr>
        <w:noBreakHyphen/>
      </w:r>
      <w:r>
        <w:rPr>
          <w:rFonts w:ascii="Times New Roman" w:hAnsi="Times New Roman"/>
          <w:noProof/>
          <w:sz w:val="24"/>
        </w:rPr>
        <w:t xml:space="preserve">ohjelmien viestintää, brändäystä ja markkinointia.  </w:t>
      </w:r>
    </w:p>
    <w:p w:rsidR="004C4B74" w:rsidRDefault="0048754F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Komissio kehottaa Euroopan parlamenttia, neuvostoa, Euroopan talous- ja sosiaalikomiteaa, alueiden komiteaa, Euroopan investointipankkia ja asianomaisia sidosryhmiä keskustele</w:t>
      </w:r>
      <w:r>
        <w:rPr>
          <w:rFonts w:ascii="Times New Roman" w:hAnsi="Times New Roman"/>
          <w:noProof/>
          <w:sz w:val="24"/>
        </w:rPr>
        <w:t>maan tässä yhteisessä tiedonannossa esitetyistä toimista ja tukemaan niitä.</w:t>
      </w:r>
    </w:p>
    <w:p w:rsidR="004C4B74" w:rsidRDefault="004C4B74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4C4B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276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74" w:rsidRDefault="0048754F">
      <w:pPr>
        <w:spacing w:after="0" w:line="240" w:lineRule="auto"/>
      </w:pPr>
      <w:r>
        <w:separator/>
      </w:r>
    </w:p>
  </w:endnote>
  <w:endnote w:type="continuationSeparator" w:id="0">
    <w:p w:rsidR="004C4B74" w:rsidRDefault="0048754F">
      <w:pPr>
        <w:spacing w:after="0" w:line="240" w:lineRule="auto"/>
      </w:pPr>
      <w:r>
        <w:continuationSeparator/>
      </w:r>
    </w:p>
  </w:endnote>
  <w:endnote w:type="continuationNotice" w:id="1">
    <w:p w:rsidR="004C4B74" w:rsidRDefault="004C4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8754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10592"/>
      <w:docPartObj>
        <w:docPartGallery w:val="Page Numbers (Bottom of Page)"/>
        <w:docPartUnique/>
      </w:docPartObj>
    </w:sdtPr>
    <w:sdtEndPr/>
    <w:sdtContent>
      <w:p w:rsidR="004C4B74" w:rsidRDefault="00487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C4B74" w:rsidRDefault="004C4B7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74" w:rsidRDefault="0048754F">
      <w:pPr>
        <w:spacing w:after="0" w:line="240" w:lineRule="auto"/>
      </w:pPr>
      <w:r>
        <w:separator/>
      </w:r>
    </w:p>
  </w:footnote>
  <w:footnote w:type="continuationSeparator" w:id="0">
    <w:p w:rsidR="004C4B74" w:rsidRDefault="0048754F">
      <w:pPr>
        <w:spacing w:after="0" w:line="240" w:lineRule="auto"/>
      </w:pPr>
      <w:r>
        <w:continuationSeparator/>
      </w:r>
    </w:p>
  </w:footnote>
  <w:footnote w:type="continuationNotice" w:id="1">
    <w:p w:rsidR="004C4B74" w:rsidRDefault="004C4B74">
      <w:pPr>
        <w:spacing w:after="0" w:line="240" w:lineRule="auto"/>
      </w:pPr>
    </w:p>
  </w:footnote>
  <w:footnote w:id="2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Ks. vuoden 2016 luvut: http://trade.ec.europa.eu/doclib/docs/2011/january/tradoc_147207.pdf </w:t>
      </w:r>
    </w:p>
  </w:footnote>
  <w:footnote w:id="3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Yhteydet (englanniksi ’</w:t>
      </w:r>
      <w:r>
        <w:rPr>
          <w:rFonts w:ascii="Times New Roman" w:hAnsi="Times New Roman"/>
          <w:i/>
        </w:rPr>
        <w:t>connectivity</w:t>
      </w:r>
      <w:r>
        <w:rPr>
          <w:rFonts w:ascii="Times New Roman" w:hAnsi="Times New Roman"/>
        </w:rPr>
        <w:t xml:space="preserve">’) </w:t>
      </w:r>
      <w:r>
        <w:rPr>
          <w:rFonts w:ascii="Times New Roman" w:hAnsi="Times New Roman"/>
        </w:rPr>
        <w:t>määritellään Myanmarin/Burman Na Pyi Tawissa 20. ja 21. marraskuuta pidetyn Asemin 13. ulkoministerikokouksen puheenjohtajien lausunnossa.</w:t>
      </w:r>
    </w:p>
  </w:footnote>
  <w:footnote w:id="4">
    <w:p w:rsidR="004C4B74" w:rsidRDefault="0048754F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 xml:space="preserve"> Aasian kehityspankki (ADB), </w:t>
      </w:r>
      <w:r>
        <w:rPr>
          <w:rStyle w:val="Emphasis"/>
          <w:rFonts w:ascii="Times New Roman" w:hAnsi="Times New Roman"/>
          <w:lang w:val="en-GB"/>
        </w:rPr>
        <w:t>Meeting Asia’s Infrastructure Needs</w:t>
      </w:r>
      <w:r>
        <w:rPr>
          <w:rFonts w:ascii="Times New Roman" w:hAnsi="Times New Roman"/>
          <w:lang w:val="en-GB"/>
        </w:rPr>
        <w:t>, 2017.</w:t>
      </w:r>
    </w:p>
  </w:footnote>
  <w:footnote w:id="5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Yhteyksien merkitys vauraudelle tunnusteta</w:t>
      </w:r>
      <w:r>
        <w:rPr>
          <w:rFonts w:ascii="Times New Roman" w:hAnsi="Times New Roman"/>
        </w:rPr>
        <w:t>an Euroopan komission kymmenessä painopisteessä, EU:n ulko- ja turvallisuuspoliittisessa globaalistrategiassa ja kehityspolitiikkaa koskevassa eurooppalaisessa konsensuksessa.</w:t>
      </w:r>
    </w:p>
  </w:footnote>
  <w:footnote w:id="6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Tiedonanto </w:t>
      </w:r>
      <w:r>
        <w:rPr>
          <w:rFonts w:ascii="Times New Roman" w:hAnsi="Times New Roman"/>
          <w:i/>
        </w:rPr>
        <w:t>Nykyaikainen talousarvio unionille, joka suojelee, puolustaa ja tar</w:t>
      </w:r>
      <w:r>
        <w:rPr>
          <w:rFonts w:ascii="Times New Roman" w:hAnsi="Times New Roman"/>
          <w:i/>
        </w:rPr>
        <w:t>joaa mahdollisuuksia – monivuotinen rahoituskehys vuosiksi 2021–2027</w:t>
      </w:r>
      <w:r>
        <w:rPr>
          <w:rFonts w:ascii="Times New Roman" w:hAnsi="Times New Roman"/>
        </w:rPr>
        <w:t xml:space="preserve">, COM(2018) 321. </w:t>
      </w:r>
    </w:p>
  </w:footnote>
  <w:footnote w:id="7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Afrikan ja EU:n kestävien investointien ja työpaikkojen allianssia koskeva tiedonanto COM(2018) 643 ja tehokkaampaa rahoitusrakennetta EU:n ulkopuolisia investointeja v</w:t>
      </w:r>
      <w:r>
        <w:rPr>
          <w:rFonts w:ascii="Times New Roman" w:hAnsi="Times New Roman"/>
        </w:rPr>
        <w:t xml:space="preserve">arten koskeva tiedonanto COM(2018) 644. </w:t>
      </w:r>
    </w:p>
  </w:footnote>
  <w:footnote w:id="8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Infrastruktuurihankkeille on tehtävä ympäristövaikutusten arviointi. Tästä velvollisuudesta säädettiin EU:n lainsäädännössä ensimmäisen kerran vuonna 1985. Lisäksi on noudatettava ennalta varautumisen ja ennalta e</w:t>
      </w:r>
      <w:r>
        <w:rPr>
          <w:rFonts w:ascii="Times New Roman" w:hAnsi="Times New Roman"/>
        </w:rPr>
        <w:t>hkäisevien toimien periaatteita sekä periaatteita, joiden mukaan ympäristövahingot olisi torjuttava niiden lähteellä ja saastuttajan olisi maksettava. Ks. Euroopan unionin toiminnasta tehdyn sopimuksen 174 artiklan 2 kohta.</w:t>
      </w:r>
    </w:p>
    <w:p w:rsidR="004C4B74" w:rsidRDefault="004C4B74">
      <w:pPr>
        <w:pStyle w:val="FootnoteText"/>
        <w:jc w:val="both"/>
        <w:rPr>
          <w:rFonts w:ascii="Times New Roman" w:hAnsi="Times New Roman" w:cs="Times New Roman"/>
        </w:rPr>
      </w:pPr>
    </w:p>
  </w:footnote>
  <w:footnote w:id="9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Ehdotus Euroopan parlamentin </w:t>
      </w:r>
      <w:r>
        <w:rPr>
          <w:rFonts w:ascii="Times New Roman" w:hAnsi="Times New Roman"/>
        </w:rPr>
        <w:t>ja neuvoston asetukseksi Euroopan unioniin tulevien ulkomaisten suorien sijoitusten seurantaan tarkoitettujen puitteiden perustamisesta, COM(2017) 487.</w:t>
      </w:r>
    </w:p>
  </w:footnote>
  <w:footnote w:id="10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Neuvottelut Armenian kanssa on saatu päätökseen, ja neuvottelut Kaakkois-Aasian maiden liiton (ASEAN),</w:t>
      </w:r>
      <w:r>
        <w:rPr>
          <w:rFonts w:ascii="Times New Roman" w:hAnsi="Times New Roman"/>
        </w:rPr>
        <w:t xml:space="preserve"> Azerbaidžanin, Turkin ja Qatarin kanssa ovat käynnissä. Komissio on parafoinut yhteistä ilmailualuetta koskevan sopimuksen Ukrainan kanssa ja kahdenvälisen lentoliikenteen turvallisuussopimuksen Kiinan kanssa sekä neuvottelee sopimuksesta Japanin kanssa.</w:t>
      </w:r>
    </w:p>
  </w:footnote>
  <w:footnote w:id="11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Kansainvälisen siviili-ilmailujärjestö ICAOn sopimukset.</w:t>
      </w:r>
    </w:p>
  </w:footnote>
  <w:footnote w:id="12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Tiedonanto </w:t>
      </w:r>
      <w:r>
        <w:rPr>
          <w:rFonts w:ascii="Times New Roman" w:hAnsi="Times New Roman"/>
          <w:i/>
        </w:rPr>
        <w:t>EU:n meriliikennepolitiikka vuoteen 2018 saakka: strategiset tavoitteet ja suositukset</w:t>
      </w:r>
      <w:r>
        <w:rPr>
          <w:rFonts w:ascii="Times New Roman" w:hAnsi="Times New Roman"/>
        </w:rPr>
        <w:t>, COM(2009) 8.</w:t>
      </w:r>
    </w:p>
  </w:footnote>
  <w:footnote w:id="13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Tavaran kokonaan tai osittain meritse tapahtuvassa kansainvälisessä kuljetuksessa</w:t>
      </w:r>
      <w:r>
        <w:rPr>
          <w:rFonts w:ascii="Times New Roman" w:hAnsi="Times New Roman"/>
        </w:rPr>
        <w:t xml:space="preserve"> käytettävistä rahtisopimuksista tehty Yhdistyneiden kansakuntien yleissopimus, 2008.</w:t>
      </w:r>
    </w:p>
  </w:footnote>
  <w:footnote w:id="14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Pohjois–etelä-suuntaiset raideyhteydet yhdistävät Välimeren, Mustanmeren ja Persianlahden Pohjanmereen, Itämereen ja arktiseen alueeseen.</w:t>
      </w:r>
    </w:p>
  </w:footnote>
  <w:footnote w:id="15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Itä–länsi-suuntaiset raideyh</w:t>
      </w:r>
      <w:r>
        <w:rPr>
          <w:rFonts w:ascii="Times New Roman" w:hAnsi="Times New Roman"/>
        </w:rPr>
        <w:t>teydet yhdistävät EU:n Kiinaan ja Keski-Aasiaan.</w:t>
      </w:r>
    </w:p>
  </w:footnote>
  <w:footnote w:id="16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Valtioiden välinen kansainvälisten rautatiekuljetusten järjestö (OTIF) ja rautateiden yhteistyöjärjestö (OSJD).</w:t>
      </w:r>
    </w:p>
  </w:footnote>
  <w:footnote w:id="17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Ks. tiedonanto </w:t>
      </w:r>
      <w:r>
        <w:rPr>
          <w:rFonts w:ascii="Times New Roman" w:hAnsi="Times New Roman"/>
          <w:i/>
        </w:rPr>
        <w:t>Nykyaikainen talousarvio unionille, joka suojelee, puolustaa ja tarjoaa mahd</w:t>
      </w:r>
      <w:r>
        <w:rPr>
          <w:rFonts w:ascii="Times New Roman" w:hAnsi="Times New Roman"/>
          <w:i/>
        </w:rPr>
        <w:t>ollisuuksia</w:t>
      </w:r>
      <w:r>
        <w:rPr>
          <w:rFonts w:ascii="Times New Roman" w:hAnsi="Times New Roman"/>
        </w:rPr>
        <w:t>, COM(2018) 321, jossa komissio ehdottaa digitaalisten yhteyksien edistämistä EU:n ja Aasian sekä muiden maiden kanssa Verkkojen Eurooppa -välineen avulla vuosina 2021–2027.</w:t>
      </w:r>
    </w:p>
  </w:footnote>
  <w:footnote w:id="18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Ks. komission yksiköiden valmisteluasiakirja </w:t>
      </w:r>
      <w:r>
        <w:rPr>
          <w:rFonts w:ascii="Times New Roman" w:hAnsi="Times New Roman"/>
          <w:i/>
        </w:rPr>
        <w:t>Digital4Development: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mai</w:t>
      </w:r>
      <w:r>
        <w:rPr>
          <w:rFonts w:ascii="Times New Roman" w:hAnsi="Times New Roman"/>
          <w:i/>
        </w:rPr>
        <w:t>nstreaming digital technologies and services into EU Development Policy</w:t>
      </w:r>
      <w:r>
        <w:rPr>
          <w:rFonts w:ascii="Times New Roman" w:hAnsi="Times New Roman"/>
        </w:rPr>
        <w:t>, SWD(2017) 157.</w:t>
      </w:r>
    </w:p>
  </w:footnote>
  <w:footnote w:id="19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Ks. yhteinen valmisteluasiakirja </w:t>
      </w:r>
      <w:r>
        <w:rPr>
          <w:rFonts w:ascii="Times New Roman" w:hAnsi="Times New Roman"/>
          <w:i/>
        </w:rPr>
        <w:t>Euro-Asian Connectivity Mapping Exercise – Main Findings</w:t>
      </w:r>
      <w:r>
        <w:rPr>
          <w:rFonts w:ascii="Times New Roman" w:hAnsi="Times New Roman"/>
        </w:rPr>
        <w:t xml:space="preserve">, SWD(2017) 436, ja siinä esitetyt tiedot EU:n kumppanien erilaisista </w:t>
      </w:r>
      <w:r>
        <w:rPr>
          <w:rFonts w:ascii="Times New Roman" w:hAnsi="Times New Roman"/>
        </w:rPr>
        <w:t>yhteyksiä koskevista aloitteista.</w:t>
      </w:r>
    </w:p>
  </w:footnote>
  <w:footnote w:id="20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Tiedonanto </w:t>
      </w:r>
      <w:r>
        <w:rPr>
          <w:rFonts w:ascii="Times New Roman" w:hAnsi="Times New Roman"/>
          <w:i/>
        </w:rPr>
        <w:t>Uskottavat jäsenyysnäkymät ja EU:n tehostettu sitoumus Länsi-Balkanin maille</w:t>
      </w:r>
      <w:r>
        <w:rPr>
          <w:rFonts w:ascii="Times New Roman" w:hAnsi="Times New Roman"/>
        </w:rPr>
        <w:t>,</w:t>
      </w:r>
    </w:p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COM(2018) 65.</w:t>
      </w:r>
    </w:p>
  </w:footnote>
  <w:footnote w:id="21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Toukokuussa 2018 annettu Sofian julistus on saatavilla osoitteessa http://www.consilium.europa.eu/media/34776/sofia</w:t>
      </w:r>
      <w:r>
        <w:rPr>
          <w:rFonts w:ascii="Times New Roman" w:hAnsi="Times New Roman"/>
        </w:rPr>
        <w:t>-declaration_en.pdf</w:t>
      </w:r>
    </w:p>
  </w:footnote>
  <w:footnote w:id="22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Muun muassa ASEM, ASEAN, Bengalinlahden monialaista teknistä ja taloudellista yhteistyötä koskeva aloite, Keski-Aasian alueellinen talousyhteistyöohjelma, Etelä-Aasian alueellisen yhteistyön järjestö, Etelä-Aasian alueellinen talousyh</w:t>
      </w:r>
      <w:r>
        <w:rPr>
          <w:rFonts w:ascii="Times New Roman" w:hAnsi="Times New Roman"/>
        </w:rPr>
        <w:t>teistyöohjelma ja Shanghain yhteistyöjärjestö.</w:t>
      </w:r>
    </w:p>
  </w:footnote>
  <w:footnote w:id="23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rFonts w:ascii="Times New Roman" w:hAnsi="Times New Roman"/>
        </w:rPr>
        <w:t xml:space="preserve">EU:n olisi tarpeen mukaan tehtävä teknisen tason yhteistyötä Euraasian talousunionin ja sen jäsenvaltioiden kanssa pyrkien yhdenmukaistamaan niiden teknistä sääntelyä ja standardeja kansainvälisen sääntelyn </w:t>
      </w:r>
      <w:r>
        <w:rPr>
          <w:rFonts w:ascii="Times New Roman" w:hAnsi="Times New Roman"/>
        </w:rPr>
        <w:t>ja standardien kanssa.</w:t>
      </w:r>
    </w:p>
  </w:footnote>
  <w:footnote w:id="24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Yhteinen tiedonanto </w:t>
      </w:r>
      <w:r>
        <w:rPr>
          <w:rFonts w:ascii="Times New Roman" w:hAnsi="Times New Roman"/>
          <w:i/>
        </w:rPr>
        <w:t>Kansainvälinen valtamerten hallinnointi</w:t>
      </w:r>
      <w:r>
        <w:rPr>
          <w:rFonts w:ascii="Times New Roman" w:hAnsi="Times New Roman"/>
        </w:rPr>
        <w:t>, JOIN(2016) 49.</w:t>
      </w:r>
    </w:p>
  </w:footnote>
  <w:footnote w:id="25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Muun muassa Taloudellisen yhteistyön ja kehityksen järjestö sekä UNECE ja sen sisäliikennettä käsittelevä komitea, raideliikenteen alalla OTIF ja OSJD se</w:t>
      </w:r>
      <w:r>
        <w:rPr>
          <w:rFonts w:ascii="Times New Roman" w:hAnsi="Times New Roman"/>
        </w:rPr>
        <w:t>kä energia-alalla Kansainvälinen energiajärjestö ja kansainvälinen uusiutuvan energian virasto (IRENA). Muita keskeisiä maailmanlaajuisesti toimivia organisaatioita ovat muun muassa IMO, ICAO, Kansainvälinen televiestintäliitto (ITU) ja sosiaalisten oikeuk</w:t>
      </w:r>
      <w:r>
        <w:rPr>
          <w:rFonts w:ascii="Times New Roman" w:hAnsi="Times New Roman"/>
        </w:rPr>
        <w:t>sien alalla Kansainvälinen työjärjestö (ILO).</w:t>
      </w:r>
    </w:p>
  </w:footnote>
  <w:footnote w:id="26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Esimerkiksi YK:n Euroopan talouskomission yleissopimus tiedon saatavuudesta, yleisön osallistumisesta päätöksentekoon sekä muutoksenhaku- ja vireillepano-oikeudesta ympäristöasioissa ja YK:n Euroopan talousko</w:t>
      </w:r>
      <w:r>
        <w:rPr>
          <w:rFonts w:ascii="Times New Roman" w:hAnsi="Times New Roman"/>
        </w:rPr>
        <w:t>mission Espoon yleissopimus valtioiden rajat ylittävien ympäristövaikutusten arvioinnista ja sen pöytäkirja strategisesta ympäristöarvioinnista.</w:t>
      </w:r>
    </w:p>
  </w:footnote>
  <w:footnote w:id="27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Sähköalan kansainvälinen standardointijärjestö (IEC), Kansainvälinen standardoimisjärjestö (ISO), Kansainväli</w:t>
      </w:r>
      <w:r>
        <w:rPr>
          <w:rFonts w:ascii="Times New Roman" w:hAnsi="Times New Roman"/>
        </w:rPr>
        <w:t>nen televiestintäliitto (ITU), Euroopan standardointikomitea (CEN), Euroopan sähkötekniikan standardointikomitea (Cenelec) ja Euroopan telealan standardointilaitos (ETSI).</w:t>
      </w:r>
    </w:p>
  </w:footnote>
  <w:footnote w:id="28">
    <w:p w:rsidR="004C4B74" w:rsidRDefault="0048754F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 xml:space="preserve"> Inderst, George, </w:t>
      </w:r>
      <w:r>
        <w:rPr>
          <w:rFonts w:ascii="Times New Roman" w:hAnsi="Times New Roman"/>
          <w:i/>
          <w:lang w:val="en-GB"/>
        </w:rPr>
        <w:t>Infrastructure Investment, Private Finance, and Institutional Inv</w:t>
      </w:r>
      <w:r>
        <w:rPr>
          <w:rFonts w:ascii="Times New Roman" w:hAnsi="Times New Roman"/>
          <w:i/>
          <w:lang w:val="en-GB"/>
        </w:rPr>
        <w:t>estors: Asia from a Global Perspective</w:t>
      </w:r>
      <w:r>
        <w:rPr>
          <w:rFonts w:ascii="Times New Roman" w:hAnsi="Times New Roman"/>
          <w:lang w:val="en-GB"/>
        </w:rPr>
        <w:t>, Asian Development Bank Institute, 2018.</w:t>
      </w:r>
    </w:p>
  </w:footnote>
  <w:footnote w:id="29">
    <w:p w:rsidR="004C4B74" w:rsidRDefault="0048754F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Länsi-Balkanin investointivälineen avulla on vuodesta 2014 vuoden 2018 puoliväliin mennessä vivutettu noin 2,4 miljardin euron yhteysinvestoinnit. Vastaavasti naapuruuspolitiikan investointivälineellä on samana aikana saatu liikkeelle noin 2,9 miljardin e</w:t>
      </w:r>
      <w:r>
        <w:rPr>
          <w:rFonts w:ascii="Times New Roman" w:hAnsi="Times New Roman"/>
        </w:rPr>
        <w:t>uron yhteysinvestoinnit itäisen kumppanuuden maissa.</w:t>
      </w:r>
    </w:p>
  </w:footnote>
  <w:footnote w:id="30">
    <w:p w:rsidR="004C4B74" w:rsidRDefault="0048754F">
      <w:pPr>
        <w:pStyle w:val="FootnoteText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Esimerkiksi Euroopan investointipankki rahoittaa Keski- ja Etelä-Aasian sähkönsiirtoa ja sähkökauppaa koskevaa hanketta (CASA-1000) 70 miljoonalla eurolla. Hanke mahdollistaa sähkön siirron Kirgisian, </w:t>
      </w:r>
      <w:r>
        <w:rPr>
          <w:rFonts w:ascii="Times New Roman" w:hAnsi="Times New Roman"/>
        </w:rPr>
        <w:t>Tadžikistanin, Afganistanin ja Pakistanin välillä.</w:t>
      </w:r>
      <w:r>
        <w:t xml:space="preserve">  </w:t>
      </w:r>
    </w:p>
  </w:footnote>
  <w:footnote w:id="31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Euroopan parlamentin ja neuvoston asetus (EU) 2017/1601, annettu 26 päivänä syyskuuta 2017, Euroopan kestävän kehityksen rahaston (EKKR), EKKR-takuun ja EKKR-takuurahaston perustamisesta.</w:t>
      </w:r>
    </w:p>
  </w:footnote>
  <w:footnote w:id="32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Komission t</w:t>
      </w:r>
      <w:r>
        <w:rPr>
          <w:rFonts w:ascii="Times New Roman" w:hAnsi="Times New Roman"/>
        </w:rPr>
        <w:t xml:space="preserve">iedonanto Euroopan parlamentille, Eurooppa-neuvostolle, neuvostolle ja Euroopan investointipankille </w:t>
      </w:r>
      <w:r>
        <w:rPr>
          <w:rFonts w:ascii="Times New Roman" w:hAnsi="Times New Roman"/>
          <w:i/>
        </w:rPr>
        <w:t>Tehokkaampi rahoitusrakenne EU:n ulkopuolisia investointeja varten</w:t>
      </w:r>
      <w:r>
        <w:rPr>
          <w:rFonts w:ascii="Times New Roman" w:hAnsi="Times New Roman"/>
        </w:rPr>
        <w:t>, COM(2018) 644.</w:t>
      </w:r>
    </w:p>
  </w:footnote>
  <w:footnote w:id="33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Tiedonanto </w:t>
      </w:r>
      <w:r>
        <w:rPr>
          <w:rFonts w:ascii="Times New Roman" w:hAnsi="Times New Roman"/>
          <w:i/>
        </w:rPr>
        <w:t>Nykyaikainen talousarvio unionille, joka suojelee, puolustaa</w:t>
      </w:r>
      <w:r>
        <w:rPr>
          <w:rFonts w:ascii="Times New Roman" w:hAnsi="Times New Roman"/>
          <w:i/>
        </w:rPr>
        <w:t xml:space="preserve"> ja tarjoaa mahdollisuuksia – monivuotinen rahoituskehys vuosiksi 2021–2027</w:t>
      </w:r>
      <w:r>
        <w:rPr>
          <w:rFonts w:ascii="Times New Roman" w:hAnsi="Times New Roman"/>
        </w:rPr>
        <w:t xml:space="preserve">, COM(2018) 321. Komission tiedonannossa </w:t>
      </w:r>
      <w:r>
        <w:rPr>
          <w:rFonts w:ascii="Times New Roman" w:hAnsi="Times New Roman"/>
          <w:i/>
        </w:rPr>
        <w:t>Tehokkaampi rahoitusrakenne EU:n ulkopuolisia investointeja varten</w:t>
      </w:r>
      <w:r>
        <w:rPr>
          <w:rFonts w:ascii="Times New Roman" w:hAnsi="Times New Roman"/>
        </w:rPr>
        <w:t>, COM(2018) 644, käsitellään tarkemmin ehdotettuja ulkoisten investointien</w:t>
      </w:r>
      <w:r>
        <w:rPr>
          <w:rFonts w:ascii="Times New Roman" w:hAnsi="Times New Roman"/>
        </w:rPr>
        <w:t xml:space="preserve"> puitteita.</w:t>
      </w:r>
    </w:p>
  </w:footnote>
  <w:footnote w:id="34">
    <w:p w:rsidR="004C4B74" w:rsidRDefault="0048754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Ks. alaviitteessä 30 mainittu tiedonanto.</w:t>
      </w:r>
    </w:p>
  </w:footnote>
  <w:footnote w:id="35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Tiedonanto </w:t>
      </w:r>
      <w:r>
        <w:rPr>
          <w:rFonts w:ascii="Times New Roman" w:hAnsi="Times New Roman"/>
          <w:i/>
        </w:rPr>
        <w:t>Kestävän kasvun rahoitusta koskeva toimintasuunnitelma</w:t>
      </w:r>
      <w:r>
        <w:rPr>
          <w:rFonts w:ascii="Times New Roman" w:hAnsi="Times New Roman"/>
        </w:rPr>
        <w:t>, COM(2018) 97.</w:t>
      </w:r>
    </w:p>
  </w:footnote>
  <w:footnote w:id="36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Esimerkiksi hallinta-alusta SOURCE. Ks. Sustainable Infrastructure Foundationin verkkosivusto: https://public.sif-source.org/</w:t>
      </w:r>
    </w:p>
  </w:footnote>
  <w:footnote w:id="37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Komission kertomus Euroopan parlamentille ja neuvostolle kaupan ja investointien esteistä 1. tammikuuta 2016 – 31. joulukuuta 2</w:t>
      </w:r>
      <w:r>
        <w:rPr>
          <w:rFonts w:ascii="Times New Roman" w:hAnsi="Times New Roman"/>
        </w:rPr>
        <w:t>016.</w:t>
      </w:r>
    </w:p>
  </w:footnote>
  <w:footnote w:id="38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Komission ehdotus asetukseksi kolmansien maiden tavaroiden ja palvelujen pääsystä unionin sisämarkkinoille julkisten hankintojen alalla sekä unionin tavaroiden ja palvelujen kolmansien maiden julkisten hankintojen markkinoille pääsyä koskevia neuvot</w:t>
      </w:r>
      <w:r>
        <w:rPr>
          <w:rFonts w:ascii="Times New Roman" w:hAnsi="Times New Roman"/>
        </w:rPr>
        <w:t>teluja tukevista menettelyistä, COM(2016) 34. Ehdotus on tällä hetkellä Euroopan parlamentin ja neuvoston käsiteltävänä.</w:t>
      </w:r>
    </w:p>
  </w:footnote>
  <w:footnote w:id="39">
    <w:p w:rsidR="004C4B74" w:rsidRDefault="0048754F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Komission pohdinta-asiakirja globalisaation hallinnasta, COM(2017) 240.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74" w:rsidRDefault="004C4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EB0"/>
    <w:multiLevelType w:val="hybridMultilevel"/>
    <w:tmpl w:val="CE9C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F8B"/>
    <w:multiLevelType w:val="hybridMultilevel"/>
    <w:tmpl w:val="E766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D08"/>
    <w:multiLevelType w:val="hybridMultilevel"/>
    <w:tmpl w:val="57D61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23D8F"/>
    <w:multiLevelType w:val="hybridMultilevel"/>
    <w:tmpl w:val="B52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9C2"/>
    <w:multiLevelType w:val="hybridMultilevel"/>
    <w:tmpl w:val="5F687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8C7"/>
    <w:multiLevelType w:val="multilevel"/>
    <w:tmpl w:val="E93065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843AA8"/>
    <w:multiLevelType w:val="hybridMultilevel"/>
    <w:tmpl w:val="126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285B"/>
    <w:multiLevelType w:val="hybridMultilevel"/>
    <w:tmpl w:val="C22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426B"/>
    <w:multiLevelType w:val="hybridMultilevel"/>
    <w:tmpl w:val="94143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BE4"/>
    <w:multiLevelType w:val="hybridMultilevel"/>
    <w:tmpl w:val="BE46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C4D"/>
    <w:multiLevelType w:val="hybridMultilevel"/>
    <w:tmpl w:val="A1E0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C55"/>
    <w:multiLevelType w:val="hybridMultilevel"/>
    <w:tmpl w:val="8DE644AA"/>
    <w:lvl w:ilvl="0" w:tplc="8624B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618"/>
    <w:multiLevelType w:val="hybridMultilevel"/>
    <w:tmpl w:val="0A6E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F02E2"/>
    <w:multiLevelType w:val="hybridMultilevel"/>
    <w:tmpl w:val="2FB8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5E6C"/>
    <w:multiLevelType w:val="hybridMultilevel"/>
    <w:tmpl w:val="30AA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665CE"/>
    <w:multiLevelType w:val="hybridMultilevel"/>
    <w:tmpl w:val="B726CF14"/>
    <w:lvl w:ilvl="0" w:tplc="F468F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5CA3"/>
    <w:multiLevelType w:val="hybridMultilevel"/>
    <w:tmpl w:val="6F849E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00D76"/>
    <w:multiLevelType w:val="hybridMultilevel"/>
    <w:tmpl w:val="438A7514"/>
    <w:lvl w:ilvl="0" w:tplc="BA027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96E57"/>
    <w:multiLevelType w:val="hybridMultilevel"/>
    <w:tmpl w:val="253A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85E53"/>
    <w:multiLevelType w:val="hybridMultilevel"/>
    <w:tmpl w:val="5FFA8842"/>
    <w:lvl w:ilvl="0" w:tplc="67B0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834"/>
    <w:multiLevelType w:val="hybridMultilevel"/>
    <w:tmpl w:val="58E6E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56B77"/>
    <w:multiLevelType w:val="hybridMultilevel"/>
    <w:tmpl w:val="FC5E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268C8"/>
    <w:multiLevelType w:val="hybridMultilevel"/>
    <w:tmpl w:val="3EDE2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433B0"/>
    <w:multiLevelType w:val="hybridMultilevel"/>
    <w:tmpl w:val="238C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C7427"/>
    <w:multiLevelType w:val="hybridMultilevel"/>
    <w:tmpl w:val="A0F68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C0C26"/>
    <w:multiLevelType w:val="hybridMultilevel"/>
    <w:tmpl w:val="9D381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87745"/>
    <w:multiLevelType w:val="hybridMultilevel"/>
    <w:tmpl w:val="EAEC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C0642"/>
    <w:multiLevelType w:val="hybridMultilevel"/>
    <w:tmpl w:val="EA8A3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116"/>
    <w:multiLevelType w:val="hybridMultilevel"/>
    <w:tmpl w:val="BD6E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E5AD6"/>
    <w:multiLevelType w:val="hybridMultilevel"/>
    <w:tmpl w:val="3652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212E9"/>
    <w:multiLevelType w:val="hybridMultilevel"/>
    <w:tmpl w:val="C5B65332"/>
    <w:lvl w:ilvl="0" w:tplc="23862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244D"/>
    <w:multiLevelType w:val="hybridMultilevel"/>
    <w:tmpl w:val="BB0E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8"/>
  </w:num>
  <w:num w:numId="5">
    <w:abstractNumId w:val="29"/>
  </w:num>
  <w:num w:numId="6">
    <w:abstractNumId w:val="0"/>
  </w:num>
  <w:num w:numId="7">
    <w:abstractNumId w:val="13"/>
  </w:num>
  <w:num w:numId="8">
    <w:abstractNumId w:val="1"/>
  </w:num>
  <w:num w:numId="9">
    <w:abstractNumId w:val="18"/>
  </w:num>
  <w:num w:numId="10">
    <w:abstractNumId w:val="7"/>
  </w:num>
  <w:num w:numId="11">
    <w:abstractNumId w:val="23"/>
  </w:num>
  <w:num w:numId="12">
    <w:abstractNumId w:val="12"/>
  </w:num>
  <w:num w:numId="13">
    <w:abstractNumId w:val="4"/>
  </w:num>
  <w:num w:numId="14">
    <w:abstractNumId w:val="14"/>
  </w:num>
  <w:num w:numId="15">
    <w:abstractNumId w:val="31"/>
  </w:num>
  <w:num w:numId="16">
    <w:abstractNumId w:val="6"/>
  </w:num>
  <w:num w:numId="17">
    <w:abstractNumId w:val="3"/>
  </w:num>
  <w:num w:numId="18">
    <w:abstractNumId w:val="9"/>
  </w:num>
  <w:num w:numId="19">
    <w:abstractNumId w:val="20"/>
  </w:num>
  <w:num w:numId="20">
    <w:abstractNumId w:val="25"/>
  </w:num>
  <w:num w:numId="21">
    <w:abstractNumId w:val="24"/>
  </w:num>
  <w:num w:numId="22">
    <w:abstractNumId w:val="16"/>
  </w:num>
  <w:num w:numId="23">
    <w:abstractNumId w:val="26"/>
  </w:num>
  <w:num w:numId="24">
    <w:abstractNumId w:val="27"/>
  </w:num>
  <w:num w:numId="25">
    <w:abstractNumId w:val="15"/>
  </w:num>
  <w:num w:numId="26">
    <w:abstractNumId w:val="19"/>
  </w:num>
  <w:num w:numId="27">
    <w:abstractNumId w:val="2"/>
  </w:num>
  <w:num w:numId="28">
    <w:abstractNumId w:val="30"/>
  </w:num>
  <w:num w:numId="29">
    <w:abstractNumId w:val="11"/>
  </w:num>
  <w:num w:numId="30">
    <w:abstractNumId w:val="5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733E5980-B7EE-4216-B12E-37767DC52B58"/>
    <w:docVar w:name="LW_COVERPAGE_TYPE" w:val="1"/>
    <w:docVar w:name="LW_CROSSREFERENCE" w:val="&lt;UNUSED&gt;"/>
    <w:docVar w:name="LW_DocType" w:val="NORMAL"/>
    <w:docVar w:name="LW_EMISSION" w:val="19.9.2018"/>
    <w:docVar w:name="LW_EMISSION_ISODATE" w:val="2018-09-19"/>
    <w:docVar w:name="LW_EMISSION_LOCATION" w:val="BRX"/>
    <w:docVar w:name="LW_EMISSION_PREFIX" w:val="Bryssel "/>
    <w:docVar w:name="LW_EMISSION_SUFFIX" w:val=" "/>
    <w:docVar w:name="LW_ID_DOCTYPE_NONLW" w:val="CP-042"/>
    <w:docVar w:name="LW_LANGUE" w:val="FI"/>
    <w:docVar w:name="LW_LEVEL_OF_SENSITIVITY" w:val="Standard treatment"/>
    <w:docVar w:name="LW_NOM.INST" w:val="EUROOPAN KOMISSIO"/>
    <w:docVar w:name="LW_NOM.INST_JOINTDOC" w:val="UNIONIN ULKOASIOIDEN_x000b_JA TURVALLISUUSPOLITIIKAN_x000b_KORKEA EDUSTAJA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JOIN"/>
    <w:docVar w:name="LW_REF.INST.NEW_ADOPTED" w:val="final"/>
    <w:docVar w:name="LW_REF.INST.NEW_TEXT" w:val="(2018) 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Euroopan ja Aasian yhteydet \u8211? EU:n strategian perusta &lt;/FMT&gt;_x000d__x000d__x000d__x000d__x000d__x000b__x000d__x000d__x000d__x000d__x000d__x000b_"/>
    <w:docVar w:name="LW_TYPE.DOC.CP" w:val="YHTEINEN TIEDONANTO EUROOPAN PARLAMENTILLE,_x000b_NEUVOSTOLLE, EUROOPAN TALOUS- JA SOSIAALIKOMITEALLE, ALUEIDEN KOMITEALLE JA EUROOPAN INVESTOINTIPANKILLE_x000b_"/>
    <w:docVar w:name="Stamp" w:val="\\dossiers.dgt.cec.eu.int\dossiers\EEAS\EEAS-2018-00221\EEAS-2018-00221-00-00-EN-EDT-00.201806221617445478627.DOCX"/>
  </w:docVars>
  <w:rsids>
    <w:rsidRoot w:val="004C4B74"/>
    <w:rsid w:val="0048754F"/>
    <w:rsid w:val="004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889164"/>
  <w15:docId w15:val="{8199C360-5AFE-4B5B-B64C-9B6677FD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ListParagraph">
    <w:name w:val="List Paragraph"/>
    <w:aliases w:val="Normal bullet 2,Bullet list,Numbered List,List Paragraph1,1st level - Bullet List Paragraph,Lettre d'introduction,Paragrafo elenco,Paragraph,Bullet EY,List Paragraph11,Normal bullet 21,List Paragraph111,Bullet list1,Bullet point 1,Dot pt"/>
    <w:basedOn w:val="Normal"/>
    <w:link w:val="ListParagraphChar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contextualSpacing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contextualSpacing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contextualSpacing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update1">
    <w:name w:val="update1"/>
    <w:basedOn w:val="DefaultParagraphFont"/>
    <w:rPr>
      <w:color w:val="006666"/>
    </w:rPr>
  </w:style>
  <w:style w:type="character" w:customStyle="1" w:styleId="bold1">
    <w:name w:val="bold1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ListParagraphChar">
    <w:name w:val="List Paragraph Char"/>
    <w:aliases w:val="Normal bullet 2 Char,Bullet list Char,Numbered List Char,List Paragraph1 Char,1st level - Bullet List Paragraph Char,Lettre d'introduction Char,Paragrafo elenco Char,Paragraph Char,Bullet EY Char,List Paragraph11 Char,Dot pt Char"/>
    <w:link w:val="ListParagraph"/>
    <w:uiPriority w:val="34"/>
    <w:qFormat/>
    <w:locked/>
  </w:style>
  <w:style w:type="character" w:customStyle="1" w:styleId="filetitle1">
    <w:name w:val="file__title1"/>
    <w:basedOn w:val="DefaultParagraphFont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46AA-75B1-4941-A2B0-A1AF955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4548</Words>
  <Characters>33658</Characters>
  <Application>Microsoft Office Word</Application>
  <DocSecurity>0</DocSecurity>
  <Lines>525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HEILEMANN Stefanie (SG)</cp:lastModifiedBy>
  <cp:revision>19</cp:revision>
  <cp:lastPrinted>2018-09-12T09:05:00Z</cp:lastPrinted>
  <dcterms:created xsi:type="dcterms:W3CDTF">2018-09-17T16:51:00Z</dcterms:created>
  <dcterms:modified xsi:type="dcterms:W3CDTF">2018-10-09T09:55:00Z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