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3" w:rsidRDefault="00847029" w:rsidP="0084702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EA2EF71-695C-45E3-B4B5-FD9C1520CBDF" style="width:450.75pt;height:518.25pt">
            <v:imagedata r:id="rId10" o:title=""/>
          </v:shape>
        </w:pict>
      </w:r>
    </w:p>
    <w:p w:rsidR="008E45D3" w:rsidRDefault="008E45D3">
      <w:pPr>
        <w:rPr>
          <w:noProof/>
        </w:rPr>
        <w:sectPr w:rsidR="008E45D3" w:rsidSect="00847029">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rsidR="008E45D3" w:rsidRDefault="00847029">
      <w:pPr>
        <w:pStyle w:val="Annexetitre"/>
        <w:rPr>
          <w:noProof/>
        </w:rPr>
      </w:pPr>
      <w:bookmarkStart w:id="0" w:name="_GoBack"/>
      <w:bookmarkEnd w:id="0"/>
      <w:r>
        <w:rPr>
          <w:noProof/>
        </w:rPr>
        <w:lastRenderedPageBreak/>
        <w:t>BIJLAGE I</w:t>
      </w:r>
    </w:p>
    <w:p w:rsidR="008E45D3" w:rsidRDefault="00847029">
      <w:pPr>
        <w:jc w:val="center"/>
        <w:rPr>
          <w:noProof/>
        </w:rPr>
      </w:pPr>
      <w:r>
        <w:rPr>
          <w:noProof/>
        </w:rPr>
        <w:t>Samenstelling van het permanente korps van de Europese grens- en kustwacht per jaar en categorie overeenkomstig artikel XX</w:t>
      </w:r>
    </w:p>
    <w:p w:rsidR="008E45D3" w:rsidRDefault="008E45D3">
      <w:pPr>
        <w:pStyle w:val="ListParagraph"/>
        <w:spacing w:before="0" w:after="0"/>
        <w:jc w:val="left"/>
        <w:rPr>
          <w:noProof/>
          <w:sz w:val="20"/>
          <w:szCs w:val="20"/>
        </w:rPr>
      </w:pPr>
    </w:p>
    <w:tbl>
      <w:tblPr>
        <w:tblpPr w:leftFromText="180" w:rightFromText="180" w:vertAnchor="text" w:horzAnchor="margin" w:tblpY="-6"/>
        <w:tblW w:w="9289" w:type="dxa"/>
        <w:tblCellMar>
          <w:left w:w="0" w:type="dxa"/>
          <w:right w:w="0" w:type="dxa"/>
        </w:tblCellMar>
        <w:tblLook w:val="04A0" w:firstRow="1" w:lastRow="0" w:firstColumn="1" w:lastColumn="0" w:noHBand="0" w:noVBand="1"/>
      </w:tblPr>
      <w:tblGrid>
        <w:gridCol w:w="1426"/>
        <w:gridCol w:w="1801"/>
        <w:gridCol w:w="2890"/>
        <w:gridCol w:w="1729"/>
        <w:gridCol w:w="1443"/>
      </w:tblGrid>
      <w:tr w:rsidR="008E45D3">
        <w:trPr>
          <w:trHeight w:val="1249"/>
        </w:trPr>
        <w:tc>
          <w:tcPr>
            <w:tcW w:w="14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8E45D3" w:rsidRDefault="00847029">
            <w:pPr>
              <w:jc w:val="center"/>
              <w:rPr>
                <w:b/>
                <w:noProof/>
                <w:color w:val="000000"/>
              </w:rPr>
            </w:pPr>
            <w:r>
              <w:rPr>
                <w:b/>
                <w:noProof/>
                <w:color w:val="000000"/>
              </w:rPr>
              <w:t xml:space="preserve">Categorie  </w:t>
            </w:r>
            <w:r>
              <w:rPr>
                <w:b/>
                <w:noProof/>
                <w:color w:val="000000"/>
              </w:rPr>
              <w:t>Jaar</w:t>
            </w:r>
          </w:p>
        </w:tc>
        <w:tc>
          <w:tcPr>
            <w:tcW w:w="1801"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tcPr>
          <w:p w:rsidR="008E45D3" w:rsidRDefault="00847029">
            <w:pPr>
              <w:jc w:val="center"/>
              <w:rPr>
                <w:b/>
                <w:noProof/>
                <w:color w:val="000000"/>
              </w:rPr>
            </w:pPr>
            <w:r>
              <w:rPr>
                <w:b/>
                <w:noProof/>
                <w:color w:val="000000"/>
              </w:rPr>
              <w:t>Categorie 1 Personeel van het Agentschap</w:t>
            </w:r>
          </w:p>
        </w:tc>
        <w:tc>
          <w:tcPr>
            <w:tcW w:w="289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8E45D3" w:rsidRDefault="00847029">
            <w:pPr>
              <w:jc w:val="center"/>
              <w:rPr>
                <w:b/>
                <w:noProof/>
                <w:color w:val="000000"/>
              </w:rPr>
            </w:pPr>
            <w:r>
              <w:rPr>
                <w:b/>
                <w:noProof/>
                <w:color w:val="000000"/>
              </w:rPr>
              <w:t>Categorie 2</w:t>
            </w:r>
          </w:p>
          <w:p w:rsidR="008E45D3" w:rsidRDefault="00847029">
            <w:pPr>
              <w:jc w:val="center"/>
              <w:rPr>
                <w:b/>
                <w:noProof/>
                <w:color w:val="000000"/>
              </w:rPr>
            </w:pPr>
            <w:r>
              <w:rPr>
                <w:b/>
                <w:noProof/>
                <w:color w:val="000000"/>
              </w:rPr>
              <w:t>Operationeel personeel voor langetermijndetachering</w:t>
            </w:r>
          </w:p>
        </w:tc>
        <w:tc>
          <w:tcPr>
            <w:tcW w:w="172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8E45D3" w:rsidRDefault="00847029">
            <w:pPr>
              <w:jc w:val="center"/>
              <w:rPr>
                <w:b/>
                <w:noProof/>
                <w:color w:val="000000"/>
              </w:rPr>
            </w:pPr>
            <w:r>
              <w:rPr>
                <w:b/>
                <w:noProof/>
                <w:color w:val="000000"/>
              </w:rPr>
              <w:t xml:space="preserve">Categorie 3 </w:t>
            </w:r>
          </w:p>
          <w:p w:rsidR="008E45D3" w:rsidRDefault="00847029">
            <w:pPr>
              <w:jc w:val="center"/>
              <w:rPr>
                <w:b/>
                <w:noProof/>
                <w:color w:val="000000"/>
              </w:rPr>
            </w:pPr>
            <w:r>
              <w:rPr>
                <w:b/>
                <w:noProof/>
                <w:color w:val="000000"/>
              </w:rPr>
              <w:t>Operationeel personeel dat korte tijd wordt ingezet</w:t>
            </w:r>
          </w:p>
        </w:tc>
        <w:tc>
          <w:tcPr>
            <w:tcW w:w="144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8E45D3" w:rsidRDefault="00847029">
            <w:pPr>
              <w:jc w:val="center"/>
              <w:rPr>
                <w:b/>
                <w:iCs/>
                <w:noProof/>
                <w:color w:val="000000"/>
              </w:rPr>
            </w:pPr>
            <w:r>
              <w:rPr>
                <w:b/>
                <w:noProof/>
                <w:color w:val="000000"/>
              </w:rPr>
              <w:t>Totaal voor het permanente korps van de Europese grens- en kustwacht</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2020</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1 500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1 500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7 000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2021</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2 000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2 000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6 000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2022</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2 000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2 000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6 000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2023</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2 500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2 500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5 000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2024</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2 500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2 500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5 000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2025</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3 000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3 000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4 000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2026</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3 000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3 000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4 000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r w:rsidR="008E45D3">
        <w:trPr>
          <w:trHeight w:val="299"/>
        </w:trPr>
        <w:tc>
          <w:tcPr>
            <w:tcW w:w="14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E45D3" w:rsidRDefault="00847029">
            <w:pPr>
              <w:jc w:val="center"/>
              <w:rPr>
                <w:b/>
                <w:noProof/>
                <w:color w:val="000000"/>
              </w:rPr>
            </w:pPr>
            <w:r>
              <w:rPr>
                <w:b/>
                <w:noProof/>
                <w:color w:val="000000"/>
              </w:rPr>
              <w:t>2027</w:t>
            </w:r>
          </w:p>
        </w:tc>
        <w:tc>
          <w:tcPr>
            <w:tcW w:w="18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3 000</w:t>
            </w:r>
          </w:p>
        </w:tc>
        <w:tc>
          <w:tcPr>
            <w:tcW w:w="28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3 000</w:t>
            </w:r>
          </w:p>
        </w:tc>
        <w:tc>
          <w:tcPr>
            <w:tcW w:w="1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rPr>
            </w:pPr>
            <w:r>
              <w:rPr>
                <w:noProof/>
                <w:color w:val="000000"/>
              </w:rPr>
              <w:t>4 000</w:t>
            </w:r>
          </w:p>
        </w:tc>
        <w:tc>
          <w:tcPr>
            <w:tcW w:w="14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45D3" w:rsidRDefault="00847029">
            <w:pPr>
              <w:spacing w:line="276" w:lineRule="auto"/>
              <w:jc w:val="center"/>
              <w:rPr>
                <w:noProof/>
                <w:color w:val="000000"/>
                <w:szCs w:val="24"/>
              </w:rPr>
            </w:pPr>
            <w:r>
              <w:rPr>
                <w:noProof/>
                <w:color w:val="000000"/>
              </w:rPr>
              <w:t>10 000</w:t>
            </w:r>
          </w:p>
        </w:tc>
      </w:tr>
    </w:tbl>
    <w:p w:rsidR="008E45D3" w:rsidRDefault="008E45D3">
      <w:pPr>
        <w:spacing w:before="0" w:after="160" w:line="259" w:lineRule="auto"/>
        <w:jc w:val="center"/>
        <w:rPr>
          <w:rFonts w:ascii="Calibri" w:eastAsia="Calibri" w:hAnsi="Calibri"/>
          <w:noProof/>
          <w:sz w:val="22"/>
        </w:rPr>
      </w:pPr>
    </w:p>
    <w:p w:rsidR="008E45D3" w:rsidRDefault="008E45D3">
      <w:pPr>
        <w:rPr>
          <w:noProof/>
        </w:rPr>
        <w:sectPr w:rsidR="008E45D3" w:rsidSect="00847029">
          <w:footerReference w:type="default" r:id="rId17"/>
          <w:footerReference w:type="first" r:id="rId18"/>
          <w:pgSz w:w="11907" w:h="16839"/>
          <w:pgMar w:top="1134" w:right="1417" w:bottom="1134" w:left="1417" w:header="709" w:footer="709" w:gutter="0"/>
          <w:cols w:space="720"/>
          <w:docGrid w:linePitch="360"/>
        </w:sectPr>
      </w:pPr>
    </w:p>
    <w:p w:rsidR="008E45D3" w:rsidRDefault="00847029">
      <w:pPr>
        <w:pStyle w:val="Annexetitre"/>
        <w:rPr>
          <w:noProof/>
        </w:rPr>
      </w:pPr>
      <w:r>
        <w:rPr>
          <w:noProof/>
        </w:rPr>
        <w:lastRenderedPageBreak/>
        <w:t>BIJLAGE II</w:t>
      </w:r>
    </w:p>
    <w:p w:rsidR="008E45D3" w:rsidRDefault="00847029">
      <w:pPr>
        <w:jc w:val="center"/>
        <w:rPr>
          <w:b/>
          <w:noProof/>
        </w:rPr>
      </w:pPr>
      <w:r>
        <w:rPr>
          <w:b/>
          <w:noProof/>
        </w:rPr>
        <w:t xml:space="preserve">Lijst van taken die moeten worden uitgevoerd door statutaire personeelsleden van het Agentschap als teamleden die vanuit het permanente korps van de Europese grens- en kustwacht worden ingezet en waarvoor uitvoerende bevoegdheden nodig zijn </w:t>
      </w:r>
    </w:p>
    <w:p w:rsidR="008E45D3" w:rsidRDefault="00847029">
      <w:pPr>
        <w:pStyle w:val="NumPar1"/>
        <w:numPr>
          <w:ilvl w:val="0"/>
          <w:numId w:val="14"/>
        </w:numPr>
        <w:rPr>
          <w:noProof/>
        </w:rPr>
      </w:pPr>
      <w:r>
        <w:rPr>
          <w:noProof/>
        </w:rPr>
        <w:t>verifiëren van</w:t>
      </w:r>
      <w:r>
        <w:rPr>
          <w:noProof/>
        </w:rPr>
        <w:t xml:space="preserve"> de identiteit en de nationaliteit van personen, met inbegrip van het raadplegen van relevante EU- en nationale databanken;</w:t>
      </w:r>
    </w:p>
    <w:p w:rsidR="008E45D3" w:rsidRDefault="00847029">
      <w:pPr>
        <w:pStyle w:val="NumPar1"/>
        <w:numPr>
          <w:ilvl w:val="0"/>
          <w:numId w:val="19"/>
        </w:numPr>
        <w:rPr>
          <w:noProof/>
        </w:rPr>
      </w:pPr>
      <w:r>
        <w:rPr>
          <w:noProof/>
        </w:rPr>
        <w:t>toestaan van toegang bij grenscontroles aan de grensdoorlaatposten (als de in artikel 6 van de Schengengrenscode vermelde toegangsvo</w:t>
      </w:r>
      <w:r>
        <w:rPr>
          <w:noProof/>
        </w:rPr>
        <w:t>orwaarden zijn vervuld);</w:t>
      </w:r>
    </w:p>
    <w:p w:rsidR="008E45D3" w:rsidRDefault="00847029">
      <w:pPr>
        <w:pStyle w:val="NumPar1"/>
        <w:numPr>
          <w:ilvl w:val="0"/>
          <w:numId w:val="19"/>
        </w:numPr>
        <w:rPr>
          <w:noProof/>
        </w:rPr>
      </w:pPr>
      <w:r>
        <w:rPr>
          <w:noProof/>
        </w:rPr>
        <w:t>weigeren van toegang bij grenscontroles aan de grensdoorlaatposten overeenkomstig artikel 14 van de Schengengrenscode;</w:t>
      </w:r>
    </w:p>
    <w:p w:rsidR="008E45D3" w:rsidRDefault="00847029">
      <w:pPr>
        <w:pStyle w:val="NumPar1"/>
        <w:numPr>
          <w:ilvl w:val="0"/>
          <w:numId w:val="19"/>
        </w:numPr>
        <w:rPr>
          <w:noProof/>
        </w:rPr>
      </w:pPr>
      <w:r>
        <w:rPr>
          <w:noProof/>
        </w:rPr>
        <w:t>afstempelen van reisdocumenten overeenkomstig artikel 11 van de Schengengrenscode;</w:t>
      </w:r>
    </w:p>
    <w:p w:rsidR="008E45D3" w:rsidRDefault="00847029">
      <w:pPr>
        <w:pStyle w:val="NumPar1"/>
        <w:numPr>
          <w:ilvl w:val="0"/>
          <w:numId w:val="19"/>
        </w:numPr>
        <w:rPr>
          <w:noProof/>
        </w:rPr>
      </w:pPr>
      <w:r>
        <w:rPr>
          <w:noProof/>
        </w:rPr>
        <w:t xml:space="preserve">afgeven of weigeren van visa </w:t>
      </w:r>
      <w:r>
        <w:rPr>
          <w:noProof/>
        </w:rPr>
        <w:t>aan de grens overeenkomstig artikel 35 van de Visumcode, en invoeren van de relevante gegevens in het VIS;</w:t>
      </w:r>
    </w:p>
    <w:p w:rsidR="008E45D3" w:rsidRDefault="00847029">
      <w:pPr>
        <w:pStyle w:val="NumPar1"/>
        <w:numPr>
          <w:ilvl w:val="0"/>
          <w:numId w:val="19"/>
        </w:numPr>
        <w:rPr>
          <w:noProof/>
        </w:rPr>
      </w:pPr>
      <w:r>
        <w:rPr>
          <w:noProof/>
        </w:rPr>
        <w:t xml:space="preserve">de grenzen bewaken, met inbegrip van patrouilles tussen grensdoorlaatposten, om onrechtmatige grensoverschrijding te voorkomen, grensoverschrijdende </w:t>
      </w:r>
      <w:r>
        <w:rPr>
          <w:noProof/>
        </w:rPr>
        <w:t>criminaliteit te bestrijden en maatregelen te nemen tegen personen die de grens illegaal hebben overschreden, met inbegrip van onderschepping/aanhouding;</w:t>
      </w:r>
    </w:p>
    <w:p w:rsidR="008E45D3" w:rsidRDefault="00847029">
      <w:pPr>
        <w:pStyle w:val="NumPar1"/>
        <w:numPr>
          <w:ilvl w:val="0"/>
          <w:numId w:val="19"/>
        </w:numPr>
        <w:rPr>
          <w:noProof/>
        </w:rPr>
      </w:pPr>
      <w:r>
        <w:rPr>
          <w:noProof/>
        </w:rPr>
        <w:t>registreren van vingerafdrukken van personen die zijn aangehouden in verband met illegale buitengrenso</w:t>
      </w:r>
      <w:r>
        <w:rPr>
          <w:noProof/>
        </w:rPr>
        <w:t>verschrijding (categorie 2) in Eurodac overeenkomstig hoofdstuk III van de Eurodac-verordening;</w:t>
      </w:r>
    </w:p>
    <w:p w:rsidR="008E45D3" w:rsidRDefault="00847029">
      <w:pPr>
        <w:pStyle w:val="NumPar1"/>
        <w:numPr>
          <w:ilvl w:val="0"/>
          <w:numId w:val="19"/>
        </w:numPr>
        <w:rPr>
          <w:noProof/>
        </w:rPr>
      </w:pPr>
      <w:r>
        <w:rPr>
          <w:noProof/>
        </w:rPr>
        <w:t>contacten leggen met derde landen met het oog op de identificatie van en de verkrijging van reisdocumenten voor onderdanen van derde landen die moeten terugkere</w:t>
      </w:r>
      <w:r>
        <w:rPr>
          <w:noProof/>
        </w:rPr>
        <w:t>n;</w:t>
      </w:r>
    </w:p>
    <w:p w:rsidR="008E45D3" w:rsidRDefault="00847029">
      <w:pPr>
        <w:pStyle w:val="NumPar1"/>
        <w:numPr>
          <w:ilvl w:val="0"/>
          <w:numId w:val="19"/>
        </w:numPr>
        <w:rPr>
          <w:noProof/>
        </w:rPr>
      </w:pPr>
      <w:r>
        <w:rPr>
          <w:noProof/>
        </w:rPr>
        <w:t>begeleiden van onderdanen van derde landen die gedwongen moeten terugkeren.</w:t>
      </w:r>
    </w:p>
    <w:p w:rsidR="008E45D3" w:rsidRDefault="008E45D3">
      <w:pPr>
        <w:rPr>
          <w:noProof/>
        </w:rPr>
      </w:pPr>
    </w:p>
    <w:p w:rsidR="008E45D3" w:rsidRDefault="008E45D3">
      <w:pPr>
        <w:rPr>
          <w:noProof/>
        </w:rPr>
        <w:sectPr w:rsidR="008E45D3" w:rsidSect="00847029">
          <w:pgSz w:w="11907" w:h="16839"/>
          <w:pgMar w:top="1134" w:right="1417" w:bottom="1134" w:left="1417" w:header="709" w:footer="709" w:gutter="0"/>
          <w:cols w:space="720"/>
          <w:docGrid w:linePitch="360"/>
        </w:sectPr>
      </w:pPr>
    </w:p>
    <w:p w:rsidR="008E45D3" w:rsidRDefault="00847029">
      <w:pPr>
        <w:pStyle w:val="Annexetitre"/>
        <w:rPr>
          <w:noProof/>
        </w:rPr>
      </w:pPr>
      <w:r>
        <w:rPr>
          <w:noProof/>
        </w:rPr>
        <w:t>BIJLAGE III</w:t>
      </w:r>
    </w:p>
    <w:p w:rsidR="008E45D3" w:rsidRDefault="00847029">
      <w:pPr>
        <w:spacing w:before="0" w:after="160" w:line="259" w:lineRule="auto"/>
        <w:jc w:val="center"/>
        <w:rPr>
          <w:rFonts w:eastAsia="Calibri"/>
          <w:b/>
          <w:noProof/>
          <w:szCs w:val="24"/>
        </w:rPr>
      </w:pPr>
      <w:r>
        <w:rPr>
          <w:b/>
          <w:noProof/>
        </w:rPr>
        <w:t xml:space="preserve">Tabel met de jaarlijkse bijdragen van de lidstaten aan het permanente korps van de Europese grens- en kustwacht via langetermijndetachering van </w:t>
      </w:r>
      <w:r>
        <w:rPr>
          <w:b/>
          <w:noProof/>
        </w:rPr>
        <w:t>operationeel personeel overeenkomstig artikel 57</w:t>
      </w:r>
    </w:p>
    <w:p w:rsidR="008E45D3" w:rsidRDefault="008E45D3">
      <w:pPr>
        <w:spacing w:before="0" w:after="160" w:line="259" w:lineRule="auto"/>
        <w:rPr>
          <w:rFonts w:ascii="Calibri" w:eastAsia="Calibri" w:hAnsi="Calibri"/>
          <w:b/>
          <w:i/>
          <w:noProof/>
          <w:sz w:val="22"/>
        </w:rPr>
      </w:pPr>
    </w:p>
    <w:tbl>
      <w:tblPr>
        <w:tblW w:w="8821" w:type="dxa"/>
        <w:tblLook w:val="04A0" w:firstRow="1" w:lastRow="0" w:firstColumn="1" w:lastColumn="0" w:noHBand="0" w:noVBand="1"/>
      </w:tblPr>
      <w:tblGrid>
        <w:gridCol w:w="1732"/>
        <w:gridCol w:w="932"/>
        <w:gridCol w:w="891"/>
        <w:gridCol w:w="836"/>
        <w:gridCol w:w="836"/>
        <w:gridCol w:w="932"/>
        <w:gridCol w:w="932"/>
        <w:gridCol w:w="932"/>
        <w:gridCol w:w="798"/>
      </w:tblGrid>
      <w:tr w:rsidR="008E45D3">
        <w:trPr>
          <w:trHeight w:val="317"/>
          <w:tblHeader/>
        </w:trPr>
        <w:tc>
          <w:tcPr>
            <w:tcW w:w="1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Land / Jaar</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2020</w:t>
            </w:r>
          </w:p>
        </w:tc>
        <w:tc>
          <w:tcPr>
            <w:tcW w:w="9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2021</w:t>
            </w:r>
          </w:p>
        </w:tc>
        <w:tc>
          <w:tcPr>
            <w:tcW w:w="84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2022</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2023</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2024</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2025</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2026</w:t>
            </w:r>
          </w:p>
        </w:tc>
        <w:tc>
          <w:tcPr>
            <w:tcW w:w="8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E45D3" w:rsidRDefault="00847029">
            <w:pPr>
              <w:spacing w:before="0" w:after="160" w:line="259" w:lineRule="auto"/>
              <w:jc w:val="left"/>
              <w:rPr>
                <w:rFonts w:eastAsia="Times New Roman"/>
                <w:b/>
                <w:bCs/>
                <w:noProof/>
                <w:sz w:val="22"/>
              </w:rPr>
            </w:pPr>
            <w:r>
              <w:rPr>
                <w:b/>
                <w:noProof/>
                <w:sz w:val="22"/>
              </w:rPr>
              <w:t>2027</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België</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Bulgarije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Tsjechië</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Denemarken</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39</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39</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Duitsland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298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298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377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450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Estland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24</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36</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Griekenland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Spanje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111</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148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148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222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222</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Frankrijk</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170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225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225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285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Kroatië</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Italië</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125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250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Cyprus</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Letland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Litouwen</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39</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78</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Luxemburg</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11</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11</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Hongarije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Malta</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12</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12</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Nederland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83</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Oostenrijk</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45</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68</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68</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Polen</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133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167</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200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Portugal</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94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94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94</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Roemenië</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125</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150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Slovenië</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Slowakije</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35</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47</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70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Finland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40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50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60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Zweden</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17</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28</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noProof/>
                <w:color w:val="000000"/>
              </w:rPr>
              <w:t>34</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8E45D3" w:rsidRDefault="00847029">
            <w:pPr>
              <w:spacing w:before="0" w:after="160" w:line="259" w:lineRule="auto"/>
              <w:jc w:val="left"/>
              <w:rPr>
                <w:rFonts w:eastAsia="Times New Roman"/>
                <w:b/>
                <w:bCs/>
                <w:noProof/>
                <w:sz w:val="22"/>
              </w:rPr>
            </w:pPr>
            <w:r>
              <w:rPr>
                <w:b/>
                <w:noProof/>
                <w:sz w:val="22"/>
              </w:rPr>
              <w:t>[Zwitserland]</w:t>
            </w:r>
          </w:p>
        </w:tc>
        <w:tc>
          <w:tcPr>
            <w:tcW w:w="951"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16</w:t>
            </w:r>
          </w:p>
        </w:tc>
        <w:tc>
          <w:tcPr>
            <w:tcW w:w="906"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21</w:t>
            </w:r>
          </w:p>
        </w:tc>
        <w:tc>
          <w:tcPr>
            <w:tcW w:w="845"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21</w:t>
            </w:r>
          </w:p>
        </w:tc>
        <w:tc>
          <w:tcPr>
            <w:tcW w:w="844"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27</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32</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32</w:t>
            </w:r>
          </w:p>
        </w:tc>
        <w:tc>
          <w:tcPr>
            <w:tcW w:w="802"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32</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8E45D3" w:rsidRDefault="00847029">
            <w:pPr>
              <w:spacing w:before="0" w:after="160" w:line="259" w:lineRule="auto"/>
              <w:jc w:val="left"/>
              <w:rPr>
                <w:rFonts w:eastAsia="Times New Roman"/>
                <w:b/>
                <w:bCs/>
                <w:noProof/>
                <w:sz w:val="22"/>
              </w:rPr>
            </w:pPr>
            <w:r>
              <w:rPr>
                <w:b/>
                <w:noProof/>
                <w:sz w:val="22"/>
              </w:rPr>
              <w:t>[IJsland]</w:t>
            </w:r>
          </w:p>
        </w:tc>
        <w:tc>
          <w:tcPr>
            <w:tcW w:w="951"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w:t>
            </w:r>
          </w:p>
        </w:tc>
        <w:tc>
          <w:tcPr>
            <w:tcW w:w="906"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w:t>
            </w:r>
          </w:p>
        </w:tc>
        <w:tc>
          <w:tcPr>
            <w:tcW w:w="845"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w:t>
            </w:r>
          </w:p>
        </w:tc>
        <w:tc>
          <w:tcPr>
            <w:tcW w:w="844"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4</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4</w:t>
            </w:r>
          </w:p>
        </w:tc>
        <w:tc>
          <w:tcPr>
            <w:tcW w:w="802"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4</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8E45D3" w:rsidRDefault="00847029">
            <w:pPr>
              <w:spacing w:before="0" w:after="160" w:line="259" w:lineRule="auto"/>
              <w:jc w:val="left"/>
              <w:rPr>
                <w:rFonts w:eastAsia="Times New Roman"/>
                <w:b/>
                <w:bCs/>
                <w:noProof/>
                <w:sz w:val="22"/>
              </w:rPr>
            </w:pPr>
            <w:r>
              <w:rPr>
                <w:b/>
                <w:noProof/>
                <w:sz w:val="22"/>
              </w:rPr>
              <w:t>[Liechtenstein]*</w:t>
            </w:r>
          </w:p>
        </w:tc>
        <w:tc>
          <w:tcPr>
            <w:tcW w:w="951"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906"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845"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844"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c>
          <w:tcPr>
            <w:tcW w:w="802"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sz w:val="22"/>
              </w:rPr>
              <w:t>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8E45D3" w:rsidRDefault="00847029">
            <w:pPr>
              <w:spacing w:before="0" w:after="160" w:line="259" w:lineRule="auto"/>
              <w:jc w:val="left"/>
              <w:rPr>
                <w:rFonts w:eastAsia="Times New Roman"/>
                <w:b/>
                <w:bCs/>
                <w:noProof/>
                <w:sz w:val="22"/>
              </w:rPr>
            </w:pPr>
            <w:r>
              <w:rPr>
                <w:b/>
                <w:noProof/>
                <w:sz w:val="22"/>
              </w:rPr>
              <w:t>[Noorwegen]</w:t>
            </w:r>
          </w:p>
        </w:tc>
        <w:tc>
          <w:tcPr>
            <w:tcW w:w="951"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20</w:t>
            </w:r>
          </w:p>
        </w:tc>
        <w:tc>
          <w:tcPr>
            <w:tcW w:w="906"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27</w:t>
            </w:r>
          </w:p>
        </w:tc>
        <w:tc>
          <w:tcPr>
            <w:tcW w:w="845"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27</w:t>
            </w:r>
          </w:p>
        </w:tc>
        <w:tc>
          <w:tcPr>
            <w:tcW w:w="844"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33</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40</w:t>
            </w:r>
          </w:p>
        </w:tc>
        <w:tc>
          <w:tcPr>
            <w:tcW w:w="950"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40</w:t>
            </w:r>
          </w:p>
        </w:tc>
        <w:tc>
          <w:tcPr>
            <w:tcW w:w="802" w:type="dxa"/>
            <w:tcBorders>
              <w:top w:val="single" w:sz="4" w:space="0" w:color="auto"/>
              <w:left w:val="nil"/>
              <w:bottom w:val="single" w:sz="4" w:space="0" w:color="auto"/>
              <w:right w:val="single" w:sz="4" w:space="0" w:color="auto"/>
            </w:tcBorders>
            <w:shd w:val="clear" w:color="auto" w:fill="auto"/>
            <w:vAlign w:val="center"/>
          </w:tcPr>
          <w:p w:rsidR="008E45D3" w:rsidRDefault="00847029">
            <w:pPr>
              <w:spacing w:before="0" w:after="160" w:line="259" w:lineRule="auto"/>
              <w:jc w:val="left"/>
              <w:rPr>
                <w:rFonts w:eastAsia="Times New Roman"/>
                <w:b/>
                <w:bCs/>
                <w:noProof/>
                <w:sz w:val="22"/>
              </w:rPr>
            </w:pPr>
            <w:r>
              <w:rPr>
                <w:noProof/>
                <w:color w:val="000000"/>
              </w:rPr>
              <w:t>40</w:t>
            </w:r>
          </w:p>
        </w:tc>
      </w:tr>
      <w:tr w:rsidR="008E45D3">
        <w:trPr>
          <w:trHeight w:val="317"/>
        </w:trPr>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5D3" w:rsidRDefault="00847029">
            <w:pPr>
              <w:spacing w:before="0" w:after="160" w:line="259" w:lineRule="auto"/>
              <w:jc w:val="left"/>
              <w:rPr>
                <w:rFonts w:eastAsia="Times New Roman"/>
                <w:b/>
                <w:bCs/>
                <w:noProof/>
                <w:sz w:val="22"/>
              </w:rPr>
            </w:pPr>
            <w:r>
              <w:rPr>
                <w:b/>
                <w:noProof/>
                <w:sz w:val="22"/>
              </w:rPr>
              <w:t>TOTAAL</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1 500</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2 000</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2 000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2 500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3 000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3 000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8E45D3" w:rsidRDefault="00847029">
            <w:pPr>
              <w:spacing w:before="0" w:after="160" w:line="259" w:lineRule="auto"/>
              <w:jc w:val="left"/>
              <w:rPr>
                <w:rFonts w:eastAsia="Times New Roman"/>
                <w:b/>
                <w:bCs/>
                <w:noProof/>
                <w:sz w:val="22"/>
              </w:rPr>
            </w:pPr>
            <w:r>
              <w:rPr>
                <w:b/>
                <w:noProof/>
                <w:color w:val="000000"/>
              </w:rPr>
              <w:t>3 000</w:t>
            </w:r>
          </w:p>
        </w:tc>
      </w:tr>
    </w:tbl>
    <w:p w:rsidR="008E45D3" w:rsidRDefault="00847029">
      <w:pPr>
        <w:spacing w:before="0" w:after="160" w:line="259" w:lineRule="auto"/>
        <w:jc w:val="left"/>
        <w:rPr>
          <w:rFonts w:eastAsia="Times New Roman"/>
          <w:noProof/>
          <w:szCs w:val="24"/>
        </w:rPr>
      </w:pPr>
      <w:r>
        <w:rPr>
          <w:noProof/>
        </w:rPr>
        <w:t xml:space="preserve">(*) Liechtenstein zal een </w:t>
      </w:r>
      <w:r>
        <w:rPr>
          <w:noProof/>
        </w:rPr>
        <w:t>evenredige bijdrage leveren in de vorm van financiële ondersteuning.</w:t>
      </w:r>
    </w:p>
    <w:p w:rsidR="008E45D3" w:rsidRDefault="008E45D3">
      <w:pPr>
        <w:rPr>
          <w:noProof/>
        </w:rPr>
        <w:sectPr w:rsidR="008E45D3" w:rsidSect="00847029">
          <w:pgSz w:w="11907" w:h="16839"/>
          <w:pgMar w:top="1134" w:right="1417" w:bottom="1134" w:left="1417" w:header="709" w:footer="709" w:gutter="0"/>
          <w:cols w:space="720"/>
          <w:docGrid w:linePitch="360"/>
        </w:sectPr>
      </w:pPr>
    </w:p>
    <w:p w:rsidR="008E45D3" w:rsidRDefault="00847029">
      <w:pPr>
        <w:pStyle w:val="Annexetitre"/>
        <w:rPr>
          <w:noProof/>
        </w:rPr>
      </w:pPr>
      <w:r>
        <w:rPr>
          <w:noProof/>
        </w:rPr>
        <w:t>BIJLAGE IV</w:t>
      </w:r>
    </w:p>
    <w:p w:rsidR="008E45D3" w:rsidRDefault="00847029">
      <w:pPr>
        <w:spacing w:before="0" w:after="160" w:line="259" w:lineRule="auto"/>
        <w:jc w:val="center"/>
        <w:rPr>
          <w:rFonts w:eastAsia="Calibri"/>
          <w:noProof/>
          <w:szCs w:val="24"/>
        </w:rPr>
      </w:pPr>
      <w:r>
        <w:rPr>
          <w:b/>
          <w:noProof/>
        </w:rPr>
        <w:t xml:space="preserve">Jaarlijkse bijdragen van de lidstaten aan het permanente korps van de Europese grens- en kustwacht voor het korte tijd inzetten van operationeel personeel </w:t>
      </w:r>
      <w:r>
        <w:rPr>
          <w:b/>
          <w:noProof/>
        </w:rPr>
        <w:t>overeenkomstig artikel 58</w:t>
      </w:r>
    </w:p>
    <w:p w:rsidR="008E45D3" w:rsidRDefault="008E45D3">
      <w:pPr>
        <w:spacing w:before="0" w:after="160" w:line="259" w:lineRule="auto"/>
        <w:jc w:val="center"/>
        <w:rPr>
          <w:rFonts w:ascii="Calibri" w:eastAsia="Calibri" w:hAnsi="Calibri"/>
          <w:noProof/>
          <w:sz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2"/>
        <w:gridCol w:w="960"/>
        <w:gridCol w:w="883"/>
        <w:gridCol w:w="850"/>
        <w:gridCol w:w="992"/>
        <w:gridCol w:w="851"/>
        <w:gridCol w:w="992"/>
        <w:gridCol w:w="711"/>
      </w:tblGrid>
      <w:tr w:rsidR="008E45D3">
        <w:trPr>
          <w:trHeight w:val="601"/>
          <w:jc w:val="center"/>
        </w:trPr>
        <w:tc>
          <w:tcPr>
            <w:tcW w:w="1800" w:type="dxa"/>
            <w:shd w:val="clear" w:color="auto" w:fill="D9D9D9" w:themeFill="background1" w:themeFillShade="D9"/>
            <w:noWrap/>
            <w:vAlign w:val="center"/>
            <w:hideMark/>
          </w:tcPr>
          <w:p w:rsidR="008E45D3" w:rsidRDefault="00847029">
            <w:pPr>
              <w:spacing w:before="0" w:after="0"/>
              <w:jc w:val="center"/>
              <w:rPr>
                <w:rFonts w:eastAsia="Times New Roman"/>
                <w:b/>
                <w:bCs/>
                <w:noProof/>
                <w:sz w:val="22"/>
              </w:rPr>
            </w:pPr>
            <w:r>
              <w:rPr>
                <w:b/>
                <w:noProof/>
                <w:sz w:val="22"/>
              </w:rPr>
              <w:t>Land / Jaar</w:t>
            </w:r>
          </w:p>
        </w:tc>
        <w:tc>
          <w:tcPr>
            <w:tcW w:w="752"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2020</w:t>
            </w:r>
          </w:p>
        </w:tc>
        <w:tc>
          <w:tcPr>
            <w:tcW w:w="960" w:type="dxa"/>
            <w:shd w:val="clear" w:color="auto" w:fill="D9D9D9" w:themeFill="background1" w:themeFillShade="D9"/>
            <w:noWrap/>
            <w:vAlign w:val="center"/>
            <w:hideMark/>
          </w:tcPr>
          <w:p w:rsidR="008E45D3" w:rsidRDefault="00847029">
            <w:pPr>
              <w:spacing w:before="0" w:after="0"/>
              <w:jc w:val="center"/>
              <w:rPr>
                <w:rFonts w:eastAsia="Times New Roman"/>
                <w:b/>
                <w:bCs/>
                <w:noProof/>
                <w:sz w:val="22"/>
              </w:rPr>
            </w:pPr>
            <w:r>
              <w:rPr>
                <w:b/>
                <w:noProof/>
                <w:sz w:val="22"/>
              </w:rPr>
              <w:t>2021</w:t>
            </w:r>
          </w:p>
        </w:tc>
        <w:tc>
          <w:tcPr>
            <w:tcW w:w="883"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2022</w:t>
            </w:r>
          </w:p>
        </w:tc>
        <w:tc>
          <w:tcPr>
            <w:tcW w:w="850"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2023</w:t>
            </w:r>
          </w:p>
        </w:tc>
        <w:tc>
          <w:tcPr>
            <w:tcW w:w="992"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2024</w:t>
            </w:r>
          </w:p>
        </w:tc>
        <w:tc>
          <w:tcPr>
            <w:tcW w:w="851"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2025</w:t>
            </w:r>
          </w:p>
        </w:tc>
        <w:tc>
          <w:tcPr>
            <w:tcW w:w="992"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2026</w:t>
            </w:r>
          </w:p>
        </w:tc>
        <w:tc>
          <w:tcPr>
            <w:tcW w:w="709" w:type="dxa"/>
            <w:shd w:val="clear" w:color="auto" w:fill="D9D9D9" w:themeFill="background1" w:themeFillShade="D9"/>
            <w:vAlign w:val="center"/>
            <w:hideMark/>
          </w:tcPr>
          <w:p w:rsidR="008E45D3" w:rsidRDefault="00847029">
            <w:pPr>
              <w:spacing w:before="0" w:after="0"/>
              <w:jc w:val="center"/>
              <w:rPr>
                <w:rFonts w:eastAsia="Times New Roman"/>
                <w:b/>
                <w:bCs/>
                <w:noProof/>
                <w:sz w:val="22"/>
              </w:rPr>
            </w:pPr>
            <w:r>
              <w:rPr>
                <w:b/>
                <w:noProof/>
                <w:sz w:val="22"/>
              </w:rPr>
              <w:t>2027</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België</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Bulgarije</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187</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107</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107</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Tsjechië</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Denemarken</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135</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116</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116</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77</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77</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Duitsland</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1052</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900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900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748</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748</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602</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602</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602</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Estland</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84</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72</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72</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48</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48</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48</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Griekenland</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Spanje</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518</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444</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444</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370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370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296</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296</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296</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Frankrijk</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795</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680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680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565</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565</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455</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455</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455</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Kroatië</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173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Italië</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583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500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500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417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417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333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333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Cyprus</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Letland</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Litouwen</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182</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156</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156</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104</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104</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104</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Luxemburg</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37</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32</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32</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Hongarije</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303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173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173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173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Malta</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28</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24</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24</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Nederland</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233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Oostenrijk</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159</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136</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136</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113</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91</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91</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91</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Polen</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467</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400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400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333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333</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267</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267</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Portugal</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219</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188</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188</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157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157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125</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125</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125</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Roemenië</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350</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300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300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250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250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200</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Slovenië</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Slowakije</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163</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117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93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Finland</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140</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120</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120</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100</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80</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Zweden</w:t>
            </w:r>
          </w:p>
        </w:tc>
        <w:tc>
          <w:tcPr>
            <w:tcW w:w="75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79</w:t>
            </w:r>
          </w:p>
        </w:tc>
        <w:tc>
          <w:tcPr>
            <w:tcW w:w="96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68</w:t>
            </w:r>
          </w:p>
        </w:tc>
        <w:tc>
          <w:tcPr>
            <w:tcW w:w="883"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68</w:t>
            </w:r>
          </w:p>
        </w:tc>
        <w:tc>
          <w:tcPr>
            <w:tcW w:w="850"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57</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57</w:t>
            </w:r>
          </w:p>
        </w:tc>
        <w:tc>
          <w:tcPr>
            <w:tcW w:w="851"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45</w:t>
            </w:r>
          </w:p>
        </w:tc>
        <w:tc>
          <w:tcPr>
            <w:tcW w:w="992"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45</w:t>
            </w:r>
          </w:p>
        </w:tc>
        <w:tc>
          <w:tcPr>
            <w:tcW w:w="709" w:type="dxa"/>
            <w:shd w:val="clear" w:color="auto" w:fill="auto"/>
            <w:noWrap/>
            <w:vAlign w:val="center"/>
            <w:hideMark/>
          </w:tcPr>
          <w:p w:rsidR="008E45D3" w:rsidRDefault="00847029">
            <w:pPr>
              <w:spacing w:before="0" w:after="0"/>
              <w:jc w:val="right"/>
              <w:rPr>
                <w:rFonts w:eastAsia="Times New Roman"/>
                <w:noProof/>
                <w:sz w:val="22"/>
              </w:rPr>
            </w:pPr>
            <w:r>
              <w:rPr>
                <w:noProof/>
                <w:color w:val="000000"/>
                <w:sz w:val="22"/>
              </w:rPr>
              <w:t>45</w:t>
            </w:r>
          </w:p>
        </w:tc>
      </w:tr>
      <w:tr w:rsidR="008E45D3">
        <w:trPr>
          <w:trHeight w:val="300"/>
          <w:jc w:val="center"/>
        </w:trPr>
        <w:tc>
          <w:tcPr>
            <w:tcW w:w="1800" w:type="dxa"/>
            <w:shd w:val="clear" w:color="auto" w:fill="auto"/>
            <w:noWrap/>
            <w:vAlign w:val="bottom"/>
          </w:tcPr>
          <w:p w:rsidR="008E45D3" w:rsidRDefault="00847029">
            <w:pPr>
              <w:spacing w:before="0" w:after="0"/>
              <w:jc w:val="left"/>
              <w:rPr>
                <w:rFonts w:eastAsia="Times New Roman"/>
                <w:b/>
                <w:noProof/>
                <w:sz w:val="22"/>
              </w:rPr>
            </w:pPr>
            <w:r>
              <w:rPr>
                <w:b/>
                <w:noProof/>
                <w:sz w:val="22"/>
              </w:rPr>
              <w:t>[Zwitserland]</w:t>
            </w:r>
          </w:p>
        </w:tc>
        <w:tc>
          <w:tcPr>
            <w:tcW w:w="75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75</w:t>
            </w:r>
          </w:p>
        </w:tc>
        <w:tc>
          <w:tcPr>
            <w:tcW w:w="96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64</w:t>
            </w:r>
          </w:p>
        </w:tc>
        <w:tc>
          <w:tcPr>
            <w:tcW w:w="883"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64</w:t>
            </w:r>
          </w:p>
        </w:tc>
        <w:tc>
          <w:tcPr>
            <w:tcW w:w="85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53</w:t>
            </w:r>
          </w:p>
        </w:tc>
        <w:tc>
          <w:tcPr>
            <w:tcW w:w="851"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43</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43</w:t>
            </w:r>
          </w:p>
        </w:tc>
        <w:tc>
          <w:tcPr>
            <w:tcW w:w="709"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43</w:t>
            </w:r>
          </w:p>
        </w:tc>
      </w:tr>
      <w:tr w:rsidR="008E45D3">
        <w:trPr>
          <w:trHeight w:val="300"/>
          <w:jc w:val="center"/>
        </w:trPr>
        <w:tc>
          <w:tcPr>
            <w:tcW w:w="1800" w:type="dxa"/>
            <w:shd w:val="clear" w:color="auto" w:fill="auto"/>
            <w:noWrap/>
            <w:vAlign w:val="bottom"/>
          </w:tcPr>
          <w:p w:rsidR="008E45D3" w:rsidRDefault="00847029">
            <w:pPr>
              <w:spacing w:before="0" w:after="0"/>
              <w:jc w:val="left"/>
              <w:rPr>
                <w:rFonts w:eastAsia="Times New Roman"/>
                <w:b/>
                <w:noProof/>
                <w:sz w:val="22"/>
              </w:rPr>
            </w:pPr>
            <w:r>
              <w:rPr>
                <w:b/>
                <w:noProof/>
                <w:sz w:val="22"/>
              </w:rPr>
              <w:t>[IJsland]</w:t>
            </w:r>
          </w:p>
        </w:tc>
        <w:tc>
          <w:tcPr>
            <w:tcW w:w="75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9</w:t>
            </w:r>
          </w:p>
        </w:tc>
        <w:tc>
          <w:tcPr>
            <w:tcW w:w="96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8</w:t>
            </w:r>
          </w:p>
        </w:tc>
        <w:tc>
          <w:tcPr>
            <w:tcW w:w="883"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8</w:t>
            </w:r>
          </w:p>
        </w:tc>
        <w:tc>
          <w:tcPr>
            <w:tcW w:w="85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7</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7</w:t>
            </w:r>
          </w:p>
        </w:tc>
        <w:tc>
          <w:tcPr>
            <w:tcW w:w="851"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w:t>
            </w:r>
          </w:p>
        </w:tc>
        <w:tc>
          <w:tcPr>
            <w:tcW w:w="709"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w:t>
            </w:r>
          </w:p>
        </w:tc>
      </w:tr>
      <w:tr w:rsidR="008E45D3">
        <w:trPr>
          <w:trHeight w:val="300"/>
          <w:jc w:val="center"/>
        </w:trPr>
        <w:tc>
          <w:tcPr>
            <w:tcW w:w="1800" w:type="dxa"/>
            <w:shd w:val="clear" w:color="auto" w:fill="auto"/>
            <w:noWrap/>
            <w:vAlign w:val="bottom"/>
          </w:tcPr>
          <w:p w:rsidR="008E45D3" w:rsidRDefault="00847029">
            <w:pPr>
              <w:spacing w:before="0" w:after="0"/>
              <w:jc w:val="left"/>
              <w:rPr>
                <w:rFonts w:eastAsia="Times New Roman"/>
                <w:b/>
                <w:noProof/>
                <w:sz w:val="22"/>
              </w:rPr>
            </w:pPr>
            <w:r>
              <w:rPr>
                <w:b/>
                <w:noProof/>
                <w:sz w:val="22"/>
              </w:rPr>
              <w:t>[Liechtenstein]*</w:t>
            </w:r>
          </w:p>
        </w:tc>
        <w:tc>
          <w:tcPr>
            <w:tcW w:w="75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96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883"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85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851"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c>
          <w:tcPr>
            <w:tcW w:w="709"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0</w:t>
            </w:r>
          </w:p>
        </w:tc>
      </w:tr>
      <w:tr w:rsidR="008E45D3">
        <w:trPr>
          <w:trHeight w:val="300"/>
          <w:jc w:val="center"/>
        </w:trPr>
        <w:tc>
          <w:tcPr>
            <w:tcW w:w="1800" w:type="dxa"/>
            <w:shd w:val="clear" w:color="auto" w:fill="auto"/>
            <w:noWrap/>
            <w:vAlign w:val="bottom"/>
          </w:tcPr>
          <w:p w:rsidR="008E45D3" w:rsidRDefault="00847029">
            <w:pPr>
              <w:spacing w:before="0" w:after="0"/>
              <w:jc w:val="left"/>
              <w:rPr>
                <w:rFonts w:eastAsia="Times New Roman"/>
                <w:b/>
                <w:noProof/>
                <w:sz w:val="22"/>
              </w:rPr>
            </w:pPr>
            <w:r>
              <w:rPr>
                <w:b/>
                <w:noProof/>
                <w:sz w:val="22"/>
              </w:rPr>
              <w:t>[Noorwegen]</w:t>
            </w:r>
          </w:p>
        </w:tc>
        <w:tc>
          <w:tcPr>
            <w:tcW w:w="75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93</w:t>
            </w:r>
          </w:p>
        </w:tc>
        <w:tc>
          <w:tcPr>
            <w:tcW w:w="96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80</w:t>
            </w:r>
          </w:p>
        </w:tc>
        <w:tc>
          <w:tcPr>
            <w:tcW w:w="883"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80</w:t>
            </w:r>
          </w:p>
        </w:tc>
        <w:tc>
          <w:tcPr>
            <w:tcW w:w="850"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67</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67</w:t>
            </w:r>
          </w:p>
        </w:tc>
        <w:tc>
          <w:tcPr>
            <w:tcW w:w="851"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53</w:t>
            </w:r>
          </w:p>
        </w:tc>
        <w:tc>
          <w:tcPr>
            <w:tcW w:w="992"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53</w:t>
            </w:r>
          </w:p>
        </w:tc>
        <w:tc>
          <w:tcPr>
            <w:tcW w:w="709" w:type="dxa"/>
            <w:shd w:val="clear" w:color="auto" w:fill="auto"/>
            <w:noWrap/>
            <w:vAlign w:val="center"/>
          </w:tcPr>
          <w:p w:rsidR="008E45D3" w:rsidRDefault="00847029">
            <w:pPr>
              <w:spacing w:before="0" w:after="0"/>
              <w:jc w:val="right"/>
              <w:rPr>
                <w:rFonts w:eastAsia="Times New Roman"/>
                <w:noProof/>
                <w:sz w:val="22"/>
              </w:rPr>
            </w:pPr>
            <w:r>
              <w:rPr>
                <w:noProof/>
                <w:color w:val="000000"/>
                <w:sz w:val="22"/>
              </w:rPr>
              <w:t>53</w:t>
            </w:r>
          </w:p>
        </w:tc>
      </w:tr>
      <w:tr w:rsidR="008E45D3">
        <w:trPr>
          <w:trHeight w:val="300"/>
          <w:jc w:val="center"/>
        </w:trPr>
        <w:tc>
          <w:tcPr>
            <w:tcW w:w="1800" w:type="dxa"/>
            <w:shd w:val="clear" w:color="auto" w:fill="auto"/>
            <w:noWrap/>
            <w:vAlign w:val="bottom"/>
            <w:hideMark/>
          </w:tcPr>
          <w:p w:rsidR="008E45D3" w:rsidRDefault="00847029">
            <w:pPr>
              <w:spacing w:before="0" w:after="0"/>
              <w:jc w:val="left"/>
              <w:rPr>
                <w:rFonts w:eastAsia="Times New Roman"/>
                <w:b/>
                <w:noProof/>
                <w:sz w:val="22"/>
              </w:rPr>
            </w:pPr>
            <w:r>
              <w:rPr>
                <w:b/>
                <w:noProof/>
                <w:sz w:val="22"/>
              </w:rPr>
              <w:t>TOTAAL</w:t>
            </w:r>
          </w:p>
        </w:tc>
        <w:tc>
          <w:tcPr>
            <w:tcW w:w="752"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7 000</w:t>
            </w:r>
          </w:p>
        </w:tc>
        <w:tc>
          <w:tcPr>
            <w:tcW w:w="960"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6 000</w:t>
            </w:r>
          </w:p>
        </w:tc>
        <w:tc>
          <w:tcPr>
            <w:tcW w:w="883"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6 000</w:t>
            </w:r>
          </w:p>
        </w:tc>
        <w:tc>
          <w:tcPr>
            <w:tcW w:w="850"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5 000</w:t>
            </w:r>
          </w:p>
        </w:tc>
        <w:tc>
          <w:tcPr>
            <w:tcW w:w="992"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5 000</w:t>
            </w:r>
          </w:p>
        </w:tc>
        <w:tc>
          <w:tcPr>
            <w:tcW w:w="851"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4 000</w:t>
            </w:r>
          </w:p>
        </w:tc>
        <w:tc>
          <w:tcPr>
            <w:tcW w:w="992"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4 000</w:t>
            </w:r>
          </w:p>
        </w:tc>
        <w:tc>
          <w:tcPr>
            <w:tcW w:w="709" w:type="dxa"/>
            <w:shd w:val="clear" w:color="auto" w:fill="auto"/>
            <w:noWrap/>
            <w:vAlign w:val="center"/>
            <w:hideMark/>
          </w:tcPr>
          <w:p w:rsidR="008E45D3" w:rsidRDefault="00847029">
            <w:pPr>
              <w:spacing w:before="0" w:after="0"/>
              <w:jc w:val="right"/>
              <w:rPr>
                <w:rFonts w:eastAsia="Times New Roman"/>
                <w:b/>
                <w:bCs/>
                <w:noProof/>
                <w:sz w:val="22"/>
              </w:rPr>
            </w:pPr>
            <w:r>
              <w:rPr>
                <w:b/>
                <w:noProof/>
                <w:color w:val="000000"/>
                <w:sz w:val="22"/>
              </w:rPr>
              <w:t>4 000</w:t>
            </w:r>
          </w:p>
        </w:tc>
      </w:tr>
    </w:tbl>
    <w:p w:rsidR="008E45D3" w:rsidRDefault="00847029">
      <w:pPr>
        <w:spacing w:before="0" w:after="160" w:line="259" w:lineRule="auto"/>
        <w:jc w:val="left"/>
        <w:rPr>
          <w:rFonts w:eastAsia="Calibri"/>
          <w:noProof/>
          <w:sz w:val="22"/>
        </w:rPr>
      </w:pPr>
      <w:r>
        <w:rPr>
          <w:noProof/>
          <w:sz w:val="22"/>
        </w:rPr>
        <w:t>(*) Liechtenstein zal een evenredige bijdrage leveren in de vorm van financiële ondersteuning.</w:t>
      </w:r>
    </w:p>
    <w:p w:rsidR="008E45D3" w:rsidRDefault="008E45D3">
      <w:pPr>
        <w:rPr>
          <w:noProof/>
        </w:rPr>
        <w:sectPr w:rsidR="008E45D3" w:rsidSect="00847029">
          <w:pgSz w:w="11907" w:h="16839"/>
          <w:pgMar w:top="1134" w:right="1417" w:bottom="1134" w:left="1417" w:header="709" w:footer="709" w:gutter="0"/>
          <w:cols w:space="720"/>
          <w:docGrid w:linePitch="360"/>
        </w:sectPr>
      </w:pPr>
    </w:p>
    <w:p w:rsidR="008E45D3" w:rsidRDefault="00847029">
      <w:pPr>
        <w:pStyle w:val="Annexetitre"/>
        <w:rPr>
          <w:noProof/>
        </w:rPr>
      </w:pPr>
      <w:r>
        <w:rPr>
          <w:noProof/>
        </w:rPr>
        <w:t>BIJLAGE V</w:t>
      </w:r>
    </w:p>
    <w:p w:rsidR="008E45D3" w:rsidRDefault="00847029">
      <w:pPr>
        <w:jc w:val="center"/>
        <w:rPr>
          <w:b/>
          <w:noProof/>
          <w:szCs w:val="24"/>
        </w:rPr>
      </w:pPr>
      <w:r>
        <w:rPr>
          <w:b/>
          <w:noProof/>
        </w:rPr>
        <w:t xml:space="preserve">Regels betreffende het gebruik van geweld, met inbegrip van de levering, de controle en het gebruik van vuurwapens en </w:t>
      </w:r>
      <w:r>
        <w:rPr>
          <w:b/>
          <w:noProof/>
        </w:rPr>
        <w:t>niet-dodelijke uitrusting, en de opleiding daarover, die van toepassing zijn op de statutaire personeelsleden van het Agentschap wanneer zij optreden als teamleden die worden ingezet vanuit het permanente korps van de Europese grens- en kustwacht</w:t>
      </w:r>
    </w:p>
    <w:p w:rsidR="008E45D3" w:rsidRDefault="00847029">
      <w:pPr>
        <w:pStyle w:val="Heading1"/>
        <w:numPr>
          <w:ilvl w:val="0"/>
          <w:numId w:val="15"/>
        </w:numPr>
        <w:rPr>
          <w:noProof/>
        </w:rPr>
      </w:pPr>
      <w:r>
        <w:rPr>
          <w:i/>
          <w:noProof/>
        </w:rPr>
        <w:t xml:space="preserve"> </w:t>
      </w:r>
      <w:r>
        <w:rPr>
          <w:noProof/>
        </w:rPr>
        <w:t>Algemene</w:t>
      </w:r>
      <w:r>
        <w:rPr>
          <w:noProof/>
        </w:rPr>
        <w:t xml:space="preserve"> beginselen inzake het gebruik van geweld en wapens</w:t>
      </w:r>
    </w:p>
    <w:p w:rsidR="008E45D3" w:rsidRDefault="00847029">
      <w:pPr>
        <w:spacing w:before="0"/>
        <w:rPr>
          <w:b/>
          <w:i/>
          <w:noProof/>
          <w:szCs w:val="24"/>
        </w:rPr>
      </w:pPr>
      <w:r>
        <w:rPr>
          <w:noProof/>
        </w:rPr>
        <w:t>Voor de toepassing van deze verordening wordt met "gebruik van geweld" bedoeld dat het statutaire operationele personeel van het Agentschap een beroep mag doen op fysieke middelen om zijn taken uit te voe</w:t>
      </w:r>
      <w:r>
        <w:rPr>
          <w:noProof/>
        </w:rPr>
        <w:t>ren of zichzelf te verdedigen, onder meer door gebruik te maken van de handen en het lichaam, instrumenten, wapens of uitrusting, en vuurwapens.</w:t>
      </w:r>
    </w:p>
    <w:p w:rsidR="008E45D3" w:rsidRDefault="00847029">
      <w:pPr>
        <w:spacing w:before="0"/>
        <w:rPr>
          <w:b/>
          <w:noProof/>
          <w:szCs w:val="24"/>
        </w:rPr>
      </w:pPr>
      <w:r>
        <w:rPr>
          <w:noProof/>
        </w:rPr>
        <w:t>Het gebruik van geweld en wapens door leden van de teams die worden ingezet vanuit het statutaire personeel van</w:t>
      </w:r>
      <w:r>
        <w:rPr>
          <w:noProof/>
        </w:rPr>
        <w:t xml:space="preserve"> het Agentschap moet voldoen aan de hieronder beschreven beginselen van noodzakelijkheid, evenredigheid en voorzorg (de "kernbeginselen").</w:t>
      </w:r>
    </w:p>
    <w:p w:rsidR="008E45D3" w:rsidRDefault="00847029">
      <w:pPr>
        <w:spacing w:before="0"/>
        <w:rPr>
          <w:i/>
          <w:noProof/>
          <w:szCs w:val="24"/>
        </w:rPr>
      </w:pPr>
      <w:r>
        <w:rPr>
          <w:i/>
          <w:noProof/>
        </w:rPr>
        <w:t>Beginsel van noodzakelijkheid</w:t>
      </w:r>
    </w:p>
    <w:p w:rsidR="008E45D3" w:rsidRDefault="00847029">
      <w:pPr>
        <w:spacing w:before="0"/>
        <w:rPr>
          <w:noProof/>
          <w:szCs w:val="24"/>
        </w:rPr>
      </w:pPr>
      <w:r>
        <w:rPr>
          <w:noProof/>
        </w:rPr>
        <w:t xml:space="preserve">Het gebruik van geweld, hetzij via rechtstreeks fysiek contact, hetzij door gebruik te </w:t>
      </w:r>
      <w:r>
        <w:rPr>
          <w:noProof/>
        </w:rPr>
        <w:t>maken van wapens of uitrusting, dient uitzonderlijk te zijn en is alleen toegestaan wanneer dat strikt noodzakelijk is voor de vervulling van de taken van het Agentschap of uit zelfverdediging. Geweld mag alleen als laatste redmiddel worden gebruikt, nadat</w:t>
      </w:r>
      <w:r>
        <w:rPr>
          <w:noProof/>
        </w:rPr>
        <w:t xml:space="preserve"> alle redelijke inspanningen zijn geleverd om een situatie op te lossen met gebruikmaking van geweldloze middelen, zoals overreding, onderhandeling of bemiddeling. Het gebruik van geweld of het uitoefenen van dwang mag nooit willekeurig of onrechtmatig zij</w:t>
      </w:r>
      <w:r>
        <w:rPr>
          <w:noProof/>
        </w:rPr>
        <w:t>n.</w:t>
      </w:r>
    </w:p>
    <w:p w:rsidR="008E45D3" w:rsidRDefault="00847029">
      <w:pPr>
        <w:spacing w:before="0"/>
        <w:rPr>
          <w:i/>
          <w:noProof/>
          <w:szCs w:val="24"/>
        </w:rPr>
      </w:pPr>
      <w:r>
        <w:rPr>
          <w:i/>
          <w:noProof/>
        </w:rPr>
        <w:t>Evenredigheidsbeginsel</w:t>
      </w:r>
    </w:p>
    <w:p w:rsidR="008E45D3" w:rsidRDefault="00847029">
      <w:pPr>
        <w:spacing w:before="0"/>
        <w:rPr>
          <w:i/>
          <w:noProof/>
          <w:szCs w:val="24"/>
        </w:rPr>
      </w:pPr>
      <w:r>
        <w:rPr>
          <w:noProof/>
        </w:rPr>
        <w:t>Wanneer het rechtmatige gebruik van geweld of vuurwapens onvermijdelijk is, dient het optreden van de statutaire operationele personeelsleden van het Agentschap in verhouding te staan tot de ernst van het laakbaar gedrag en het te</w:t>
      </w:r>
      <w:r>
        <w:rPr>
          <w:noProof/>
        </w:rPr>
        <w:t xml:space="preserve"> bereiken legitieme doel. Tijdens de operationele activiteiten moet het evenredigheidsbeginsel zowel de aard van het gebruikte geweld (bv. de noodzaak om wapens te gebruiken) als de omvang ervan sturen. Het statutair operationeel personeel van het Agentsch</w:t>
      </w:r>
      <w:r>
        <w:rPr>
          <w:noProof/>
        </w:rPr>
        <w:t>ap mag niet meer geweld gebruiken dan strikt noodzakelijk is om het legitieme doel van rechtshandhaving te verwezenlijken. Indien een vuurwapen wordt gebruikt, dient het statutair operationeel personeel van het Agentschap erop toe te zien dat dit gebruik z</w:t>
      </w:r>
      <w:r>
        <w:rPr>
          <w:noProof/>
        </w:rPr>
        <w:t>o weinig mogelijk verwondingen veroorzaakt, en letsel of schade tot een minimum beperkt. Op grond van dit beginsel moet het Agentschap zijn statutair personeel de uitrusting en zelfverdedigingsinstrumenten verschaffen die het nodig heeft om het gepaste niv</w:t>
      </w:r>
      <w:r>
        <w:rPr>
          <w:noProof/>
        </w:rPr>
        <w:t>eau van geweld te gebruiken.</w:t>
      </w:r>
    </w:p>
    <w:p w:rsidR="008E45D3" w:rsidRDefault="00847029">
      <w:pPr>
        <w:spacing w:before="0"/>
        <w:rPr>
          <w:noProof/>
        </w:rPr>
      </w:pPr>
      <w:r>
        <w:rPr>
          <w:i/>
          <w:noProof/>
        </w:rPr>
        <w:t>Het voorzorgbeginsel</w:t>
      </w:r>
    </w:p>
    <w:p w:rsidR="008E45D3" w:rsidRDefault="00847029">
      <w:pPr>
        <w:spacing w:before="0"/>
        <w:rPr>
          <w:noProof/>
          <w:szCs w:val="24"/>
        </w:rPr>
      </w:pPr>
      <w:r>
        <w:rPr>
          <w:noProof/>
        </w:rPr>
        <w:t>De operationele activiteiten van het statutair operationeel personeel van het Agentschap dienen het menselijk leven ten volle te eerbiedigen en in stand te houden. Alle nodige maatregelen dienen te worden g</w:t>
      </w:r>
      <w:r>
        <w:rPr>
          <w:noProof/>
        </w:rPr>
        <w:t>enomen om het risico van verwondingen en schade tijdens operaties tot een minimum te beperken. Deze verplichting omvat een algemene verplichting voor het statutair operationeel personeel van het Agentschap om duidelijke waarschuwingen te geven over de inte</w:t>
      </w:r>
      <w:r>
        <w:rPr>
          <w:noProof/>
        </w:rPr>
        <w:t>ntie om geweld te gebruiken, tenzij een dergelijke waarschuwing de leden van de teams onnodig in gevaar zou brengen, voor anderen een risico op overlijden of ernstige schade zou meebrengen, of in de specifieke omstandigheden duidelijk ongeschikt of ondoelt</w:t>
      </w:r>
      <w:r>
        <w:rPr>
          <w:noProof/>
        </w:rPr>
        <w:t>reffend zou zijn.</w:t>
      </w:r>
    </w:p>
    <w:p w:rsidR="008E45D3" w:rsidRDefault="00847029">
      <w:pPr>
        <w:pStyle w:val="Heading1"/>
        <w:numPr>
          <w:ilvl w:val="0"/>
          <w:numId w:val="20"/>
        </w:numPr>
        <w:rPr>
          <w:noProof/>
        </w:rPr>
      </w:pPr>
      <w:r>
        <w:rPr>
          <w:noProof/>
        </w:rPr>
        <w:t>Praktische regels voor het gebruik van geweld, dienstwapens, munitie en uitrusting</w:t>
      </w:r>
    </w:p>
    <w:p w:rsidR="008E45D3" w:rsidRDefault="00847029">
      <w:pPr>
        <w:spacing w:before="0"/>
        <w:rPr>
          <w:b/>
          <w:noProof/>
          <w:szCs w:val="24"/>
        </w:rPr>
      </w:pPr>
      <w:r>
        <w:rPr>
          <w:b/>
          <w:noProof/>
        </w:rPr>
        <w:t>Algemene praktische regels voor het gebruik van geweld, wapens en andere uitrusting</w:t>
      </w:r>
    </w:p>
    <w:p w:rsidR="008E45D3" w:rsidRDefault="00847029">
      <w:pPr>
        <w:spacing w:before="0"/>
        <w:rPr>
          <w:noProof/>
          <w:szCs w:val="24"/>
        </w:rPr>
      </w:pPr>
      <w:r>
        <w:rPr>
          <w:noProof/>
        </w:rPr>
        <w:t>Overeenkomstig artikel 83, lid 3, oefenen de statutaire operationele pe</w:t>
      </w:r>
      <w:r>
        <w:rPr>
          <w:noProof/>
        </w:rPr>
        <w:t>rsoneelsleden van het Agentschap hun uitvoerende bevoegdheden, inclusief die om geweld te gebruiken, uit onder het bevel en de controle van de ontvangende lidstaat, en mogen zij alleen geweld, met inbegrip van wapens, munitie en uitrusting, gebruiken na to</w:t>
      </w:r>
      <w:r>
        <w:rPr>
          <w:noProof/>
        </w:rPr>
        <w:t>estemming van de bevoegde autoriteiten van de ontvangende lidstaat en in aanwezigheid van de grenswachters van de ontvangende lidstaat. Niettemin kunnen de bevoegde autoriteiten van de ontvangende lidstaat, met de instemming van het Agentschap, het statuta</w:t>
      </w:r>
      <w:r>
        <w:rPr>
          <w:noProof/>
        </w:rPr>
        <w:t>ir operationeel personeel van het Agentschap machtigen om geweld te gebruiken in afwezigheid van functionarissen van de ontvangende lidstaat.</w:t>
      </w:r>
    </w:p>
    <w:p w:rsidR="008E45D3" w:rsidRDefault="00847029">
      <w:pPr>
        <w:spacing w:before="0"/>
        <w:rPr>
          <w:noProof/>
          <w:szCs w:val="24"/>
        </w:rPr>
      </w:pPr>
      <w:r>
        <w:rPr>
          <w:noProof/>
        </w:rPr>
        <w:t>Het gebruik van geweld en wapens door het statutair operationeel personeel van het Agentschap dient:</w:t>
      </w:r>
    </w:p>
    <w:p w:rsidR="008E45D3" w:rsidRDefault="00847029">
      <w:pPr>
        <w:pStyle w:val="Point0letter"/>
        <w:numPr>
          <w:ilvl w:val="1"/>
          <w:numId w:val="16"/>
        </w:numPr>
        <w:rPr>
          <w:noProof/>
        </w:rPr>
      </w:pPr>
      <w:r>
        <w:rPr>
          <w:noProof/>
        </w:rPr>
        <w:t>in overeenste</w:t>
      </w:r>
      <w:r>
        <w:rPr>
          <w:noProof/>
        </w:rPr>
        <w:t>mming te zijn met de gedragscode van het Agentschap;</w:t>
      </w:r>
    </w:p>
    <w:p w:rsidR="008E45D3" w:rsidRDefault="00847029">
      <w:pPr>
        <w:pStyle w:val="Point0letter"/>
        <w:numPr>
          <w:ilvl w:val="1"/>
          <w:numId w:val="21"/>
        </w:numPr>
        <w:rPr>
          <w:noProof/>
        </w:rPr>
      </w:pPr>
      <w:r>
        <w:rPr>
          <w:noProof/>
        </w:rPr>
        <w:t>de grondrechten te eerbiedigen, zoals die worden gewaarborgd door het internationaal recht en het recht van de Unie, waaronder met name het Handvest van de grondrechten, het Europees Verdrag voor de rech</w:t>
      </w:r>
      <w:r>
        <w:rPr>
          <w:noProof/>
        </w:rPr>
        <w:t>ten van de mens, de Grondbeginselen van de Verenigde Naties voor het gebruik van geweld en vuurwapens door politiefunctionarissen van 1990 en de VN-gedragscode voor wetshandhavers van 1979;</w:t>
      </w:r>
    </w:p>
    <w:p w:rsidR="008E45D3" w:rsidRDefault="00847029">
      <w:pPr>
        <w:pStyle w:val="Point0letter"/>
        <w:numPr>
          <w:ilvl w:val="1"/>
          <w:numId w:val="21"/>
        </w:numPr>
        <w:rPr>
          <w:noProof/>
        </w:rPr>
      </w:pPr>
      <w:r>
        <w:rPr>
          <w:noProof/>
        </w:rPr>
        <w:t>in overeenstemming te zijn met de in deel I bedoelde kernbeginsele</w:t>
      </w:r>
      <w:r>
        <w:rPr>
          <w:noProof/>
        </w:rPr>
        <w:t>n.</w:t>
      </w:r>
    </w:p>
    <w:p w:rsidR="008E45D3" w:rsidRDefault="00847029">
      <w:pPr>
        <w:spacing w:before="0"/>
        <w:rPr>
          <w:noProof/>
          <w:szCs w:val="24"/>
        </w:rPr>
      </w:pPr>
      <w:r>
        <w:rPr>
          <w:b/>
          <w:noProof/>
        </w:rPr>
        <w:t>Specifieke praktische regels voor de meest gebruikte vormen van geweld bij rechtshandhaving (elementen van de persoonlijke uitrusting van het statutair operationeel personeel van het Agentschap)</w:t>
      </w:r>
    </w:p>
    <w:p w:rsidR="008E45D3" w:rsidRDefault="00847029">
      <w:pPr>
        <w:spacing w:before="0"/>
        <w:rPr>
          <w:noProof/>
          <w:szCs w:val="24"/>
        </w:rPr>
      </w:pPr>
      <w:r>
        <w:rPr>
          <w:noProof/>
        </w:rPr>
        <w:t>Overeenkomstig de kernbeginselen is het gebruik van geweld</w:t>
      </w:r>
      <w:r>
        <w:rPr>
          <w:noProof/>
        </w:rPr>
        <w:t xml:space="preserve"> alleen toegestaan voor zover dit noodzakelijk is om het directe rechtshandhavingsdoel te bereiken en alleen nadat:</w:t>
      </w:r>
    </w:p>
    <w:p w:rsidR="008E45D3" w:rsidRDefault="00847029">
      <w:pPr>
        <w:spacing w:before="0"/>
        <w:ind w:left="851" w:hanging="284"/>
        <w:rPr>
          <w:noProof/>
          <w:szCs w:val="24"/>
        </w:rPr>
      </w:pPr>
      <w:r>
        <w:rPr>
          <w:noProof/>
        </w:rPr>
        <w:t>-</w:t>
      </w:r>
      <w:r>
        <w:rPr>
          <w:noProof/>
        </w:rPr>
        <w:tab/>
        <w:t>de pogingen om een mogelijk gewelddadige confrontatie op te lossen door middel van overreding, onderhandeling, bemiddeling zijn uitgeput e</w:t>
      </w:r>
      <w:r>
        <w:rPr>
          <w:noProof/>
        </w:rPr>
        <w:t>n mislukt;</w:t>
      </w:r>
    </w:p>
    <w:p w:rsidR="008E45D3" w:rsidRDefault="00847029">
      <w:pPr>
        <w:spacing w:before="0"/>
        <w:ind w:left="851" w:hanging="284"/>
        <w:rPr>
          <w:noProof/>
          <w:szCs w:val="24"/>
        </w:rPr>
      </w:pPr>
      <w:r>
        <w:rPr>
          <w:noProof/>
        </w:rPr>
        <w:t>-</w:t>
      </w:r>
      <w:r>
        <w:rPr>
          <w:noProof/>
        </w:rPr>
        <w:tab/>
        <w:t>een waarschuwing is gegeven met betrekking tot het voornemen om geweld te gebruiken.</w:t>
      </w:r>
    </w:p>
    <w:p w:rsidR="008E45D3" w:rsidRDefault="00847029">
      <w:pPr>
        <w:spacing w:before="0"/>
        <w:rPr>
          <w:noProof/>
          <w:szCs w:val="24"/>
        </w:rPr>
      </w:pPr>
      <w:r>
        <w:rPr>
          <w:noProof/>
        </w:rPr>
        <w:t xml:space="preserve">Indien het niveau van de interventie moet worden verhoogd (bijvoorbeeld het inzetten van een wapen of een ander soort wapen), moet daarvoor ook duidelijk </w:t>
      </w:r>
      <w:r>
        <w:rPr>
          <w:noProof/>
        </w:rPr>
        <w:t>worden gewaarschuwd, tenzij een dergelijke waarschuwing de teamleden onnodig in gevaar zou brengen, voor anderen een risico op overlijden of ernstige schade zou meebrengen, of in de specifieke omstandigheden duidelijk ongeschikt of ondoeltreffend zou zijn.</w:t>
      </w:r>
    </w:p>
    <w:p w:rsidR="008E45D3" w:rsidRDefault="00847029">
      <w:pPr>
        <w:spacing w:before="0"/>
        <w:rPr>
          <w:b/>
          <w:i/>
          <w:noProof/>
          <w:szCs w:val="24"/>
        </w:rPr>
      </w:pPr>
      <w:r>
        <w:rPr>
          <w:b/>
          <w:i/>
          <w:noProof/>
        </w:rPr>
        <w:t>Vuurwapens</w:t>
      </w:r>
    </w:p>
    <w:p w:rsidR="008E45D3" w:rsidRDefault="00847029">
      <w:pPr>
        <w:spacing w:before="0"/>
        <w:rPr>
          <w:noProof/>
          <w:szCs w:val="24"/>
        </w:rPr>
      </w:pPr>
      <w:r>
        <w:rPr>
          <w:noProof/>
        </w:rPr>
        <w:t>Het statutair operationeel personeel van het Agentschap maakt geen gebruik van vuurwapens tegen personen, behalve in de volgende omstandigheden, en alleen wanneer minder extreme middelen ontoereikend zijn om de noodzakelijke doelstellingen te v</w:t>
      </w:r>
      <w:r>
        <w:rPr>
          <w:noProof/>
        </w:rPr>
        <w:t>erwezenlijken:</w:t>
      </w:r>
    </w:p>
    <w:p w:rsidR="008E45D3" w:rsidRDefault="00847029">
      <w:pPr>
        <w:pStyle w:val="Tiret0"/>
        <w:numPr>
          <w:ilvl w:val="0"/>
          <w:numId w:val="17"/>
        </w:numPr>
        <w:rPr>
          <w:noProof/>
        </w:rPr>
      </w:pPr>
      <w:r>
        <w:rPr>
          <w:noProof/>
        </w:rPr>
        <w:t>het statutair operationeel personeel van het Agentschap mag alleen vuurwapens gebruiken als laatste redmiddel, in zeer dringende gevallen, met name wanneer er kans bestaat dat omstanders in gevaar worden gebracht;</w:t>
      </w:r>
    </w:p>
    <w:p w:rsidR="008E45D3" w:rsidRDefault="00847029">
      <w:pPr>
        <w:pStyle w:val="Tiret0"/>
        <w:numPr>
          <w:ilvl w:val="0"/>
          <w:numId w:val="18"/>
        </w:numPr>
        <w:rPr>
          <w:noProof/>
        </w:rPr>
      </w:pPr>
      <w:r>
        <w:rPr>
          <w:noProof/>
        </w:rPr>
        <w:t>om zichzelf of anderen te v</w:t>
      </w:r>
      <w:r>
        <w:rPr>
          <w:noProof/>
        </w:rPr>
        <w:t>erdedigen tegen een onmiddellijke dreiging van overlijden of ernstig letsel;</w:t>
      </w:r>
    </w:p>
    <w:p w:rsidR="008E45D3" w:rsidRDefault="00847029">
      <w:pPr>
        <w:pStyle w:val="Tiret0"/>
        <w:numPr>
          <w:ilvl w:val="0"/>
          <w:numId w:val="18"/>
        </w:numPr>
        <w:rPr>
          <w:noProof/>
        </w:rPr>
      </w:pPr>
      <w:r>
        <w:rPr>
          <w:noProof/>
        </w:rPr>
        <w:t>om een onmiddellijke dreiging van overlijden of ernstig letsel te voorkomen;</w:t>
      </w:r>
    </w:p>
    <w:p w:rsidR="008E45D3" w:rsidRDefault="00847029">
      <w:pPr>
        <w:pStyle w:val="Tiret0"/>
        <w:numPr>
          <w:ilvl w:val="0"/>
          <w:numId w:val="18"/>
        </w:numPr>
        <w:rPr>
          <w:noProof/>
        </w:rPr>
      </w:pPr>
      <w:r>
        <w:rPr>
          <w:noProof/>
        </w:rPr>
        <w:t>om een daadwerkelijke aanval af te weren of een ophanden zijnde gevaarlijke aanslag op essentiële inst</w:t>
      </w:r>
      <w:r>
        <w:rPr>
          <w:noProof/>
        </w:rPr>
        <w:t xml:space="preserve">ellingen, diensten of faciliteiten te voorkomen. </w:t>
      </w:r>
    </w:p>
    <w:p w:rsidR="008E45D3" w:rsidRDefault="00847029">
      <w:pPr>
        <w:spacing w:before="0"/>
        <w:rPr>
          <w:noProof/>
          <w:szCs w:val="24"/>
        </w:rPr>
      </w:pPr>
      <w:r>
        <w:rPr>
          <w:noProof/>
        </w:rPr>
        <w:t>Alvorens vuurwapens te gebruiken, moet het operationele personeel van het Agentschap een duidelijke waarschuwing geven over het voornemen dergelijke wapens te gebruiken. Waarschuwingen kunnen worden gegeven</w:t>
      </w:r>
      <w:r>
        <w:rPr>
          <w:noProof/>
        </w:rPr>
        <w:t xml:space="preserve"> door middel van een verklaring of door het afvuren van waarschuwingsschoten.</w:t>
      </w:r>
    </w:p>
    <w:p w:rsidR="008E45D3" w:rsidRDefault="00847029">
      <w:pPr>
        <w:spacing w:before="0"/>
        <w:rPr>
          <w:b/>
          <w:i/>
          <w:noProof/>
          <w:szCs w:val="24"/>
        </w:rPr>
      </w:pPr>
      <w:r>
        <w:rPr>
          <w:b/>
          <w:i/>
          <w:noProof/>
        </w:rPr>
        <w:t>Niet-dodelijke wapens</w:t>
      </w:r>
    </w:p>
    <w:p w:rsidR="008E45D3" w:rsidRDefault="00847029">
      <w:pPr>
        <w:spacing w:before="0"/>
        <w:rPr>
          <w:noProof/>
          <w:szCs w:val="24"/>
          <w:u w:val="single"/>
        </w:rPr>
      </w:pPr>
      <w:r>
        <w:rPr>
          <w:noProof/>
          <w:u w:val="single"/>
        </w:rPr>
        <w:t>Wapenstok</w:t>
      </w:r>
    </w:p>
    <w:p w:rsidR="008E45D3" w:rsidRDefault="00847029">
      <w:pPr>
        <w:spacing w:before="0"/>
        <w:rPr>
          <w:noProof/>
          <w:szCs w:val="24"/>
        </w:rPr>
      </w:pPr>
      <w:r>
        <w:rPr>
          <w:noProof/>
        </w:rPr>
        <w:t xml:space="preserve">Gehomologeerde wapenstokken mogen als primair verdedigingsmiddel of als wapen worden gebruikt, in voorkomend geval, overeenkomstig de </w:t>
      </w:r>
      <w:r>
        <w:rPr>
          <w:noProof/>
        </w:rPr>
        <w:t>kernbeginselen, en wel als volgt:</w:t>
      </w:r>
    </w:p>
    <w:p w:rsidR="008E45D3" w:rsidRDefault="00847029">
      <w:pPr>
        <w:pStyle w:val="Tiret0"/>
        <w:numPr>
          <w:ilvl w:val="0"/>
          <w:numId w:val="18"/>
        </w:numPr>
        <w:rPr>
          <w:noProof/>
        </w:rPr>
      </w:pPr>
      <w:r>
        <w:rPr>
          <w:noProof/>
        </w:rPr>
        <w:t>wanneer het gebruik van minder geweld duidelijk ongeschikt wordt geacht voor het doel;</w:t>
      </w:r>
    </w:p>
    <w:p w:rsidR="008E45D3" w:rsidRDefault="00847029">
      <w:pPr>
        <w:pStyle w:val="Tiret0"/>
        <w:numPr>
          <w:ilvl w:val="0"/>
          <w:numId w:val="18"/>
        </w:numPr>
        <w:rPr>
          <w:noProof/>
        </w:rPr>
      </w:pPr>
      <w:r>
        <w:rPr>
          <w:noProof/>
        </w:rPr>
        <w:t>om een daadwerkelijke of ophanden zijnde aanval op goederen af te wenden.</w:t>
      </w:r>
    </w:p>
    <w:p w:rsidR="008E45D3" w:rsidRDefault="00847029">
      <w:pPr>
        <w:spacing w:before="0"/>
        <w:rPr>
          <w:noProof/>
          <w:szCs w:val="24"/>
        </w:rPr>
      </w:pPr>
      <w:r>
        <w:rPr>
          <w:noProof/>
        </w:rPr>
        <w:t>Alvorens wapenstokken te gebruiken, moet het operationele per</w:t>
      </w:r>
      <w:r>
        <w:rPr>
          <w:noProof/>
        </w:rPr>
        <w:t>soneel van het Agentschap een duidelijke waarschuwing geven over het voornemen dergelijke wapens te gebruiken. Bij het gebruik van wapenstokken dient het ingezet operationeel personeel het risico van letsels tot een minimum te beperken en contact met het h</w:t>
      </w:r>
      <w:r>
        <w:rPr>
          <w:noProof/>
        </w:rPr>
        <w:t>oofd te vermijden.</w:t>
      </w:r>
    </w:p>
    <w:p w:rsidR="008E45D3" w:rsidRDefault="00847029">
      <w:pPr>
        <w:spacing w:before="0"/>
        <w:rPr>
          <w:noProof/>
          <w:szCs w:val="24"/>
          <w:u w:val="single"/>
        </w:rPr>
      </w:pPr>
      <w:r>
        <w:rPr>
          <w:noProof/>
          <w:u w:val="single"/>
        </w:rPr>
        <w:t>Traanverwekkende middelen (bv. pepperspray)</w:t>
      </w:r>
    </w:p>
    <w:p w:rsidR="008E45D3" w:rsidRDefault="00847029">
      <w:pPr>
        <w:spacing w:before="0"/>
        <w:rPr>
          <w:noProof/>
          <w:szCs w:val="24"/>
        </w:rPr>
      </w:pPr>
      <w:r>
        <w:rPr>
          <w:noProof/>
        </w:rPr>
        <w:t>Gehomologeerde traanverwekkende middelen mogen als verdedigingsmiddel of als wapen worden gebruikt, in voorkomend geval, overeenkomstig de kernbeginselen, en wel als volgt:</w:t>
      </w:r>
    </w:p>
    <w:p w:rsidR="008E45D3" w:rsidRDefault="00847029">
      <w:pPr>
        <w:pStyle w:val="Tiret0"/>
        <w:numPr>
          <w:ilvl w:val="0"/>
          <w:numId w:val="18"/>
        </w:numPr>
        <w:rPr>
          <w:noProof/>
        </w:rPr>
      </w:pPr>
      <w:r>
        <w:rPr>
          <w:noProof/>
        </w:rPr>
        <w:t xml:space="preserve">wanneer het gebruik </w:t>
      </w:r>
      <w:r>
        <w:rPr>
          <w:noProof/>
        </w:rPr>
        <w:t>van minder geweld duidelijk ongeschikt wordt geacht voor het doel;</w:t>
      </w:r>
    </w:p>
    <w:p w:rsidR="008E45D3" w:rsidRDefault="00847029">
      <w:pPr>
        <w:pStyle w:val="Tiret0"/>
        <w:numPr>
          <w:ilvl w:val="0"/>
          <w:numId w:val="18"/>
        </w:numPr>
        <w:rPr>
          <w:noProof/>
        </w:rPr>
      </w:pPr>
      <w:r>
        <w:rPr>
          <w:noProof/>
        </w:rPr>
        <w:t xml:space="preserve">om een daadwerkelijke of ophanden zijnde aanval af te wenden. </w:t>
      </w:r>
    </w:p>
    <w:p w:rsidR="008E45D3" w:rsidRDefault="00847029">
      <w:pPr>
        <w:spacing w:before="0"/>
        <w:rPr>
          <w:b/>
          <w:i/>
          <w:noProof/>
          <w:szCs w:val="24"/>
        </w:rPr>
      </w:pPr>
      <w:r>
        <w:rPr>
          <w:b/>
          <w:i/>
          <w:noProof/>
        </w:rPr>
        <w:t>Andere uitrusting</w:t>
      </w:r>
    </w:p>
    <w:p w:rsidR="008E45D3" w:rsidRDefault="00847029">
      <w:pPr>
        <w:spacing w:before="0"/>
        <w:rPr>
          <w:noProof/>
          <w:szCs w:val="24"/>
          <w:u w:val="single"/>
        </w:rPr>
      </w:pPr>
      <w:r>
        <w:rPr>
          <w:noProof/>
          <w:u w:val="single"/>
        </w:rPr>
        <w:t>Handboeien</w:t>
      </w:r>
    </w:p>
    <w:p w:rsidR="008E45D3" w:rsidRDefault="00847029">
      <w:pPr>
        <w:pStyle w:val="Tiret0"/>
        <w:numPr>
          <w:ilvl w:val="0"/>
          <w:numId w:val="18"/>
        </w:numPr>
        <w:rPr>
          <w:noProof/>
        </w:rPr>
      </w:pPr>
      <w:r>
        <w:rPr>
          <w:noProof/>
        </w:rPr>
        <w:t xml:space="preserve">Handboeien mogen alleen worden omgedaan bij personen die worden geacht een gevaar te vormen voor </w:t>
      </w:r>
      <w:r>
        <w:rPr>
          <w:noProof/>
        </w:rPr>
        <w:t>zichzelf of voor anderen, teneinde hun veilige bewaring of vervoer en de veiligheid van het statutair operationeel personeel van het Agentschap en van andere teamleden te waarborgen.</w:t>
      </w:r>
    </w:p>
    <w:p w:rsidR="008E45D3" w:rsidRDefault="008E45D3">
      <w:pPr>
        <w:pStyle w:val="ListParagraph"/>
        <w:spacing w:before="0"/>
        <w:rPr>
          <w:noProof/>
          <w:szCs w:val="24"/>
        </w:rPr>
      </w:pPr>
    </w:p>
    <w:p w:rsidR="008E45D3" w:rsidRDefault="00847029">
      <w:pPr>
        <w:pStyle w:val="Heading1"/>
        <w:numPr>
          <w:ilvl w:val="0"/>
          <w:numId w:val="20"/>
        </w:numPr>
        <w:rPr>
          <w:noProof/>
        </w:rPr>
      </w:pPr>
      <w:r>
        <w:rPr>
          <w:noProof/>
        </w:rPr>
        <w:t>Controlemechanisme</w:t>
      </w:r>
    </w:p>
    <w:p w:rsidR="008E45D3" w:rsidRDefault="00847029">
      <w:pPr>
        <w:spacing w:before="0"/>
        <w:rPr>
          <w:noProof/>
          <w:szCs w:val="24"/>
        </w:rPr>
      </w:pPr>
      <w:r>
        <w:rPr>
          <w:noProof/>
        </w:rPr>
        <w:t>Het Agentschap biedt de volgende waarborgen met betre</w:t>
      </w:r>
      <w:r>
        <w:rPr>
          <w:noProof/>
        </w:rPr>
        <w:t xml:space="preserve">kking tot het gebruik van geweld, wapens, munitie en uitrusting en geeft een stand van zaken in zijn jaarverslag. </w:t>
      </w:r>
    </w:p>
    <w:p w:rsidR="008E45D3" w:rsidRDefault="00847029">
      <w:pPr>
        <w:spacing w:before="0"/>
        <w:rPr>
          <w:b/>
          <w:noProof/>
          <w:szCs w:val="24"/>
        </w:rPr>
      </w:pPr>
      <w:r>
        <w:rPr>
          <w:b/>
          <w:noProof/>
        </w:rPr>
        <w:t>Opleiding</w:t>
      </w:r>
    </w:p>
    <w:p w:rsidR="008E45D3" w:rsidRDefault="00847029">
      <w:pPr>
        <w:pStyle w:val="ListParagraph"/>
        <w:spacing w:before="0"/>
        <w:ind w:left="0"/>
        <w:rPr>
          <w:noProof/>
          <w:szCs w:val="24"/>
        </w:rPr>
      </w:pPr>
      <w:r>
        <w:rPr>
          <w:noProof/>
        </w:rPr>
        <w:t xml:space="preserve">De overeenkomstig artikel 62, lid 2, gegeven opleiding heeft betrekking op theoretische en praktische aspecten van de preventie en </w:t>
      </w:r>
      <w:r>
        <w:rPr>
          <w:noProof/>
        </w:rPr>
        <w:t>het gebruik van geweld. De theoretische opleiding moet een psychologische opleiding omvatten (met inbegrip van opleiding op het gebied van weerbaarheid en werk in situaties van grote druk), alsook technieken ter voorkoming van het gebruik van geweld, zoals</w:t>
      </w:r>
      <w:r>
        <w:rPr>
          <w:noProof/>
        </w:rPr>
        <w:t xml:space="preserve"> onderhandeling en bemiddeling. De theoretische opleiding wordt gevolgd door een verplichte en adequate theoretische en praktische opleiding over het gebruik van geweld, wapens, munitie en uitrusting. Met het oog op een gemeenschappelijke praktische interp</w:t>
      </w:r>
      <w:r>
        <w:rPr>
          <w:noProof/>
        </w:rPr>
        <w:t>retatie en aanpak wordt de praktische opleiding afgesloten met een simulatie die relevant is voor de activiteiten die het personeel zal moeten uitoefenen, wanneer het wordt ingezet.</w:t>
      </w:r>
    </w:p>
    <w:p w:rsidR="008E45D3" w:rsidRDefault="008E45D3">
      <w:pPr>
        <w:pStyle w:val="ListParagraph"/>
        <w:tabs>
          <w:tab w:val="left" w:pos="5400"/>
        </w:tabs>
        <w:spacing w:before="0"/>
        <w:rPr>
          <w:b/>
          <w:noProof/>
          <w:szCs w:val="24"/>
        </w:rPr>
      </w:pPr>
    </w:p>
    <w:p w:rsidR="008E45D3" w:rsidRDefault="00847029">
      <w:pPr>
        <w:tabs>
          <w:tab w:val="left" w:pos="5400"/>
        </w:tabs>
        <w:spacing w:before="0"/>
        <w:rPr>
          <w:b/>
          <w:noProof/>
          <w:szCs w:val="24"/>
        </w:rPr>
      </w:pPr>
      <w:r>
        <w:rPr>
          <w:b/>
          <w:noProof/>
        </w:rPr>
        <w:t>Gebruik van verdovende middelen, drugs en alcohol</w:t>
      </w:r>
    </w:p>
    <w:p w:rsidR="008E45D3" w:rsidRDefault="00847029">
      <w:pPr>
        <w:spacing w:before="0"/>
        <w:rPr>
          <w:noProof/>
          <w:szCs w:val="24"/>
        </w:rPr>
      </w:pPr>
      <w:r>
        <w:rPr>
          <w:noProof/>
        </w:rPr>
        <w:t>Het statutair operation</w:t>
      </w:r>
      <w:r>
        <w:rPr>
          <w:noProof/>
        </w:rPr>
        <w:t xml:space="preserve">eel personeel van het Agentschap mag geen alcohol gebruiken tijdens de dienst of binnen een redelijke termijn voor de aanvang van de dienst. </w:t>
      </w:r>
    </w:p>
    <w:p w:rsidR="008E45D3" w:rsidRDefault="00847029">
      <w:pPr>
        <w:spacing w:before="0"/>
        <w:rPr>
          <w:noProof/>
          <w:szCs w:val="24"/>
        </w:rPr>
      </w:pPr>
      <w:r>
        <w:rPr>
          <w:noProof/>
        </w:rPr>
        <w:t xml:space="preserve">Zij mogen niet in het bezit zijn van verdovende middelen of drugs, en deze niet gebruiken, tenzij dat om medische </w:t>
      </w:r>
      <w:r>
        <w:rPr>
          <w:noProof/>
        </w:rPr>
        <w:t>redenen is voorgeschreven. Personeelsleden die om medische redenen verdovende middelen nodig hebben, stellen hun directe meerdere daarvan onverwijld in kennis. Deelname aan operationele activiteiten kan worden herzien rekening houdend met potentiële effect</w:t>
      </w:r>
      <w:r>
        <w:rPr>
          <w:noProof/>
        </w:rPr>
        <w:t>en en neveneffecten van het gebruik van de stof.</w:t>
      </w:r>
    </w:p>
    <w:p w:rsidR="008E45D3" w:rsidRDefault="00847029">
      <w:pPr>
        <w:spacing w:before="0"/>
        <w:rPr>
          <w:noProof/>
          <w:szCs w:val="24"/>
        </w:rPr>
      </w:pPr>
      <w:r>
        <w:rPr>
          <w:noProof/>
        </w:rPr>
        <w:t>Het Agentschap stelt een controlemechanisme in om te waarborgen dat zijn statutair operationeel personeel zijn taken uitvoert zonder onder invloed te zijn van verdovende middelen, drugs of alcohol. Dit mecha</w:t>
      </w:r>
      <w:r>
        <w:rPr>
          <w:noProof/>
        </w:rPr>
        <w:t>nisme is gebaseerd op een regelmatige medische controle van het personeel naar mogelijk gebruik van verdovende middelen, drugs of alcohol. Positieve resultaten die bij deze controles worden gevonden, worden onmiddellijk gerapporteerd aan de uitvoerend dire</w:t>
      </w:r>
      <w:r>
        <w:rPr>
          <w:noProof/>
        </w:rPr>
        <w:t>cteur van het Agentschap.</w:t>
      </w:r>
    </w:p>
    <w:p w:rsidR="008E45D3" w:rsidRDefault="00847029">
      <w:pPr>
        <w:spacing w:before="0"/>
        <w:rPr>
          <w:b/>
          <w:noProof/>
          <w:szCs w:val="24"/>
        </w:rPr>
      </w:pPr>
      <w:r>
        <w:rPr>
          <w:b/>
          <w:noProof/>
        </w:rPr>
        <w:t>Verslaglegging</w:t>
      </w:r>
    </w:p>
    <w:p w:rsidR="008E45D3" w:rsidRDefault="00847029">
      <w:pPr>
        <w:spacing w:before="0"/>
        <w:rPr>
          <w:noProof/>
          <w:color w:val="4F6228" w:themeColor="accent3" w:themeShade="80"/>
        </w:rPr>
      </w:pPr>
      <w:r>
        <w:rPr>
          <w:noProof/>
        </w:rPr>
        <w:t>Over elk incident waarbij geweld is gebruikt, wordt onmiddellijk via de bevelslijn verslag uitgebracht aan de voor de operatie relevante coördinatiestructuur en aan de grondrechtenfunctionaris en de uitvoerend direc</w:t>
      </w:r>
      <w:r>
        <w:rPr>
          <w:noProof/>
        </w:rPr>
        <w:t xml:space="preserve">teur van het Agentschap. Het verslag dient alle bijzonderheden te bevatten over de omstandigheden van het geval. </w:t>
      </w:r>
    </w:p>
    <w:p w:rsidR="008E45D3" w:rsidRDefault="00847029">
      <w:pPr>
        <w:spacing w:before="0"/>
        <w:rPr>
          <w:b/>
          <w:noProof/>
          <w:szCs w:val="24"/>
        </w:rPr>
      </w:pPr>
      <w:r>
        <w:rPr>
          <w:b/>
          <w:noProof/>
        </w:rPr>
        <w:t>Verplichting tot samenwerking en informatieverstrekking</w:t>
      </w:r>
    </w:p>
    <w:p w:rsidR="008E45D3" w:rsidRDefault="00847029">
      <w:pPr>
        <w:spacing w:before="0"/>
        <w:rPr>
          <w:noProof/>
          <w:szCs w:val="24"/>
        </w:rPr>
      </w:pPr>
      <w:r>
        <w:rPr>
          <w:noProof/>
        </w:rPr>
        <w:t xml:space="preserve">De statutaire operationele personeelsleden van het Agentschap en alle andere personen </w:t>
      </w:r>
      <w:r>
        <w:rPr>
          <w:noProof/>
        </w:rPr>
        <w:t xml:space="preserve">die aan de operaties deelnemen, werken samen bij het verzamelen van de feiten van elk incident waarover tijdens een operationele activiteit verslag werd uitgebracht. </w:t>
      </w:r>
    </w:p>
    <w:p w:rsidR="008E45D3" w:rsidRDefault="00847029">
      <w:pPr>
        <w:spacing w:before="0"/>
        <w:rPr>
          <w:b/>
          <w:noProof/>
          <w:szCs w:val="24"/>
        </w:rPr>
      </w:pPr>
      <w:r>
        <w:rPr>
          <w:b/>
          <w:noProof/>
        </w:rPr>
        <w:t>Klachtenmechanisme</w:t>
      </w:r>
    </w:p>
    <w:p w:rsidR="008E45D3" w:rsidRDefault="00847029">
      <w:pPr>
        <w:spacing w:before="0"/>
        <w:rPr>
          <w:noProof/>
          <w:szCs w:val="24"/>
        </w:rPr>
      </w:pPr>
      <w:r>
        <w:rPr>
          <w:noProof/>
        </w:rPr>
        <w:t>In het kader van het in artikel 107 bedoelde klachtenmechanisme kan el</w:t>
      </w:r>
      <w:r>
        <w:rPr>
          <w:noProof/>
        </w:rPr>
        <w:t>ke persoon melding maken van vermoedelijke overtredingen door het statutair operationeel personeel van het Agentschap van de krachtens deze bijlage toepasselijke regels over het gebruik van geweld.</w:t>
      </w:r>
    </w:p>
    <w:p w:rsidR="008E45D3" w:rsidRDefault="00847029">
      <w:pPr>
        <w:spacing w:before="0"/>
        <w:rPr>
          <w:b/>
          <w:noProof/>
          <w:szCs w:val="24"/>
        </w:rPr>
      </w:pPr>
      <w:r>
        <w:rPr>
          <w:b/>
          <w:noProof/>
        </w:rPr>
        <w:t>Sancties</w:t>
      </w:r>
    </w:p>
    <w:p w:rsidR="008E45D3" w:rsidRDefault="00847029">
      <w:pPr>
        <w:spacing w:before="0"/>
        <w:rPr>
          <w:noProof/>
          <w:szCs w:val="24"/>
        </w:rPr>
      </w:pPr>
      <w:r>
        <w:rPr>
          <w:noProof/>
        </w:rPr>
        <w:t xml:space="preserve">Wanneer het Agentschap vaststelt dat een lid van </w:t>
      </w:r>
      <w:r>
        <w:rPr>
          <w:noProof/>
        </w:rPr>
        <w:t>zijn statutair operationeel personeel werkzaamheden heeft verricht die een inbreuk vormen op de op grond van deze verordening toepasselijke regels, met inbegrip van de grondrechten die worden beschermd door het Handvest, het Europees Verdrag tot beschermin</w:t>
      </w:r>
      <w:r>
        <w:rPr>
          <w:noProof/>
        </w:rPr>
        <w:t xml:space="preserve">g van de rechten van de mens en het internationale recht, neemt de uitvoerend directeur, onverminderd artikel 86, passende maatregelen, waaronder het onmiddellijk terugroepen van het personeelslid uit de operationele activiteit, en eventuele disciplinaire </w:t>
      </w:r>
      <w:r>
        <w:rPr>
          <w:noProof/>
        </w:rPr>
        <w:t>maatregelen overeenkomstig het statuut, met inbegrip van de wegzending van het personeelslid uit het Agentschap.</w:t>
      </w:r>
    </w:p>
    <w:p w:rsidR="008E45D3" w:rsidRDefault="00847029">
      <w:pPr>
        <w:pStyle w:val="ListParagraph"/>
        <w:keepNext/>
        <w:spacing w:before="0"/>
        <w:ind w:left="0"/>
        <w:rPr>
          <w:b/>
          <w:noProof/>
          <w:szCs w:val="24"/>
        </w:rPr>
      </w:pPr>
      <w:r>
        <w:rPr>
          <w:b/>
          <w:noProof/>
        </w:rPr>
        <w:t>Rol van de grondrechtenfunctionaris</w:t>
      </w:r>
    </w:p>
    <w:p w:rsidR="008E45D3" w:rsidRDefault="00847029">
      <w:pPr>
        <w:spacing w:before="0"/>
        <w:rPr>
          <w:noProof/>
          <w:szCs w:val="24"/>
        </w:rPr>
      </w:pPr>
      <w:r>
        <w:rPr>
          <w:noProof/>
        </w:rPr>
        <w:t>De grondrechtenfunctionaris onderzoekt en geeft feedback over de inhoud van de initiële opleiding en de opf</w:t>
      </w:r>
      <w:r>
        <w:rPr>
          <w:noProof/>
        </w:rPr>
        <w:t xml:space="preserve">riscursussen, in het bijzonder met betrekking tot de aspecten inzake grondrechten en de situatie waarin het gebruik van geweld noodzakelijk is, en zorgt ervoor dat deze relevante preventietechnieken omvatten. </w:t>
      </w:r>
    </w:p>
    <w:p w:rsidR="008E45D3" w:rsidRDefault="00847029">
      <w:pPr>
        <w:spacing w:before="0"/>
        <w:rPr>
          <w:noProof/>
          <w:szCs w:val="24"/>
        </w:rPr>
      </w:pPr>
      <w:r>
        <w:rPr>
          <w:noProof/>
        </w:rPr>
        <w:t>De grondrechtenfunctionaris brengt verslag uit</w:t>
      </w:r>
      <w:r>
        <w:rPr>
          <w:noProof/>
        </w:rPr>
        <w:t xml:space="preserve"> over de eerbiediging van de grondrechten in de rechtshandhavingspraktijk in de ontvangende lidstaat. Dit verslag wordt voorgelegd aan de uitvoerend directeur en er wordt rekening mee gehouden bij de opstelling van het operationele plan.</w:t>
      </w:r>
    </w:p>
    <w:p w:rsidR="008E45D3" w:rsidRDefault="00847029">
      <w:pPr>
        <w:spacing w:before="0"/>
        <w:rPr>
          <w:noProof/>
          <w:szCs w:val="24"/>
        </w:rPr>
      </w:pPr>
      <w:r>
        <w:rPr>
          <w:noProof/>
        </w:rPr>
        <w:t>De grondrechtenfun</w:t>
      </w:r>
      <w:r>
        <w:rPr>
          <w:noProof/>
        </w:rPr>
        <w:t xml:space="preserve">ctionaris zorgt ervoor dat incidenten in verband met het gebruik van geweld, wapens, munitie en uitrusting onverwijld aan de uitvoerend directeur worden gemeld. </w:t>
      </w:r>
    </w:p>
    <w:p w:rsidR="008E45D3" w:rsidRDefault="00847029">
      <w:pPr>
        <w:spacing w:before="0"/>
        <w:rPr>
          <w:noProof/>
          <w:szCs w:val="24"/>
        </w:rPr>
      </w:pPr>
      <w:r>
        <w:rPr>
          <w:noProof/>
        </w:rPr>
        <w:t xml:space="preserve">Alle activiteiten in verband met het gebruik van geweld, wapens, munitie en uitrusting worden </w:t>
      </w:r>
      <w:r>
        <w:rPr>
          <w:noProof/>
        </w:rPr>
        <w:t>regelmatig door de grondrechtenfunctionaris gecontroleerd, en alle incidenten worden vermeld in de verslagen van de grondrechtenfunctionaris en in het jaarverslag van het Agentschap.</w:t>
      </w:r>
    </w:p>
    <w:p w:rsidR="008E45D3" w:rsidRDefault="00847029">
      <w:pPr>
        <w:pStyle w:val="Heading1"/>
        <w:numPr>
          <w:ilvl w:val="0"/>
          <w:numId w:val="20"/>
        </w:numPr>
        <w:rPr>
          <w:noProof/>
        </w:rPr>
      </w:pPr>
      <w:r>
        <w:rPr>
          <w:noProof/>
        </w:rPr>
        <w:t>Verstrekken van dienstwapens</w:t>
      </w:r>
    </w:p>
    <w:p w:rsidR="008E45D3" w:rsidRDefault="00847029">
      <w:pPr>
        <w:spacing w:before="0"/>
        <w:rPr>
          <w:b/>
          <w:noProof/>
          <w:szCs w:val="24"/>
        </w:rPr>
      </w:pPr>
      <w:r>
        <w:rPr>
          <w:b/>
          <w:noProof/>
        </w:rPr>
        <w:t>Toegestane wapens</w:t>
      </w:r>
    </w:p>
    <w:p w:rsidR="008E45D3" w:rsidRDefault="00847029">
      <w:pPr>
        <w:rPr>
          <w:noProof/>
          <w:szCs w:val="24"/>
        </w:rPr>
      </w:pPr>
      <w:r>
        <w:rPr>
          <w:noProof/>
        </w:rPr>
        <w:t xml:space="preserve">Om te bepalen welke dienstwapens, munitie en andere uitrusting het statutair operationeel personeel van het Agentschap kan gebruiken, stelt het Agentschap een exhaustieve lijst op van artikelen die tot de persoonlijke uitrusting moeten behoren. </w:t>
      </w:r>
    </w:p>
    <w:p w:rsidR="008E45D3" w:rsidRDefault="00847029">
      <w:pPr>
        <w:rPr>
          <w:noProof/>
          <w:szCs w:val="24"/>
        </w:rPr>
      </w:pPr>
      <w:r>
        <w:rPr>
          <w:noProof/>
        </w:rPr>
        <w:t>De persoon</w:t>
      </w:r>
      <w:r>
        <w:rPr>
          <w:noProof/>
        </w:rPr>
        <w:t>lijke uitrusting wordt gebruikt door alle statutaire operationele personeelsleden van het Agentschap die als teamleden worden ingezet in een van de drie soorten teams die vanuit het permanente korps van de Europese grens- en kustwacht worden ingezet. Het A</w:t>
      </w:r>
      <w:r>
        <w:rPr>
          <w:noProof/>
        </w:rPr>
        <w:t>gentschap kan de persoonlijke uitrusting ook aanvullen met extra wapens, munitie of andere uitrusting die specifiek is voor het uitvoeren van specifieke taken binnen een of twee soorten teams.</w:t>
      </w:r>
    </w:p>
    <w:p w:rsidR="008E45D3" w:rsidRDefault="00847029">
      <w:pPr>
        <w:rPr>
          <w:b/>
          <w:noProof/>
          <w:szCs w:val="24"/>
        </w:rPr>
      </w:pPr>
      <w:r>
        <w:rPr>
          <w:noProof/>
        </w:rPr>
        <w:t xml:space="preserve">Het Agentschap zorgt ervoor dat alle uitrusting voor zijn statutair operationeel personeel, met inbegrip van vuurwapens, voldoet aan alle noodzakelijke technische normen. </w:t>
      </w:r>
    </w:p>
    <w:p w:rsidR="008E45D3" w:rsidRDefault="00847029">
      <w:pPr>
        <w:rPr>
          <w:noProof/>
          <w:szCs w:val="24"/>
        </w:rPr>
      </w:pPr>
      <w:r>
        <w:rPr>
          <w:noProof/>
        </w:rPr>
        <w:t>Wapens, munitie en uitrusting waarvan het gebruik is toegestaan, moeten in het opera</w:t>
      </w:r>
      <w:r>
        <w:rPr>
          <w:noProof/>
        </w:rPr>
        <w:t xml:space="preserve">tionele plan worden vermeld overeenkomstig de voorschriften inzake toegestane en verboden wapens van de ontvangende lidstaat. </w:t>
      </w:r>
    </w:p>
    <w:p w:rsidR="008E45D3" w:rsidRDefault="00847029">
      <w:pPr>
        <w:spacing w:before="0"/>
        <w:rPr>
          <w:b/>
          <w:noProof/>
          <w:szCs w:val="24"/>
        </w:rPr>
      </w:pPr>
      <w:r>
        <w:rPr>
          <w:b/>
          <w:noProof/>
        </w:rPr>
        <w:t>Verbod op wapens</w:t>
      </w:r>
    </w:p>
    <w:p w:rsidR="008E45D3" w:rsidRDefault="00847029">
      <w:pPr>
        <w:spacing w:before="0"/>
        <w:rPr>
          <w:noProof/>
          <w:szCs w:val="24"/>
        </w:rPr>
      </w:pPr>
      <w:r>
        <w:rPr>
          <w:noProof/>
        </w:rPr>
        <w:t>De ontvangende lidstaat kan overeenkomstig artikel 83, lid 2, tweede streepje, het dragen van bepaalde dienstwap</w:t>
      </w:r>
      <w:r>
        <w:rPr>
          <w:noProof/>
        </w:rPr>
        <w:t xml:space="preserve">ens, munitie en uitrusting verbieden. </w:t>
      </w:r>
    </w:p>
    <w:p w:rsidR="008E45D3" w:rsidRDefault="00847029">
      <w:pPr>
        <w:spacing w:before="0"/>
        <w:rPr>
          <w:b/>
          <w:noProof/>
          <w:szCs w:val="24"/>
        </w:rPr>
      </w:pPr>
      <w:r>
        <w:rPr>
          <w:b/>
          <w:noProof/>
        </w:rPr>
        <w:t>Instructies voor de dienstperiode</w:t>
      </w:r>
    </w:p>
    <w:p w:rsidR="008E45D3" w:rsidRDefault="00847029">
      <w:pPr>
        <w:spacing w:before="0"/>
        <w:rPr>
          <w:noProof/>
          <w:szCs w:val="24"/>
        </w:rPr>
      </w:pPr>
      <w:r>
        <w:rPr>
          <w:noProof/>
        </w:rPr>
        <w:t>Tijdens operaties mogen wapens, munitie en uitrusting worden gedragen en gebruikt. Het dragen of gebruiken ervan buiten de dienst is niet toegestaan. Het Agentschap stelt specifieke r</w:t>
      </w:r>
      <w:r>
        <w:rPr>
          <w:noProof/>
        </w:rPr>
        <w:t xml:space="preserve">egels vast en neemt maatregelen om de opslag van wapens, munitie en andere uitrusting van het statutair operationeel personeel van het Agentschap buiten de dienst in beveiligde ruimtes te vergemakkelijken. </w:t>
      </w:r>
    </w:p>
    <w:p w:rsidR="008E45D3" w:rsidRDefault="008E45D3">
      <w:pPr>
        <w:rPr>
          <w:noProof/>
        </w:rPr>
        <w:sectPr w:rsidR="008E45D3" w:rsidSect="00847029">
          <w:pgSz w:w="11907" w:h="16839"/>
          <w:pgMar w:top="1134" w:right="1417" w:bottom="1134" w:left="1417" w:header="709" w:footer="709" w:gutter="0"/>
          <w:cols w:space="720"/>
          <w:docGrid w:linePitch="360"/>
        </w:sectPr>
      </w:pPr>
    </w:p>
    <w:p w:rsidR="008E45D3" w:rsidRDefault="00847029">
      <w:pPr>
        <w:pStyle w:val="Annexetitre"/>
        <w:rPr>
          <w:noProof/>
        </w:rPr>
      </w:pPr>
      <w:r>
        <w:rPr>
          <w:noProof/>
        </w:rPr>
        <w:t>BIJLAGE VI</w:t>
      </w:r>
    </w:p>
    <w:p w:rsidR="008E45D3" w:rsidRDefault="00847029">
      <w:pPr>
        <w:keepNext/>
        <w:spacing w:before="360"/>
        <w:jc w:val="center"/>
        <w:outlineLvl w:val="0"/>
        <w:rPr>
          <w:rFonts w:eastAsia="Times New Roman"/>
          <w:b/>
          <w:smallCaps/>
          <w:noProof/>
          <w:szCs w:val="20"/>
        </w:rPr>
      </w:pPr>
      <w:r>
        <w:rPr>
          <w:b/>
          <w:smallCaps/>
          <w:noProof/>
        </w:rPr>
        <w:t>Concordantietabel</w:t>
      </w:r>
    </w:p>
    <w:tbl>
      <w:tblPr>
        <w:tblW w:w="8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15"/>
        <w:gridCol w:w="2230"/>
        <w:gridCol w:w="2243"/>
      </w:tblGrid>
      <w:tr w:rsidR="008E45D3">
        <w:trPr>
          <w:trHeight w:val="630"/>
          <w:tblHeader/>
        </w:trPr>
        <w:tc>
          <w:tcPr>
            <w:tcW w:w="2193" w:type="dxa"/>
            <w:shd w:val="clear" w:color="auto" w:fill="D9D9D9" w:themeFill="background1" w:themeFillShade="D9"/>
            <w:hideMark/>
          </w:tcPr>
          <w:p w:rsidR="008E45D3" w:rsidRDefault="00847029">
            <w:pPr>
              <w:spacing w:before="0" w:after="0"/>
              <w:jc w:val="left"/>
              <w:rPr>
                <w:rFonts w:eastAsia="Times New Roman"/>
                <w:b/>
                <w:noProof/>
                <w:color w:val="000000"/>
                <w:szCs w:val="24"/>
              </w:rPr>
            </w:pPr>
            <w:r>
              <w:rPr>
                <w:b/>
                <w:noProof/>
                <w:color w:val="000000"/>
              </w:rPr>
              <w:t>Verordening (EU) 2016/1624</w:t>
            </w:r>
          </w:p>
        </w:tc>
        <w:tc>
          <w:tcPr>
            <w:tcW w:w="2124" w:type="dxa"/>
            <w:shd w:val="clear" w:color="auto" w:fill="D9D9D9" w:themeFill="background1" w:themeFillShade="D9"/>
            <w:hideMark/>
          </w:tcPr>
          <w:p w:rsidR="008E45D3" w:rsidRDefault="00847029">
            <w:pPr>
              <w:spacing w:before="0" w:after="0"/>
              <w:jc w:val="left"/>
              <w:rPr>
                <w:rFonts w:eastAsia="Times New Roman"/>
                <w:b/>
                <w:noProof/>
                <w:color w:val="000000"/>
                <w:szCs w:val="24"/>
              </w:rPr>
            </w:pPr>
            <w:r>
              <w:rPr>
                <w:b/>
                <w:noProof/>
                <w:color w:val="000000"/>
              </w:rPr>
              <w:t>Verordening (EU) nr. 1052/2013</w:t>
            </w:r>
          </w:p>
        </w:tc>
        <w:tc>
          <w:tcPr>
            <w:tcW w:w="2120" w:type="dxa"/>
            <w:shd w:val="clear" w:color="auto" w:fill="D9D9D9" w:themeFill="background1" w:themeFillShade="D9"/>
            <w:hideMark/>
          </w:tcPr>
          <w:p w:rsidR="008E45D3" w:rsidRDefault="00847029">
            <w:pPr>
              <w:spacing w:before="0" w:after="0"/>
              <w:jc w:val="left"/>
              <w:rPr>
                <w:rFonts w:eastAsia="Times New Roman"/>
                <w:b/>
                <w:noProof/>
                <w:color w:val="000000"/>
                <w:szCs w:val="24"/>
              </w:rPr>
            </w:pPr>
            <w:r>
              <w:rPr>
                <w:b/>
                <w:noProof/>
                <w:color w:val="000000"/>
              </w:rPr>
              <w:t>Gemeenschappelijk Optreden 98/700/JBZ</w:t>
            </w:r>
          </w:p>
        </w:tc>
        <w:tc>
          <w:tcPr>
            <w:tcW w:w="2123" w:type="dxa"/>
            <w:shd w:val="clear" w:color="auto" w:fill="D9D9D9" w:themeFill="background1" w:themeFillShade="D9"/>
            <w:hideMark/>
          </w:tcPr>
          <w:p w:rsidR="008E45D3" w:rsidRDefault="00847029">
            <w:pPr>
              <w:spacing w:before="0" w:after="0"/>
              <w:jc w:val="left"/>
              <w:rPr>
                <w:rFonts w:eastAsia="Times New Roman"/>
                <w:b/>
                <w:noProof/>
                <w:color w:val="000000"/>
                <w:szCs w:val="24"/>
              </w:rPr>
            </w:pPr>
            <w:r>
              <w:rPr>
                <w:b/>
                <w:noProof/>
                <w:color w:val="000000"/>
              </w:rPr>
              <w:t>Deze verordening</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 eerste zin</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 tweede zin</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 lid 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aanhef</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aanhef</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aanhef</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3</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4</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5</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a)</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3</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6</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b)</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7</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c)</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8</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9</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d)</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10</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f)</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11</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w:t>
            </w:r>
            <w:r>
              <w:rPr>
                <w:noProof/>
                <w:color w:val="000000"/>
              </w:rPr>
              <w:t>punt 16</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e)</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12</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g)</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13</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i)</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14</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h)</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15</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4</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punt </w:t>
            </w:r>
            <w:r>
              <w:rPr>
                <w:noProof/>
                <w:color w:val="000000"/>
              </w:rPr>
              <w:t>16</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8</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18</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9</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19</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5</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20</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6</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21</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7</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22</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10</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23</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24</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11</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25</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12</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26</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13</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27</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14</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28</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w:t>
            </w:r>
            <w:r>
              <w:rPr>
                <w:noProof/>
                <w:color w:val="000000"/>
              </w:rPr>
              <w:t>punt 15</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29</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30</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 punt 31</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 onder a) tot en met d)</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a) tot en met d)</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 onder e)</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e) en f)</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 onder f) tot </w:t>
            </w:r>
            <w:r>
              <w:rPr>
                <w:noProof/>
                <w:color w:val="000000"/>
              </w:rPr>
              <w:t>en met k)</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 onder g) en h)</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lid 1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 leden 2 en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leden 3 en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leden 1 tot en met 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 lid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leden 7 en 8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 lid 1, onder</w:t>
            </w:r>
            <w:r>
              <w:rPr>
                <w:noProof/>
                <w:color w:val="000000"/>
              </w:rPr>
              <w:t xml:space="preserve"> a)</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1</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2</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 lid 1, onder b) tot en met h)</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punten 3 tot en met 10</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5</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1, </w:t>
            </w:r>
            <w:r>
              <w:rPr>
                <w:noProof/>
                <w:color w:val="000000"/>
              </w:rPr>
              <w:t>punt 11</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 lid 1, onder i)</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punten 12 i) en ii)</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1, onder j) en k)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12 iii)</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6, lid 1, onder b), c) en d)</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1, punt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13</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 lid 2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 lid 1, onder n) en o)</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punten 14 en 15</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 lid 1, onder m)</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16</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punten 17 tot en met 21</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1, onder p) en q)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punten 22 en 23</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6, lid 1, onder a)</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 25</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 lid 1, onder r) en s)</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1, punten </w:t>
            </w:r>
            <w:r>
              <w:rPr>
                <w:noProof/>
                <w:color w:val="000000"/>
              </w:rPr>
              <w:t>26 en 27</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1, onder t) en u)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1, punten 28 en 29</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lid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in artikel 10 bedoelde punten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 </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3, tweede en vierde zin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lid 3 </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3, eerste en derde zin</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leden 1 en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leden 1 en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13, </w:t>
            </w:r>
            <w:r>
              <w:rPr>
                <w:noProof/>
                <w:color w:val="000000"/>
              </w:rPr>
              <w:t>eerste helft</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13, tweede helft</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leden 1 en 2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 leden 3, 4 en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44,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44,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leden 2 en 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lid 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19, lid 1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lid 2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lid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19, lid 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 lid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 lid 1, onder a) en b)</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20, lid 1, onder a) en b)</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 lid 1, onder d)</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20, lid 1, onder c)</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 lid 1, onder c), e) en f)</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20, lid 1, onder d), e) en f)</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 lid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 leden 2 en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leden 2 en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21, lid 3, onder i)</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21 (behalve punt 3 i)</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17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21, leden 1 en 2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21, lid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24,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22, lid 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24, leden 2 en 3 </w:t>
            </w:r>
          </w:p>
        </w:tc>
      </w:tr>
      <w:tr w:rsidR="008E45D3">
        <w:trPr>
          <w:trHeight w:val="126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25, lid 2, punten (opgenomen in de algemene definitie van de lagen)</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25, leden 1 en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25, leden 3 tot en met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lid 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26,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 lid 2, onder a) tot en met e)</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26, lid 2, onder a) tot en met e)</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26, lid 2, onder </w:t>
            </w:r>
            <w:r>
              <w:rPr>
                <w:noProof/>
                <w:color w:val="000000"/>
              </w:rPr>
              <w:t>f)</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 lid 2, onder f) tot en met k)</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26, lid 2, onder g) en h)</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lid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25, lid 5, punten in de uitvoeringshandeling</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lid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26, lid 3, eerste helft</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lid 5, </w:t>
            </w:r>
            <w:r>
              <w:rPr>
                <w:noProof/>
                <w:color w:val="000000"/>
              </w:rPr>
              <w:t>onder a), eerste helft</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25, lid 5, punten in de uitvoeringshandeling</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26, lid 3, tweede helft</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 lid 5, onder a), tweede helft</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26,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 lid 5, onder b)</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25, lid 5, </w:t>
            </w:r>
            <w:r>
              <w:rPr>
                <w:noProof/>
                <w:color w:val="000000"/>
              </w:rPr>
              <w:t>punten in de uitvoeringshandeling</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leden 6, 7, 8 en10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25, lid 5, punten in de uitvoeringshandeling</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 lid 9, onder a) en b)</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25, lid 5, punten in de uitvoeringshandeling</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 lid 9, aanhef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26, lid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2, onder a), b) en f)</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27, lid 2, onder a), b) en f)</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2, onder c)</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25, lid 5, punten in de uitvoeringshandeling</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 lid 2, onder d) en e)</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w:t>
            </w:r>
            <w:r>
              <w:rPr>
                <w:noProof/>
                <w:color w:val="000000"/>
              </w:rPr>
              <w:t>lid 2, onder c)</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27, lid 2, onder e)</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lid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leden 1 en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leden 1 en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 lid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leden 4 en 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28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lid 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29,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lid 2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29, lid 2, onder a) tot en met e)</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lid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29, lid 2, onder f) tot en</w:t>
            </w:r>
            <w:r>
              <w:rPr>
                <w:noProof/>
                <w:color w:val="000000"/>
              </w:rPr>
              <w:t xml:space="preserve"> met h)</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leden 4 en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29, leden 3 en 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30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31, eerste deel</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31, eerste zin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31, tweede zin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31, tweede deel</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32, lid 2, onder j)</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32 (behalve punt 2 j)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33, alle leden, behalve lid 9</w:t>
            </w:r>
          </w:p>
        </w:tc>
      </w:tr>
      <w:tr w:rsidR="008E45D3">
        <w:trPr>
          <w:trHeight w:val="315"/>
          <w:tblHeader/>
        </w:trPr>
        <w:tc>
          <w:tcPr>
            <w:tcW w:w="2193" w:type="dxa"/>
            <w:shd w:val="clear" w:color="auto" w:fill="auto"/>
          </w:tcPr>
          <w:p w:rsidR="008E45D3" w:rsidRDefault="008E45D3">
            <w:pPr>
              <w:spacing w:before="0" w:after="0"/>
              <w:jc w:val="left"/>
              <w:rPr>
                <w:rFonts w:eastAsia="Times New Roman"/>
                <w:noProof/>
                <w:color w:val="000000"/>
                <w:szCs w:val="24"/>
              </w:rPr>
            </w:pPr>
          </w:p>
        </w:tc>
        <w:tc>
          <w:tcPr>
            <w:tcW w:w="2124" w:type="dxa"/>
            <w:shd w:val="clear" w:color="auto" w:fill="auto"/>
          </w:tcPr>
          <w:p w:rsidR="008E45D3" w:rsidRDefault="008E45D3">
            <w:pPr>
              <w:spacing w:before="0" w:after="0"/>
              <w:jc w:val="left"/>
              <w:rPr>
                <w:rFonts w:eastAsia="Times New Roman"/>
                <w:noProof/>
                <w:color w:val="000000"/>
                <w:szCs w:val="24"/>
              </w:rPr>
            </w:pPr>
          </w:p>
        </w:tc>
        <w:tc>
          <w:tcPr>
            <w:tcW w:w="2120" w:type="dxa"/>
            <w:shd w:val="clear" w:color="auto" w:fill="auto"/>
          </w:tcPr>
          <w:p w:rsidR="008E45D3" w:rsidRDefault="008E45D3">
            <w:pPr>
              <w:spacing w:before="0" w:after="0"/>
              <w:jc w:val="left"/>
              <w:rPr>
                <w:rFonts w:eastAsia="Times New Roman"/>
                <w:noProof/>
                <w:color w:val="000000"/>
                <w:szCs w:val="24"/>
              </w:rPr>
            </w:pPr>
          </w:p>
        </w:tc>
        <w:tc>
          <w:tcPr>
            <w:tcW w:w="2123" w:type="dxa"/>
            <w:shd w:val="clear" w:color="auto" w:fill="auto"/>
          </w:tcPr>
          <w:p w:rsidR="008E45D3" w:rsidRDefault="00847029">
            <w:pPr>
              <w:spacing w:before="0" w:after="0"/>
              <w:jc w:val="left"/>
              <w:rPr>
                <w:rFonts w:eastAsia="Times New Roman"/>
                <w:noProof/>
                <w:color w:val="000000"/>
                <w:szCs w:val="24"/>
              </w:rPr>
            </w:pPr>
            <w:r>
              <w:rPr>
                <w:noProof/>
                <w:color w:val="000000"/>
              </w:rPr>
              <w:t>Artikel 33, lid 9</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w:t>
            </w:r>
            <w:r>
              <w:rPr>
                <w:noProof/>
                <w:color w:val="000000"/>
              </w:rPr>
              <w:t>35, lid 1, onder d)</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35 (behalve punt 1 d)</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36, lid 3, onder d)</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16, lid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36,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16, leden 1, 2, en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36, leden 1, 2, en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14, lid 2, </w:t>
            </w:r>
            <w:r>
              <w:rPr>
                <w:noProof/>
                <w:color w:val="000000"/>
              </w:rPr>
              <w:t>onder a) tot en met e)</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16, lid 4, onder b) tot en met d)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37, lid 2, onder a) tot en met e)</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16, lid 4, onder a)</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37, lid 2, onder f)</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16, lid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14, leden 1, 3 en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37, leden 1, 3 en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lid 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38,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leden 1, 2 en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38, leden 1, 2 en 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39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40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lid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41,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41, lid 5, onder d)</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lid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41, lid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41, lid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lid 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41, lid 7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leden 1 en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41, leden 1, 2 en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lid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42,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15, lid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42, lid 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47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48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49, lid 1, onder c)</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27, lid 1, onder c)</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27, lid 1, behalve onder c)</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49, lid 1, behalve onder c)</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49, lid 2, onder a) tot en met d)</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49, lid 2, onder e)</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27, leden 3 en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49, leden 3 en 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50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51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30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33,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33, leden 2 tot en met 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leden 3 tot en met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Artikelen 20, 30 en 31</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Artikelen 55 tot en met 58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59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60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36,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62,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62,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36,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62,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36, lid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36, leden 4 tot en met 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62, leden 4 tot en met 8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63, leden 1 en 3 tot en met 6</w:t>
            </w:r>
          </w:p>
        </w:tc>
      </w:tr>
      <w:tr w:rsidR="008E45D3">
        <w:trPr>
          <w:trHeight w:val="630"/>
          <w:tblHeader/>
        </w:trPr>
        <w:tc>
          <w:tcPr>
            <w:tcW w:w="2193" w:type="dxa"/>
            <w:shd w:val="clear" w:color="auto" w:fill="auto"/>
          </w:tcPr>
          <w:p w:rsidR="008E45D3" w:rsidRDefault="00847029">
            <w:pPr>
              <w:rPr>
                <w:noProof/>
              </w:rPr>
            </w:pPr>
            <w:r>
              <w:rPr>
                <w:noProof/>
              </w:rPr>
              <w:t xml:space="preserve">--  </w:t>
            </w:r>
          </w:p>
        </w:tc>
        <w:tc>
          <w:tcPr>
            <w:tcW w:w="2124" w:type="dxa"/>
            <w:shd w:val="clear" w:color="auto" w:fill="auto"/>
          </w:tcPr>
          <w:p w:rsidR="008E45D3" w:rsidRDefault="00847029">
            <w:pPr>
              <w:rPr>
                <w:noProof/>
              </w:rPr>
            </w:pPr>
            <w:r>
              <w:rPr>
                <w:noProof/>
              </w:rPr>
              <w:t xml:space="preserve">-- </w:t>
            </w:r>
          </w:p>
        </w:tc>
        <w:tc>
          <w:tcPr>
            <w:tcW w:w="2120" w:type="dxa"/>
            <w:shd w:val="clear" w:color="auto" w:fill="auto"/>
          </w:tcPr>
          <w:p w:rsidR="008E45D3" w:rsidRDefault="00847029">
            <w:pPr>
              <w:rPr>
                <w:noProof/>
              </w:rPr>
            </w:pPr>
            <w:r>
              <w:rPr>
                <w:noProof/>
              </w:rPr>
              <w:t xml:space="preserve">--  </w:t>
            </w:r>
          </w:p>
        </w:tc>
        <w:tc>
          <w:tcPr>
            <w:tcW w:w="2123" w:type="dxa"/>
            <w:shd w:val="clear" w:color="auto" w:fill="auto"/>
          </w:tcPr>
          <w:p w:rsidR="008E45D3" w:rsidRDefault="00847029">
            <w:pPr>
              <w:spacing w:before="0" w:after="0"/>
              <w:jc w:val="left"/>
              <w:rPr>
                <w:rFonts w:eastAsia="Times New Roman"/>
                <w:noProof/>
                <w:color w:val="000000"/>
                <w:szCs w:val="24"/>
              </w:rPr>
            </w:pPr>
            <w:r>
              <w:rPr>
                <w:noProof/>
                <w:color w:val="000000"/>
              </w:rPr>
              <w:t xml:space="preserve">Artikel 63,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39, behalve lid 13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12 </w:t>
            </w:r>
          </w:p>
          <w:p w:rsidR="008E45D3" w:rsidRDefault="00847029">
            <w:pPr>
              <w:spacing w:before="0" w:after="0"/>
              <w:jc w:val="left"/>
              <w:rPr>
                <w:rFonts w:eastAsia="Times New Roman"/>
                <w:noProof/>
                <w:color w:val="000000"/>
                <w:szCs w:val="24"/>
              </w:rPr>
            </w:pPr>
            <w:r>
              <w:rPr>
                <w:noProof/>
                <w:color w:val="000000"/>
              </w:rPr>
              <w:t xml:space="preserve">Artikel 39, lid 13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67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68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52,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18,</w:t>
            </w:r>
            <w:r>
              <w:rPr>
                <w:noProof/>
                <w:color w:val="000000"/>
              </w:rPr>
              <w:t xml:space="preserve"> lid 1, eerste deel</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leden 2 en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52,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lid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52, lid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lid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lid 6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lid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18, lid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lid 7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70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19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71, leden 2 tot en met 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72,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2, laatste zin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72,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72, leden 1, 2 en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1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73,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73,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73,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74, leden 1 tot en met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leden 8 en 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74, leden 3 en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11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74, leden 5 en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75, leden 1 tot en met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75,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75, lid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18, lid 1, laatste zin</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76,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2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76,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6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76,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7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76,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77, leden 3 tot en met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55, leden 1 tot en met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77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52, lid 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78,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78,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79, leden 1 en 3 tot en met 6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54, lid 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79, lid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55, lid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79, lid 7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 lid 1</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80, leden 1 en 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 </w:t>
            </w:r>
            <w:r>
              <w:rPr>
                <w:noProof/>
                <w:color w:val="000000"/>
              </w:rPr>
              <w:t>lid 2</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Artikelen 2, 3 en 4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81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35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40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87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88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47, lid 2, onder a) en b)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89, lid 2, onder a) en b)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89, lid 2, onder c)</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89, lid 2, onder </w:t>
            </w:r>
            <w:r>
              <w:rPr>
                <w:noProof/>
                <w:color w:val="000000"/>
              </w:rPr>
              <w:t>c)</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47, lid 2, onder c)</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89, lid 2, onder d)</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47, leden 1 en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89, behalve lid 2, onder c)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8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90, lid 5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lid 9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90, leden 1 en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20, leden 4 en 5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90, leden 3 en 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49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90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50, leden 1 en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91, leden 1 en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91,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50, lid 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91,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58, lid 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94, lid 1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94, leden 2 tot en met 4</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58, leden 2 tot en met 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94, leden 5 tot en met 7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59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60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61, onder a) en b)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97, onder a) en b)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97, onder c) en f)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61, onder c) en d)</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97, onder d) en e)</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62, lid 2, onder a) tot en met z)</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98, lid 2, punten 1, 2, 4 en 6 tot en met 27</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98, lid 2, punten 3 en 5</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62, lid 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98, lid 2, alle punten behalve 3 en 5</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62, leden 1 en 3 tot en met 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98, leden 1 en 3 tot en met 8 </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99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100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101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104, lid 2, onder p) en q)</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104, behalve lid 2, onder p) en q)</w:t>
            </w:r>
          </w:p>
        </w:tc>
      </w:tr>
      <w:tr w:rsidR="008E45D3">
        <w:trPr>
          <w:trHeight w:val="94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69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70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106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107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108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73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109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74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110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75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111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76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112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77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113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78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114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79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115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22, leden 2 en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116, lid 3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22, leden 3 en 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116, lid 4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23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80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81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116, leden 1 en 2 </w:t>
            </w:r>
          </w:p>
        </w:tc>
      </w:tr>
      <w:tr w:rsidR="008E45D3">
        <w:trPr>
          <w:trHeight w:val="630"/>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117 </w:t>
            </w:r>
          </w:p>
        </w:tc>
      </w:tr>
      <w:tr w:rsidR="008E45D3">
        <w:trPr>
          <w:trHeight w:val="315"/>
          <w:tblHeader/>
        </w:trPr>
        <w:tc>
          <w:tcPr>
            <w:tcW w:w="2193" w:type="dxa"/>
            <w:shd w:val="clear" w:color="auto" w:fill="auto"/>
          </w:tcPr>
          <w:p w:rsidR="008E45D3" w:rsidRDefault="00847029">
            <w:pPr>
              <w:rPr>
                <w:noProof/>
              </w:rPr>
            </w:pPr>
            <w:r>
              <w:rPr>
                <w:noProof/>
              </w:rPr>
              <w:t xml:space="preserve">--  </w:t>
            </w:r>
          </w:p>
        </w:tc>
        <w:tc>
          <w:tcPr>
            <w:tcW w:w="2124" w:type="dxa"/>
            <w:shd w:val="clear" w:color="auto" w:fill="auto"/>
          </w:tcPr>
          <w:p w:rsidR="008E45D3" w:rsidRDefault="00847029">
            <w:pPr>
              <w:rPr>
                <w:noProof/>
              </w:rPr>
            </w:pPr>
            <w:r>
              <w:rPr>
                <w:noProof/>
              </w:rPr>
              <w:t xml:space="preserve">--  </w:t>
            </w:r>
          </w:p>
        </w:tc>
        <w:tc>
          <w:tcPr>
            <w:tcW w:w="2120" w:type="dxa"/>
            <w:shd w:val="clear" w:color="auto" w:fill="auto"/>
          </w:tcPr>
          <w:p w:rsidR="008E45D3" w:rsidRDefault="00847029">
            <w:pPr>
              <w:rPr>
                <w:noProof/>
              </w:rPr>
            </w:pPr>
            <w:r>
              <w:rPr>
                <w:noProof/>
              </w:rPr>
              <w:t xml:space="preserve">-- </w:t>
            </w:r>
          </w:p>
        </w:tc>
        <w:tc>
          <w:tcPr>
            <w:tcW w:w="2123" w:type="dxa"/>
            <w:shd w:val="clear" w:color="auto" w:fill="auto"/>
          </w:tcPr>
          <w:p w:rsidR="008E45D3" w:rsidRDefault="00847029">
            <w:pPr>
              <w:spacing w:before="0" w:after="0"/>
              <w:jc w:val="left"/>
              <w:rPr>
                <w:rFonts w:eastAsia="Times New Roman"/>
                <w:noProof/>
                <w:color w:val="000000"/>
                <w:szCs w:val="24"/>
              </w:rPr>
            </w:pPr>
            <w:r>
              <w:rPr>
                <w:noProof/>
                <w:color w:val="000000"/>
              </w:rPr>
              <w:t xml:space="preserve">Artikel 118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82 </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rsidR="008E45D3" w:rsidRDefault="00847029">
            <w:pPr>
              <w:spacing w:before="0" w:after="0"/>
              <w:jc w:val="left"/>
              <w:rPr>
                <w:rFonts w:eastAsia="Times New Roman"/>
                <w:noProof/>
                <w:color w:val="000000"/>
                <w:szCs w:val="24"/>
              </w:rPr>
            </w:pPr>
            <w:r>
              <w:rPr>
                <w:noProof/>
                <w:color w:val="000000"/>
              </w:rPr>
              <w:t xml:space="preserve">Artikel 119  </w:t>
            </w:r>
          </w:p>
        </w:tc>
      </w:tr>
      <w:tr w:rsidR="008E45D3">
        <w:trPr>
          <w:trHeight w:val="315"/>
          <w:tblHeader/>
        </w:trPr>
        <w:tc>
          <w:tcPr>
            <w:tcW w:w="2193" w:type="dxa"/>
            <w:shd w:val="clear" w:color="auto" w:fill="auto"/>
            <w:hideMark/>
          </w:tcPr>
          <w:p w:rsidR="008E45D3" w:rsidRDefault="00847029">
            <w:pPr>
              <w:spacing w:before="0" w:after="0"/>
              <w:jc w:val="left"/>
              <w:rPr>
                <w:rFonts w:eastAsia="Times New Roman"/>
                <w:noProof/>
                <w:color w:val="000000"/>
                <w:szCs w:val="24"/>
              </w:rPr>
            </w:pPr>
            <w:r>
              <w:rPr>
                <w:noProof/>
                <w:color w:val="000000"/>
              </w:rPr>
              <w:t>Artikel 83</w:t>
            </w:r>
          </w:p>
        </w:tc>
        <w:tc>
          <w:tcPr>
            <w:tcW w:w="2124"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Artikel 24  </w:t>
            </w:r>
          </w:p>
        </w:tc>
        <w:tc>
          <w:tcPr>
            <w:tcW w:w="2120" w:type="dxa"/>
            <w:shd w:val="clear" w:color="auto" w:fill="auto"/>
            <w:hideMark/>
          </w:tcPr>
          <w:p w:rsidR="008E45D3" w:rsidRDefault="00847029">
            <w:pPr>
              <w:spacing w:before="0" w:after="0"/>
              <w:jc w:val="left"/>
              <w:rPr>
                <w:rFonts w:eastAsia="Times New Roman"/>
                <w:noProof/>
                <w:color w:val="000000"/>
                <w:szCs w:val="24"/>
              </w:rPr>
            </w:pPr>
            <w:r>
              <w:rPr>
                <w:noProof/>
                <w:color w:val="000000"/>
              </w:rPr>
              <w:t xml:space="preserve">-- </w:t>
            </w:r>
          </w:p>
        </w:tc>
        <w:tc>
          <w:tcPr>
            <w:tcW w:w="2123" w:type="dxa"/>
            <w:shd w:val="clear" w:color="auto" w:fill="auto"/>
          </w:tcPr>
          <w:p w:rsidR="008E45D3" w:rsidRDefault="00847029">
            <w:pPr>
              <w:spacing w:before="0" w:after="0"/>
              <w:jc w:val="left"/>
              <w:rPr>
                <w:rFonts w:eastAsia="Times New Roman"/>
                <w:noProof/>
                <w:color w:val="000000"/>
                <w:szCs w:val="24"/>
              </w:rPr>
            </w:pPr>
            <w:r>
              <w:rPr>
                <w:noProof/>
                <w:color w:val="000000"/>
              </w:rPr>
              <w:t>Artikel 120</w:t>
            </w:r>
          </w:p>
        </w:tc>
      </w:tr>
    </w:tbl>
    <w:p w:rsidR="008E45D3" w:rsidRDefault="008E45D3">
      <w:pPr>
        <w:rPr>
          <w:noProof/>
        </w:rPr>
      </w:pPr>
    </w:p>
    <w:sectPr w:rsidR="008E45D3" w:rsidSect="0084702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D3" w:rsidRDefault="00847029">
      <w:pPr>
        <w:spacing w:before="0" w:after="0"/>
      </w:pPr>
      <w:r>
        <w:separator/>
      </w:r>
    </w:p>
  </w:endnote>
  <w:endnote w:type="continuationSeparator" w:id="0">
    <w:p w:rsidR="008E45D3" w:rsidRDefault="008470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D3" w:rsidRPr="00847029" w:rsidRDefault="00847029" w:rsidP="00847029">
    <w:pPr>
      <w:pStyle w:val="Footer"/>
      <w:rPr>
        <w:rFonts w:ascii="Arial" w:hAnsi="Arial" w:cs="Arial"/>
        <w:b/>
        <w:sz w:val="48"/>
      </w:rPr>
    </w:pPr>
    <w:r w:rsidRPr="00847029">
      <w:rPr>
        <w:rFonts w:ascii="Arial" w:hAnsi="Arial" w:cs="Arial"/>
        <w:b/>
        <w:sz w:val="48"/>
      </w:rPr>
      <w:t>NL</w:t>
    </w:r>
    <w:r w:rsidRPr="00847029">
      <w:rPr>
        <w:rFonts w:ascii="Arial" w:hAnsi="Arial" w:cs="Arial"/>
        <w:b/>
        <w:sz w:val="48"/>
      </w:rPr>
      <w:tab/>
    </w:r>
    <w:r w:rsidRPr="00847029">
      <w:rPr>
        <w:rFonts w:ascii="Arial" w:hAnsi="Arial" w:cs="Arial"/>
        <w:b/>
        <w:sz w:val="48"/>
      </w:rPr>
      <w:tab/>
    </w:r>
    <w:r w:rsidRPr="00847029">
      <w:tab/>
    </w:r>
    <w:r w:rsidRPr="00847029">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Footer"/>
      <w:rPr>
        <w:rFonts w:ascii="Arial" w:hAnsi="Arial" w:cs="Arial"/>
        <w:b/>
        <w:sz w:val="48"/>
      </w:rPr>
    </w:pPr>
    <w:r w:rsidRPr="00847029">
      <w:rPr>
        <w:rFonts w:ascii="Arial" w:hAnsi="Arial" w:cs="Arial"/>
        <w:b/>
        <w:sz w:val="48"/>
      </w:rPr>
      <w:t>NL</w:t>
    </w:r>
    <w:r w:rsidRPr="00847029">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847029">
      <w:tab/>
    </w:r>
    <w:r w:rsidRPr="00847029">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D3" w:rsidRDefault="00847029">
      <w:pPr>
        <w:spacing w:before="0" w:after="0"/>
      </w:pPr>
      <w:r>
        <w:separator/>
      </w:r>
    </w:p>
  </w:footnote>
  <w:footnote w:type="continuationSeparator" w:id="0">
    <w:p w:rsidR="008E45D3" w:rsidRDefault="008470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29" w:rsidRPr="00847029" w:rsidRDefault="00847029" w:rsidP="00847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15:restartNumberingAfterBreak="0">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C70DED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892DE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 w:numId="9">
    <w:abstractNumId w:val="14"/>
  </w:num>
  <w:num w:numId="10">
    <w:abstractNumId w:val="9"/>
  </w:num>
  <w:num w:numId="11">
    <w:abstractNumId w:val="8"/>
  </w:num>
  <w:num w:numId="12">
    <w:abstractNumId w:val="19"/>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23"/>
  </w:num>
  <w:num w:numId="19">
    <w:abstractNumId w:val="11"/>
  </w:num>
  <w:num w:numId="20">
    <w:abstractNumId w:val="24"/>
  </w:num>
  <w:num w:numId="21">
    <w:abstractNumId w:val="10"/>
  </w:num>
  <w:num w:numId="22">
    <w:abstractNumId w:val="23"/>
  </w:num>
  <w:num w:numId="23">
    <w:abstractNumId w:val="15"/>
  </w:num>
  <w:num w:numId="24">
    <w:abstractNumId w:val="25"/>
  </w:num>
  <w:num w:numId="25">
    <w:abstractNumId w:val="13"/>
  </w:num>
  <w:num w:numId="26">
    <w:abstractNumId w:val="16"/>
  </w:num>
  <w:num w:numId="27">
    <w:abstractNumId w:val="11"/>
  </w:num>
  <w:num w:numId="28">
    <w:abstractNumId w:val="24"/>
  </w:num>
  <w:num w:numId="29">
    <w:abstractNumId w:val="10"/>
  </w:num>
  <w:num w:numId="30">
    <w:abstractNumId w:val="17"/>
  </w:num>
  <w:num w:numId="31">
    <w:abstractNumId w:val="21"/>
  </w:num>
  <w:num w:numId="32">
    <w:abstractNumId w:val="22"/>
  </w:num>
  <w:num w:numId="33">
    <w:abstractNumId w:val="12"/>
  </w:num>
  <w:num w:numId="34">
    <w:abstractNumId w:val="20"/>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05 13:11: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452"/>
    <w:docVar w:name="DQCResult_UnknownFonts" w:val="0;0"/>
    <w:docVar w:name="DQCResult_UnknownStyles" w:val="0;5"/>
    <w:docVar w:name="DQCStatus" w:val="Yellow"/>
    <w:docVar w:name="DQCVersion" w:val="3"/>
    <w:docVar w:name="DQCWithWarnings" w:val="0"/>
    <w:docVar w:name="LW_ACCOMPAGNANT" w:val="bij het voorstel voor een"/>
    <w:docVar w:name="LW_ACCOMPAGNANT.CP" w:val="bij het voorstel voor een"/>
    <w:docVar w:name="LW_ANNEX_NBR_FIRST" w:val="1"/>
    <w:docVar w:name="LW_ANNEX_NBR_LAST" w:val="6"/>
    <w:docVar w:name="LW_ANNEX_UNIQUE" w:val="0"/>
    <w:docVar w:name="LW_CORRIGENDUM" w:val="CORRIGENDUM_x000b_This document replaces COM(2018)631 final of 12.9.2018._x000b_Update of the cover page._x000b__x000b__x000b_The text should read as follows:"/>
    <w:docVar w:name="LW_COVERPAGE_EXISTS" w:val="True"/>
    <w:docVar w:name="LW_COVERPAGE_GUID" w:val="6EA2EF71-695C-45E3-B4B5-FD9C1520CBDF"/>
    <w:docVar w:name="LW_COVERPAGE_TYPE" w:val="1"/>
    <w:docVar w:name="LW_CROSSREFERENCE" w:val="&lt;UNUSED&gt;"/>
    <w:docVar w:name="LW_DocType" w:val="ANNEX"/>
    <w:docVar w:name="LW_EMISSION" w:val="5.10.2018"/>
    <w:docVar w:name="LW_EMISSION_ISODATE" w:val="2018-10-05"/>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de Europese grens- en kustwacht _x000b_en tot intrekking van Gemeenschappelijk Optreden 98/700/JBZ van de Raad, Verordening (EU) nr. 1052/2013 van het Europees Parlement en de Raad en Verordening (EU) 2016/1624 van het Europees Parlement en de Raad"/>
    <w:docVar w:name="LW_OBJETACTEPRINCIPAL.CP" w:val="betreffende de Europese grens- en kustwacht _x000b_en tot intrekking van Gemeenschappelijk Optreden 98/700/JBZ van de Raad, Verordening (EU) nr. 1052/2013 van het Europees Parlement en de Raad en Verordening (EU) 2016/1624 van het Europees Parlement en de Raad"/>
    <w:docVar w:name="LW_PART_NBR" w:val="&lt;UNUSED&gt;"/>
    <w:docVar w:name="LW_PART_NBR_TOTAL" w:val="&lt;UNUSED&gt;"/>
    <w:docVar w:name="LW_REF.INST.NEW" w:val="COM"/>
    <w:docVar w:name="LW_REF.INST.NEW_ADOPTED" w:val="final/2"/>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ERORDENING VAN HET EUROPEES PARLEMENT EN DE RAAD_x000b_"/>
    <w:docVar w:name="LW_TYPEACTEPRINCIPAL.CP" w:val="VERORDENING VAN HET EUROPEES PARLEMENT EN DE RAAD_x000b_"/>
  </w:docVars>
  <w:rsids>
    <w:rsidRoot w:val="008E45D3"/>
    <w:rsid w:val="00847029"/>
    <w:rsid w:val="008E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5BF939-42C0-446B-9D37-F402BC2F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pPr>
      <w:numPr>
        <w:numId w:val="1"/>
      </w:numPr>
      <w:contextualSpacing/>
    </w:pPr>
  </w:style>
  <w:style w:type="paragraph" w:styleId="ListNumber2">
    <w:name w:val="List Number 2"/>
    <w:basedOn w:val="Normal"/>
    <w:uiPriority w:val="99"/>
    <w:unhideWhenUsed/>
    <w:pPr>
      <w:numPr>
        <w:numId w:val="2"/>
      </w:numPr>
      <w:contextualSpacing/>
    </w:pPr>
  </w:style>
  <w:style w:type="paragraph" w:styleId="ListNumber3">
    <w:name w:val="List Number 3"/>
    <w:basedOn w:val="Normal"/>
    <w:uiPriority w:val="99"/>
    <w:semiHidden/>
    <w:unhideWhenUsed/>
    <w:pPr>
      <w:numPr>
        <w:numId w:val="3"/>
      </w:numPr>
      <w:contextualSpacing/>
    </w:pPr>
  </w:style>
  <w:style w:type="paragraph" w:styleId="ListNumber4">
    <w:name w:val="List Number 4"/>
    <w:basedOn w:val="Normal"/>
    <w:uiPriority w:val="99"/>
    <w:semiHidden/>
    <w:unhideWhenUsed/>
    <w:pPr>
      <w:numPr>
        <w:numId w:val="4"/>
      </w:numPr>
      <w:contextualSpacing/>
    </w:pPr>
  </w:style>
  <w:style w:type="paragraph" w:styleId="ListBullet">
    <w:name w:val="List Bullet"/>
    <w:basedOn w:val="Normal"/>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ti-section-2">
    <w:name w:val="ti-section-2"/>
    <w:basedOn w:val="Normal"/>
    <w:pPr>
      <w:spacing w:before="100" w:beforeAutospacing="1" w:after="100" w:afterAutospacing="1"/>
      <w:jc w:val="left"/>
    </w:pPr>
    <w:rPr>
      <w:rFonts w:eastAsia="Times New Roman"/>
      <w:szCs w:val="24"/>
      <w:lang w:eastAsia="en-GB"/>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paragraph" w:customStyle="1" w:styleId="LegalNumPar">
    <w:name w:val="LegalNumPar"/>
    <w:basedOn w:val="Normal"/>
    <w:pPr>
      <w:numPr>
        <w:numId w:val="9"/>
      </w:numPr>
      <w:spacing w:before="0" w:after="200"/>
      <w:jc w:val="left"/>
    </w:pPr>
    <w:rPr>
      <w:rFonts w:asciiTheme="minorHAnsi" w:hAnsiTheme="minorHAnsi" w:cstheme="minorBidi"/>
      <w:sz w:val="22"/>
    </w:r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NumPar1Char"/>
    <w:link w:val="CRSeparator"/>
    <w:rPr>
      <w:rFonts w:ascii="Times New Roman" w:hAnsi="Times New Roman" w:cs="Times New Roman"/>
      <w:sz w:val="24"/>
      <w:lang w:val="en-GB"/>
    </w:rPr>
  </w:style>
  <w:style w:type="character" w:customStyle="1" w:styleId="NumPar1Char">
    <w:name w:val="NumPar 1 Char"/>
    <w:basedOn w:val="DefaultParagraphFont"/>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NumPar1Char"/>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uiPriority w:val="20"/>
    <w:qFormat/>
    <w:rPr>
      <w:i/>
    </w:rPr>
  </w:style>
  <w:style w:type="paragraph" w:styleId="Quote">
    <w:name w:val="Quote"/>
    <w:basedOn w:val="Normal"/>
    <w:next w:val="Normal"/>
    <w:link w:val="QuoteChar"/>
    <w:uiPriority w:val="29"/>
    <w:qFormat/>
    <w:pPr>
      <w:spacing w:before="60" w:after="60"/>
    </w:pPr>
    <w:rPr>
      <w:rFonts w:eastAsia="Times New Roman"/>
      <w:i/>
      <w:iCs/>
      <w:color w:val="000000" w:themeColor="text1"/>
      <w:szCs w:val="24"/>
      <w:lang w:eastAsia="en-GB"/>
    </w:rPr>
  </w:style>
  <w:style w:type="character" w:customStyle="1" w:styleId="QuoteChar">
    <w:name w:val="Quote Char"/>
    <w:basedOn w:val="DefaultParagraphFont"/>
    <w:link w:val="Quote"/>
    <w:uiPriority w:val="29"/>
    <w:rPr>
      <w:rFonts w:ascii="Times New Roman" w:eastAsia="Times New Roman" w:hAnsi="Times New Roman" w:cs="Times New Roman"/>
      <w:i/>
      <w:iCs/>
      <w:color w:val="000000" w:themeColor="text1"/>
      <w:sz w:val="24"/>
      <w:szCs w:val="24"/>
      <w:lang w:val="en-GB" w:eastAsia="en-GB"/>
    </w:rPr>
  </w:style>
  <w:style w:type="paragraph" w:customStyle="1" w:styleId="Briefinglist1">
    <w:name w:val="Briefing list 1"/>
    <w:basedOn w:val="ListParagraph"/>
    <w:link w:val="Briefinglist1Char"/>
    <w:qFormat/>
    <w:pPr>
      <w:numPr>
        <w:numId w:val="10"/>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color w:val="4F81BD" w:themeColor="accent1"/>
      <w:sz w:val="24"/>
      <w:lang w:val="en-GB"/>
    </w:rPr>
  </w:style>
  <w:style w:type="table" w:styleId="TableGrid">
    <w:name w:val="Table Grid"/>
    <w:basedOn w:val="TableNormal"/>
    <w:uiPriority w:val="5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Deleted">
    <w:name w:val="CR Deleted"/>
    <w:basedOn w:val="DefaultParagraphFont"/>
    <w:rPr>
      <w:rFonts w:cs="Times New Roman"/>
      <w:dstrike/>
      <w:lang w:val="fr-FR" w:eastAsia="x-none"/>
    </w:rPr>
  </w:style>
  <w:style w:type="character" w:customStyle="1" w:styleId="CRMinorChangeAdded">
    <w:name w:val="CR Minor Change Added"/>
    <w:basedOn w:val="DefaultParagraphFont"/>
    <w:rPr>
      <w:rFonts w:cs="Times New Roman"/>
      <w:u w:val="double"/>
      <w:lang w:val="fr-FR" w:eastAsia="x-none"/>
    </w:rPr>
  </w:style>
  <w:style w:type="character" w:customStyle="1" w:styleId="CRMinorChangeDeleted">
    <w:name w:val="CR Minor Change Deleted"/>
    <w:basedOn w:val="DefaultParagraphFont"/>
    <w:rPr>
      <w:rFonts w:cs="Times New Roman"/>
      <w:dstrike/>
      <w:u w:val="double"/>
      <w:lang w:val="fr-FR" w:eastAsia="x-none"/>
    </w:rPr>
  </w:style>
  <w:style w:type="character" w:styleId="Strong">
    <w:name w:val="Strong"/>
    <w:basedOn w:val="DefaultParagraphFont"/>
    <w:uiPriority w:val="22"/>
    <w:qFormat/>
    <w:rPr>
      <w:rFonts w:cs="Times New Roman"/>
      <w:b/>
    </w:rPr>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PlainTextChar">
    <w:name w:val="Plain Text Char"/>
    <w:basedOn w:val="DefaultParagraphFont"/>
    <w:link w:val="PlainText"/>
    <w:uiPriority w:val="99"/>
    <w:semiHidden/>
    <w:rPr>
      <w:rFonts w:ascii="Calibri" w:hAnsi="Calibri"/>
      <w:szCs w:val="21"/>
    </w:r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lang w:val="en-US"/>
    </w:rPr>
  </w:style>
  <w:style w:type="paragraph" w:customStyle="1" w:styleId="PointManual">
    <w:name w:val="Point Manual"/>
    <w:basedOn w:val="Normal"/>
    <w:pPr>
      <w:spacing w:line="360" w:lineRule="auto"/>
      <w:ind w:left="567" w:hanging="567"/>
      <w:jc w:val="left"/>
    </w:pPr>
  </w:style>
  <w:style w:type="character" w:customStyle="1" w:styleId="mw-headline">
    <w:name w:val="mw-headline"/>
    <w:basedOn w:val="DefaultParagraphFont"/>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paragraph" w:styleId="EndnoteText">
    <w:name w:val="endnote text"/>
    <w:basedOn w:val="Normal"/>
    <w:link w:val="EndnoteTextChar"/>
    <w:uiPriority w:val="99"/>
    <w:semiHidden/>
    <w:unhideWhenUsed/>
    <w:pPr>
      <w:spacing w:before="0" w:after="0"/>
    </w:pPr>
    <w:rPr>
      <w:sz w:val="20"/>
      <w:szCs w:val="20"/>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xl63">
    <w:name w:val="xl63"/>
    <w:basedOn w:val="Normal"/>
    <w:pPr>
      <w:spacing w:before="100" w:beforeAutospacing="1" w:after="100" w:afterAutospacing="1"/>
      <w:jc w:val="left"/>
      <w:textAlignment w:val="top"/>
    </w:pPr>
    <w:rPr>
      <w:rFonts w:eastAsia="Times New Roman"/>
      <w:szCs w:val="24"/>
      <w:lang w:eastAsia="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Header">
    <w:name w:val="header"/>
    <w:basedOn w:val="Normal"/>
    <w:link w:val="HeaderChar"/>
    <w:uiPriority w:val="99"/>
    <w:unhideWhenUsed/>
    <w:rsid w:val="00847029"/>
    <w:pPr>
      <w:tabs>
        <w:tab w:val="center" w:pos="4535"/>
        <w:tab w:val="right" w:pos="9071"/>
      </w:tabs>
      <w:spacing w:before="0"/>
    </w:pPr>
  </w:style>
  <w:style w:type="character" w:customStyle="1" w:styleId="HeaderChar">
    <w:name w:val="Header Char"/>
    <w:basedOn w:val="DefaultParagraphFont"/>
    <w:link w:val="Header"/>
    <w:uiPriority w:val="99"/>
    <w:rsid w:val="00847029"/>
    <w:rPr>
      <w:rFonts w:ascii="Times New Roman" w:hAnsi="Times New Roman" w:cs="Times New Roman"/>
      <w:sz w:val="24"/>
      <w:lang w:val="nl-NL"/>
    </w:rPr>
  </w:style>
  <w:style w:type="paragraph" w:styleId="Footer">
    <w:name w:val="footer"/>
    <w:basedOn w:val="Normal"/>
    <w:link w:val="FooterChar"/>
    <w:uiPriority w:val="99"/>
    <w:unhideWhenUsed/>
    <w:rsid w:val="0084702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4702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47029"/>
    <w:pPr>
      <w:tabs>
        <w:tab w:val="center" w:pos="7285"/>
        <w:tab w:val="right" w:pos="14003"/>
      </w:tabs>
      <w:spacing w:before="0"/>
    </w:pPr>
  </w:style>
  <w:style w:type="paragraph" w:customStyle="1" w:styleId="FooterLandscape">
    <w:name w:val="FooterLandscape"/>
    <w:basedOn w:val="Normal"/>
    <w:rsid w:val="0084702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4702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4702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C4C5A-C06E-40B9-88F8-0C8CA46D1F86}">
  <ds:schemaRefs>
    <ds:schemaRef ds:uri="http://schemas.microsoft.com/sharepoint/v3/contenttype/forms"/>
  </ds:schemaRefs>
</ds:datastoreItem>
</file>

<file path=customXml/itemProps2.xml><?xml version="1.0" encoding="utf-8"?>
<ds:datastoreItem xmlns:ds="http://schemas.openxmlformats.org/officeDocument/2006/customXml" ds:itemID="{16BFBFF9-3042-4413-A7D6-B60DFFBDBC28}">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ffce5f05-4aa1-4e4f-a6fe-a0da6e7cad59"/>
    <ds:schemaRef ds:uri="http://schemas.microsoft.com/sharepoint/v3/fields"/>
  </ds:schemaRefs>
</ds:datastoreItem>
</file>

<file path=customXml/itemProps3.xml><?xml version="1.0" encoding="utf-8"?>
<ds:datastoreItem xmlns:ds="http://schemas.openxmlformats.org/officeDocument/2006/customXml" ds:itemID="{5257E0D3-33A8-4C3D-9841-81C007FBF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6517</Words>
  <Characters>28612</Characters>
  <Application>Microsoft Office Word</Application>
  <DocSecurity>0</DocSecurity>
  <Lines>2601</Lines>
  <Paragraphs>2341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LAGES CARVALHO Patrick (SG)</cp:lastModifiedBy>
  <cp:revision>9</cp:revision>
  <dcterms:created xsi:type="dcterms:W3CDTF">2018-10-05T09:18:00Z</dcterms:created>
  <dcterms:modified xsi:type="dcterms:W3CDTF">2018-10-05T11:47:00Z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ContentTypeId">
    <vt:lpwstr>0x010100258AA79CEB83498886A3A0868112325000333ED14F005B334D9CC5250622DB5351</vt:lpwstr>
  </property>
  <property fmtid="{D5CDD505-2E9C-101B-9397-08002B2CF9AE}" pid="14" name="DQCStatus">
    <vt:lpwstr>Yellow (DQC version 03)</vt:lpwstr>
  </property>
</Properties>
</file>